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80" w:right="3160" w:hanging="3224"/>
        <w:spacing w:after="0" w:line="512" w:lineRule="auto"/>
        <w:tabs>
          <w:tab w:leader="none" w:pos="129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2020</w:t>
      </w:r>
    </w:p>
    <w:p>
      <w:pPr>
        <w:spacing w:after="0" w:line="30"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3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Commission</w:t>
            </w:r>
          </w:p>
        </w:tc>
        <w:tc>
          <w:tcPr>
            <w:tcW w:w="4640" w:type="dxa"/>
            <w:vAlign w:val="bottom"/>
            <w:gridSpan w:val="6"/>
          </w:tcPr>
          <w:p>
            <w:pPr>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3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File Number</w:t>
            </w:r>
          </w:p>
        </w:tc>
        <w:tc>
          <w:tcPr>
            <w:tcW w:w="4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22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3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2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80" w:type="dxa"/>
            <w:vAlign w:val="bottom"/>
            <w:tcBorders>
              <w:top w:val="single" w:sz="8" w:color="auto"/>
            </w:tcBorders>
            <w:gridSpan w:val="3"/>
          </w:tcPr>
          <w:p>
            <w:pPr>
              <w:jc w:val="center"/>
              <w:ind w:right="560"/>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220" w:type="dxa"/>
            <w:vAlign w:val="bottom"/>
          </w:tcPr>
          <w:p>
            <w:pPr>
              <w:spacing w:after="0"/>
              <w:rPr>
                <w:sz w:val="23"/>
                <w:szCs w:val="23"/>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90-0945675</w:t>
            </w: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4201 Congress St., Suite 360</w:t>
            </w: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2"/>
              </w:rPr>
              <w:t>Charlotte, North Carolina 28209</w:t>
            </w: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3"/>
              </w:rPr>
              <w:t>State of Incorporation: Maryland</w:t>
            </w: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Telephone: (704) 376-5502</w:t>
            </w:r>
          </w:p>
        </w:tc>
        <w:tc>
          <w:tcPr>
            <w:tcW w:w="2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14"/>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328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Title of Each Class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Pr>
          <w:p>
            <w:pPr>
              <w:spacing w:after="0"/>
              <w:rPr>
                <w:sz w:val="20"/>
                <w:szCs w:val="20"/>
                <w:color w:val="auto"/>
              </w:rPr>
            </w:pPr>
          </w:p>
        </w:tc>
        <w:tc>
          <w:tcPr>
            <w:tcW w:w="310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Registered</w:t>
            </w:r>
          </w:p>
        </w:tc>
      </w:tr>
      <w:tr>
        <w:trPr>
          <w:trHeight w:val="191"/>
        </w:trPr>
        <w:tc>
          <w:tcPr>
            <w:tcW w:w="3480" w:type="dxa"/>
            <w:vAlign w:val="bottom"/>
            <w:tcBorders>
              <w:top w:val="single" w:sz="8" w:color="auto"/>
            </w:tcBorders>
            <w:gridSpan w:val="3"/>
          </w:tcPr>
          <w:p>
            <w:pPr>
              <w:jc w:val="center"/>
              <w:ind w:left="10"/>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CPTA</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tcPr>
          <w:p>
            <w:pPr>
              <w:jc w:val="center"/>
              <w:ind w:right="450"/>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32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5.75% Convertible Notes due 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8"/>
              </w:rPr>
              <w:t>CPTAG</w:t>
            </w:r>
          </w:p>
        </w:tc>
        <w:tc>
          <w:tcPr>
            <w:tcW w:w="220" w:type="dxa"/>
            <w:vAlign w:val="bottom"/>
          </w:tcPr>
          <w:p>
            <w:pPr>
              <w:spacing w:after="0"/>
              <w:rPr>
                <w:sz w:val="18"/>
                <w:szCs w:val="18"/>
                <w:color w:val="auto"/>
              </w:rPr>
            </w:pPr>
          </w:p>
        </w:tc>
        <w:tc>
          <w:tcPr>
            <w:tcW w:w="3100" w:type="dxa"/>
            <w:vAlign w:val="bottom"/>
          </w:tcPr>
          <w:p>
            <w:pPr>
              <w:jc w:val="center"/>
              <w:ind w:right="450"/>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328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6.00% Notes due 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CPTAL</w:t>
            </w:r>
          </w:p>
        </w:tc>
        <w:tc>
          <w:tcPr>
            <w:tcW w:w="220" w:type="dxa"/>
            <w:vAlign w:val="bottom"/>
          </w:tcPr>
          <w:p>
            <w:pPr>
              <w:spacing w:after="0"/>
              <w:rPr>
                <w:sz w:val="20"/>
                <w:szCs w:val="20"/>
                <w:color w:val="auto"/>
              </w:rPr>
            </w:pPr>
          </w:p>
        </w:tc>
        <w:tc>
          <w:tcPr>
            <w:tcW w:w="310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2"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1"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60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20" w:type="dxa"/>
            <w:vAlign w:val="bottom"/>
          </w:tcPr>
          <w:p>
            <w:pPr>
              <w:ind w:left="8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837" w:right="339" w:bottom="1440" w:gutter="0" w:footer="0" w:header="0"/>
        </w:sectPr>
      </w:pP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5900" w:space="80"/>
            <w:col w:w="1180" w:space="720"/>
            <w:col w:w="220" w:space="80"/>
            <w:col w:w="3060"/>
          </w:cols>
          <w:pgMar w:left="320" w:top="837" w:right="3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August 3, 2020 was 16,266,484.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74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10"/>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9740" w:type="dxa"/>
            <w:vAlign w:val="bottom"/>
            <w:shd w:val="clear" w:color="auto" w:fill="CCEEFF"/>
          </w:tcPr>
          <w:p>
            <w:pPr>
              <w:ind w:left="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Assets and Liabilities as of June 30, 2020 (unaudited) and December 31, 2019</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six months ended June 30, 2020 and 2019 (unaudited)</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80"/>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Consolidated Statements of Changes in Net Assets for the three and six months ended June 30, 2020 and 2019 (unaudited)</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six months ended June 30, 2020 and 2019 (unaudited)</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Schedules of Investments as of June 30, 2020 (unaudited) and December 31, 2019</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Notes to Consolidated Financial Statements as of and for the period ended June 30, 2020 (unaudited)</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19</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3.</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61</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4.</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Controls and Procedures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PART II.</w:t>
              </w:r>
            </w:hyperlink>
          </w:p>
        </w:tc>
        <w:tc>
          <w:tcPr>
            <w:tcW w:w="9740" w:type="dxa"/>
            <w:vAlign w:val="bottom"/>
            <w:shd w:val="clear" w:color="auto" w:fill="CCEEFF"/>
          </w:tcPr>
          <w:p>
            <w:pPr>
              <w:ind w:left="80"/>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OTHER INFORMATION</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1.</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Legal Proceedings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Risk Factors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w:t>
              </w:r>
            </w:hyperlink>
          </w:p>
        </w:tc>
        <w:tc>
          <w:tcPr>
            <w:tcW w:w="9740" w:type="dxa"/>
            <w:vAlign w:val="bottom"/>
            <w:shd w:val="clear" w:color="auto" w:fill="CCEEFF"/>
          </w:tcPr>
          <w:p>
            <w:pPr>
              <w:ind w:left="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r>
      <w:tr>
        <w:trPr>
          <w:trHeight w:val="216"/>
        </w:trPr>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w w:val="95"/>
              </w:rPr>
            </w:pPr>
            <w:hyperlink w:anchor="page71">
              <w:r>
                <w:rPr>
                  <w:rFonts w:ascii="Arial" w:cs="Arial" w:eastAsia="Arial" w:hAnsi="Arial"/>
                  <w:sz w:val="18"/>
                  <w:szCs w:val="18"/>
                  <w:u w:val="single" w:color="auto"/>
                  <w:color w:val="0000EE"/>
                  <w:w w:val="95"/>
                </w:rPr>
                <w:t>Signatures</w:t>
              </w:r>
            </w:hyperlink>
          </w:p>
        </w:tc>
        <w:tc>
          <w:tcPr>
            <w:tcW w:w="9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r>
      <w:tr>
        <w:trPr>
          <w:trHeight w:val="648"/>
        </w:trPr>
        <w:tc>
          <w:tcPr>
            <w:tcW w:w="84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4740"/>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404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w w:val="92"/>
              </w:rPr>
              <w:t>Capitala Finance Corp.</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7"/>
              </w:rPr>
              <w:t>June 30, 2020</w:t>
            </w: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December 31, 2019</w:t>
            </w:r>
          </w:p>
        </w:tc>
        <w:tc>
          <w:tcPr>
            <w:tcW w:w="100" w:type="dxa"/>
            <w:vAlign w:val="bottom"/>
          </w:tcPr>
          <w:p>
            <w:pPr>
              <w:spacing w:after="0"/>
              <w:rPr>
                <w:sz w:val="19"/>
                <w:szCs w:val="19"/>
                <w:color w:val="auto"/>
              </w:rPr>
            </w:pPr>
          </w:p>
        </w:tc>
      </w:tr>
      <w:tr>
        <w:trPr>
          <w:trHeight w:val="209"/>
        </w:trPr>
        <w:tc>
          <w:tcPr>
            <w:tcW w:w="8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$211,569 and $250,433,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190,650</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241,046</w:t>
            </w: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Affiliate investments (amortized cost of $84,403 and $80,756, respectively)</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87,679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98,763</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 (amortized cost of $9,044 and $22,692, respectively)</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8,937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22,723</w:t>
            </w:r>
          </w:p>
        </w:tc>
      </w:tr>
      <w:tr>
        <w:trPr>
          <w:trHeight w:val="209"/>
        </w:trPr>
        <w:tc>
          <w:tcPr>
            <w:tcW w:w="8240" w:type="dxa"/>
            <w:vAlign w:val="bottom"/>
          </w:tcPr>
          <w:p>
            <w:pPr>
              <w:ind w:left="340"/>
              <w:spacing w:after="0"/>
              <w:rPr>
                <w:sz w:val="20"/>
                <w:szCs w:val="20"/>
                <w:color w:val="auto"/>
              </w:rPr>
            </w:pPr>
            <w:r>
              <w:rPr>
                <w:rFonts w:ascii="Arial" w:cs="Arial" w:eastAsia="Arial" w:hAnsi="Arial"/>
                <w:sz w:val="18"/>
                <w:szCs w:val="18"/>
                <w:color w:val="auto"/>
              </w:rPr>
              <w:t>Total investments at fair value (amortized cost of $305,016 and $353,881, respectively)</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362,532</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95,226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62,321</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2,078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1,745</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6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385,511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427,337</w:t>
            </w:r>
          </w:p>
        </w:tc>
        <w:tc>
          <w:tcPr>
            <w:tcW w:w="100" w:type="dxa"/>
            <w:vAlign w:val="bottom"/>
            <w:tcBorders>
              <w:bottom w:val="single" w:sz="8" w:color="CCEEFF"/>
            </w:tcBorders>
          </w:tcPr>
          <w:p>
            <w:pPr>
              <w:spacing w:after="0"/>
              <w:rPr>
                <w:sz w:val="22"/>
                <w:szCs w:val="22"/>
                <w:color w:val="auto"/>
              </w:rPr>
            </w:pPr>
          </w:p>
        </w:tc>
      </w:tr>
      <w:tr>
        <w:trPr>
          <w:trHeight w:val="197"/>
        </w:trPr>
        <w:tc>
          <w:tcPr>
            <w:tcW w:w="8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$758 and $1,006,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149,242</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148,994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2022 Notes (net of deferred financing costs of $1,164 and $1,447, respectively)</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73,836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73,553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 (net of deferred financing costs of $736 and $916, respectively)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51,352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Credit Facility (net of deferred financing costs of $0 and $1,165, respectively)</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2,439</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280,456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279,224</w:t>
            </w:r>
          </w:p>
        </w:tc>
        <w:tc>
          <w:tcPr>
            <w:tcW w:w="10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ASSETS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16,266,484 and 16,203,769 common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238,220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237,886</w:t>
            </w:r>
          </w:p>
        </w:tc>
      </w:tr>
      <w:tr>
        <w:trPr>
          <w:trHeight w:val="22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loss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(133,328)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(89,935)</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105,055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148,113</w:t>
            </w:r>
          </w:p>
        </w:tc>
        <w:tc>
          <w:tcPr>
            <w:tcW w:w="100" w:type="dxa"/>
            <w:vAlign w:val="bottom"/>
            <w:tcBorders>
              <w:bottom w:val="single" w:sz="8" w:color="CCEEFF"/>
            </w:tcBorders>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385,511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r>
      <w:tr>
        <w:trPr>
          <w:trHeight w:val="459"/>
        </w:trPr>
        <w:tc>
          <w:tcPr>
            <w:tcW w:w="8240" w:type="dxa"/>
            <w:vAlign w:val="bottom"/>
          </w:tcPr>
          <w:p>
            <w:pPr>
              <w:jc w:val="center"/>
              <w:ind w:left="29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824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5"/>
          </w:tcPr>
          <w:p>
            <w:pPr>
              <w:jc w:val="center"/>
              <w:ind w:left="4250"/>
              <w:spacing w:after="0"/>
              <w:rPr>
                <w:sz w:val="20"/>
                <w:szCs w:val="20"/>
                <w:color w:val="auto"/>
              </w:rPr>
            </w:pPr>
            <w:r>
              <w:rPr>
                <w:rFonts w:ascii="Arial" w:cs="Arial" w:eastAsia="Arial" w:hAnsi="Arial"/>
                <w:sz w:val="18"/>
                <w:szCs w:val="18"/>
                <w:b w:val="1"/>
                <w:bCs w:val="1"/>
                <w:color w:val="auto"/>
                <w:w w:val="92"/>
              </w:rPr>
              <w:t>Capitala Finance Corp.</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60" w:type="dxa"/>
            <w:vAlign w:val="bottom"/>
            <w:gridSpan w:val="6"/>
          </w:tcPr>
          <w:p>
            <w:pPr>
              <w:jc w:val="center"/>
              <w:ind w:left="389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gridSpan w:val="8"/>
          </w:tcPr>
          <w:p>
            <w:pPr>
              <w:jc w:val="center"/>
              <w:ind w:left="27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76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auto"/>
                <w:w w:val="91"/>
              </w:rPr>
              <w:t>(unaudited)</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b w:val="1"/>
                <w:bCs w:val="1"/>
                <w:color w:val="auto"/>
                <w:w w:val="96"/>
              </w:rPr>
              <w:t>For the Three Months Ended June 30,</w:t>
            </w: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23"/>
        </w:trPr>
        <w:tc>
          <w:tcPr>
            <w:tcW w:w="5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14,826</w:t>
            </w: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1,632</w:t>
            </w: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3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r>
      <w:tr>
        <w:trPr>
          <w:trHeight w:val="209"/>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and fee income</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2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Borders>
              <w:bottom w:val="single" w:sz="8" w:color="CCEEFF"/>
            </w:tcBorders>
          </w:tcPr>
          <w:p>
            <w:pPr>
              <w:spacing w:after="0"/>
              <w:rPr>
                <w:sz w:val="18"/>
                <w:szCs w:val="18"/>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29"/>
        </w:trPr>
        <w:tc>
          <w:tcPr>
            <w:tcW w:w="5140" w:type="dxa"/>
            <w:vAlign w:val="bottom"/>
          </w:tcPr>
          <w:p>
            <w:pPr>
              <w:ind w:left="340"/>
              <w:spacing w:after="0"/>
              <w:rPr>
                <w:sz w:val="20"/>
                <w:szCs w:val="20"/>
                <w:color w:val="auto"/>
              </w:rPr>
            </w:pPr>
            <w:r>
              <w:rPr>
                <w:rFonts w:ascii="Arial" w:cs="Arial" w:eastAsia="Arial" w:hAnsi="Arial"/>
                <w:sz w:val="18"/>
                <w:szCs w:val="18"/>
                <w:color w:val="auto"/>
              </w:rPr>
              <w:t>Control investments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10"/>
        </w:trPr>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payment-in-kind interest and dividend income</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Dividend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09"/>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dividend income</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18"/>
                <w:szCs w:val="18"/>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10"/>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100" w:type="dxa"/>
            <w:vAlign w:val="bottom"/>
            <w:tcBorders>
              <w:bottom w:val="single" w:sz="8" w:color="CCEEFF"/>
            </w:tcBorders>
          </w:tcPr>
          <w:p>
            <w:pPr>
              <w:spacing w:after="0"/>
              <w:rPr>
                <w:sz w:val="18"/>
                <w:szCs w:val="18"/>
                <w:color w:val="auto"/>
              </w:rPr>
            </w:pPr>
          </w:p>
        </w:tc>
      </w:tr>
      <w:tr>
        <w:trPr>
          <w:trHeight w:val="209"/>
        </w:trPr>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4,885</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Base management fee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1,666</w:t>
            </w: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r>
      <w:tr>
        <w:trPr>
          <w:trHeight w:val="209"/>
        </w:trPr>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 before incentive fee waiver</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Incentive fee waiver (See Note 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r>
      <w:tr>
        <w:trPr>
          <w:trHeight w:val="210"/>
        </w:trPr>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 (LOSS)</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4,022</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8,157</w:t>
            </w:r>
          </w:p>
        </w:tc>
      </w:t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(14,142)</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w:t>
            </w: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1,341</w:t>
            </w: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2,387</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2,276</w:t>
            </w:r>
          </w:p>
        </w:tc>
      </w:tr>
      <w:tr>
        <w:trPr>
          <w:trHeight w:val="23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(17,829)</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(19,656)</w:t>
            </w:r>
          </w:p>
        </w:tc>
      </w:tr>
      <w:tr>
        <w:trPr>
          <w:trHeight w:val="210"/>
        </w:trPr>
        <w:tc>
          <w:tcPr>
            <w:tcW w:w="5140" w:type="dxa"/>
            <w:vAlign w:val="bottom"/>
          </w:tcPr>
          <w:p>
            <w:pPr>
              <w:ind w:left="34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Non-control/non-affiliate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16,993</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(3,018)</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r>
      <w:tr>
        <w:trPr>
          <w:trHeight w:val="216"/>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(4,937)</w:t>
            </w: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Control investments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1,004</w:t>
            </w: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(9,708)</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(13,984)</w:t>
            </w:r>
          </w:p>
        </w:tc>
      </w:tr>
      <w:tr>
        <w:trPr>
          <w:trHeight w:val="209"/>
        </w:trPr>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340"/>
              <w:spacing w:after="0"/>
              <w:rPr>
                <w:sz w:val="20"/>
                <w:szCs w:val="20"/>
                <w:color w:val="auto"/>
              </w:rPr>
            </w:pPr>
            <w:r>
              <w:rPr>
                <w:rFonts w:ascii="Arial" w:cs="Arial" w:eastAsia="Arial" w:hAnsi="Arial"/>
                <w:sz w:val="18"/>
                <w:szCs w:val="18"/>
                <w:color w:val="auto"/>
              </w:rPr>
              <w:t>Net realized and unrealized gain (loss) on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3,709</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(32,472)</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(36,824)</w:t>
            </w: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182"/>
        </w:trPr>
        <w:tc>
          <w:tcPr>
            <w:tcW w:w="5140" w:type="dxa"/>
            <w:vAlign w:val="bottom"/>
          </w:tcPr>
          <w:p>
            <w:pPr>
              <w:ind w:left="340"/>
              <w:spacing w:after="0" w:line="182" w:lineRule="exact"/>
              <w:rPr>
                <w:sz w:val="20"/>
                <w:szCs w:val="20"/>
                <w:color w:val="auto"/>
              </w:rPr>
            </w:pPr>
            <w:r>
              <w:rPr>
                <w:rFonts w:ascii="Arial" w:cs="Arial" w:eastAsia="Arial" w:hAnsi="Arial"/>
                <w:sz w:val="18"/>
                <w:szCs w:val="18"/>
                <w:color w:val="auto"/>
                <w:w w:val="90"/>
              </w:rPr>
              <w:t>Total net realized and unrealized gain (loss) on investments, net of</w:t>
            </w: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5140" w:type="dxa"/>
            <w:vAlign w:val="bottom"/>
          </w:tcPr>
          <w:p>
            <w:pPr>
              <w:ind w:left="34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3,709</w:t>
            </w:r>
          </w:p>
        </w:tc>
        <w:tc>
          <w:tcPr>
            <w:tcW w:w="3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(33,166)</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(37,452)</w:t>
            </w:r>
          </w:p>
        </w:tc>
      </w:tr>
      <w:tr>
        <w:trPr>
          <w:trHeight w:val="209"/>
        </w:trPr>
        <w:tc>
          <w:tcPr>
            <w:tcW w:w="5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 RESULTING</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5140" w:type="dxa"/>
            <w:vAlign w:val="bottom"/>
          </w:tcPr>
          <w:p>
            <w:pPr>
              <w:spacing w:after="0"/>
              <w:rPr>
                <w:sz w:val="20"/>
                <w:szCs w:val="20"/>
                <w:color w:val="auto"/>
              </w:rPr>
            </w:pPr>
            <w:r>
              <w:rPr>
                <w:rFonts w:ascii="Arial" w:cs="Arial" w:eastAsia="Arial" w:hAnsi="Arial"/>
                <w:sz w:val="18"/>
                <w:szCs w:val="18"/>
                <w:color w:val="auto"/>
              </w:rPr>
              <w:t>FROM OPERATIONS</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3,100</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(29,144)</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(29,295)</w:t>
            </w:r>
          </w:p>
        </w:tc>
      </w:tr>
      <w:tr>
        <w:trPr>
          <w:trHeight w:val="196"/>
        </w:trPr>
        <w:tc>
          <w:tcPr>
            <w:tcW w:w="5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 PER SHARE</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RESULTING FROM OPERATIONS – BASIC AND DILUTED</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WEIGHTED AVERAGE COMMON STOCK OUTSTANDING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4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16,266,484</w:t>
            </w:r>
          </w:p>
        </w:tc>
        <w:tc>
          <w:tcPr>
            <w:tcW w:w="3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16,096,678</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16,243,538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16,079,885</w:t>
            </w:r>
          </w:p>
        </w:tc>
      </w:tr>
      <w:tr>
        <w:trPr>
          <w:trHeight w:val="216"/>
        </w:trPr>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b w:val="1"/>
                <w:bCs w:val="1"/>
                <w:color w:val="auto"/>
                <w:w w:val="95"/>
              </w:rPr>
              <w:t>For the Three Months Ended June 30, 2020 and 2019</w:t>
            </w:r>
          </w:p>
        </w:tc>
        <w:tc>
          <w:tcPr>
            <w:tcW w:w="1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Number of Shares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Par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Paid in Capital</w:t>
            </w:r>
          </w:p>
        </w:tc>
        <w:tc>
          <w:tcPr>
            <w:tcW w:w="100" w:type="dxa"/>
            <w:vAlign w:val="bottom"/>
          </w:tcPr>
          <w:p>
            <w:pPr>
              <w:spacing w:after="0"/>
              <w:rPr>
                <w:sz w:val="18"/>
                <w:szCs w:val="18"/>
                <w:color w:val="auto"/>
              </w:rPr>
            </w:pPr>
          </w:p>
        </w:tc>
        <w:tc>
          <w:tcPr>
            <w:tcW w:w="15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1"/>
              </w:rPr>
              <w:t>Distributable Loss</w:t>
            </w:r>
          </w:p>
        </w:tc>
        <w:tc>
          <w:tcPr>
            <w:tcW w:w="260" w:type="dxa"/>
            <w:vAlign w:val="bottom"/>
          </w:tcPr>
          <w:p>
            <w:pPr>
              <w:spacing w:after="0"/>
              <w:rPr>
                <w:sz w:val="18"/>
                <w:szCs w:val="18"/>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16,266,484</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(136,428)</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101,955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840" w:type="dxa"/>
            <w:vAlign w:val="bottom"/>
          </w:tcPr>
          <w:p>
            <w:pPr>
              <w:ind w:left="340"/>
              <w:spacing w:after="0"/>
              <w:rPr>
                <w:sz w:val="20"/>
                <w:szCs w:val="20"/>
                <w:color w:val="auto"/>
              </w:rPr>
            </w:pPr>
            <w:r>
              <w:rPr>
                <w:rFonts w:ascii="Arial" w:cs="Arial" w:eastAsia="Arial" w:hAnsi="Arial"/>
                <w:sz w:val="16"/>
                <w:szCs w:val="16"/>
                <w:color w:val="auto"/>
              </w:rPr>
              <w:t>Net investment loss</w:t>
            </w: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(609)</w:t>
            </w:r>
          </w:p>
        </w:tc>
        <w:tc>
          <w:tcPr>
            <w:tcW w:w="26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(609)</w:t>
            </w:r>
          </w:p>
        </w:tc>
      </w:tr>
      <w:tr>
        <w:trPr>
          <w:trHeight w:val="203"/>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realized loss on investments</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(13,285)</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(13,285)</w:t>
            </w:r>
          </w:p>
        </w:tc>
      </w:tr>
      <w:tr>
        <w:trPr>
          <w:trHeight w:val="203"/>
        </w:trPr>
        <w:tc>
          <w:tcPr>
            <w:tcW w:w="3840" w:type="dxa"/>
            <w:vAlign w:val="bottom"/>
          </w:tcPr>
          <w:p>
            <w:pPr>
              <w:ind w:left="340"/>
              <w:spacing w:after="0"/>
              <w:rPr>
                <w:sz w:val="20"/>
                <w:szCs w:val="20"/>
                <w:color w:val="auto"/>
              </w:rPr>
            </w:pPr>
            <w:r>
              <w:rPr>
                <w:rFonts w:ascii="Arial" w:cs="Arial" w:eastAsia="Arial" w:hAnsi="Arial"/>
                <w:sz w:val="16"/>
                <w:szCs w:val="16"/>
                <w:color w:val="auto"/>
              </w:rPr>
              <w:t>Net unrealized appreciation on investments</w:t>
            </w: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16,994</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16,994</w:t>
            </w:r>
          </w:p>
        </w:tc>
        <w:tc>
          <w:tcPr>
            <w:tcW w:w="80" w:type="dxa"/>
            <w:vAlign w:val="bottom"/>
          </w:tcPr>
          <w:p>
            <w:pPr>
              <w:spacing w:after="0"/>
              <w:rPr>
                <w:sz w:val="17"/>
                <w:szCs w:val="17"/>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provision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47"/>
        </w:trPr>
        <w:tc>
          <w:tcPr>
            <w:tcW w:w="3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June 30, 2020</w:t>
            </w:r>
          </w:p>
        </w:tc>
        <w:tc>
          <w:tcPr>
            <w:tcW w:w="18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16,266,484</w:t>
            </w:r>
          </w:p>
        </w:tc>
        <w:tc>
          <w:tcPr>
            <w:tcW w:w="2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163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238,220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(133,328</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105,055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86"/>
        </w:trPr>
        <w:tc>
          <w:tcPr>
            <w:tcW w:w="3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BALANCE, March 31, 2019</w:t>
            </w: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16,084,143</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161</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242,012</w:t>
            </w:r>
          </w:p>
        </w:tc>
        <w:tc>
          <w:tcPr>
            <w:tcW w:w="120" w:type="dxa"/>
            <w:vAlign w:val="bottom"/>
          </w:tcPr>
          <w:p>
            <w:pPr>
              <w:spacing w:after="0"/>
              <w:rPr>
                <w:sz w:val="17"/>
                <w:szCs w:val="17"/>
                <w:color w:val="auto"/>
              </w:rPr>
            </w:pPr>
          </w:p>
        </w:tc>
        <w:tc>
          <w:tcPr>
            <w:tcW w:w="40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(55,439)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186,734</w:t>
            </w:r>
          </w:p>
        </w:tc>
        <w:tc>
          <w:tcPr>
            <w:tcW w:w="80" w:type="dxa"/>
            <w:vAlign w:val="bottom"/>
          </w:tcPr>
          <w:p>
            <w:pPr>
              <w:spacing w:after="0"/>
              <w:rPr>
                <w:sz w:val="17"/>
                <w:szCs w:val="17"/>
                <w:color w:val="auto"/>
              </w:rPr>
            </w:pPr>
          </w:p>
        </w:tc>
      </w:tr>
      <w:tr>
        <w:trPr>
          <w:trHeight w:val="203"/>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investment income</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4,022</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4,022</w:t>
            </w:r>
          </w:p>
        </w:tc>
        <w:tc>
          <w:tcPr>
            <w:tcW w:w="80" w:type="dxa"/>
            <w:vAlign w:val="bottom"/>
            <w:shd w:val="clear" w:color="auto" w:fill="CCEEFF"/>
          </w:tcPr>
          <w:p>
            <w:pPr>
              <w:spacing w:after="0"/>
              <w:rPr>
                <w:sz w:val="17"/>
                <w:szCs w:val="17"/>
                <w:color w:val="auto"/>
              </w:rPr>
            </w:pPr>
          </w:p>
        </w:tc>
      </w:tr>
      <w:tr>
        <w:trPr>
          <w:trHeight w:val="203"/>
        </w:trPr>
        <w:tc>
          <w:tcPr>
            <w:tcW w:w="3840" w:type="dxa"/>
            <w:vAlign w:val="bottom"/>
          </w:tcPr>
          <w:p>
            <w:pPr>
              <w:ind w:left="340"/>
              <w:spacing w:after="0"/>
              <w:rPr>
                <w:sz w:val="20"/>
                <w:szCs w:val="20"/>
                <w:color w:val="auto"/>
              </w:rPr>
            </w:pPr>
            <w:r>
              <w:rPr>
                <w:rFonts w:ascii="Arial" w:cs="Arial" w:eastAsia="Arial" w:hAnsi="Arial"/>
                <w:sz w:val="16"/>
                <w:szCs w:val="16"/>
                <w:color w:val="auto"/>
              </w:rPr>
              <w:t>Net realized loss on investments</w:t>
            </w: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(15,077)</w:t>
            </w:r>
          </w:p>
        </w:tc>
        <w:tc>
          <w:tcPr>
            <w:tcW w:w="26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(15,077)</w:t>
            </w:r>
          </w:p>
        </w:tc>
      </w:tr>
      <w:tr>
        <w:trPr>
          <w:trHeight w:val="203"/>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unrealized depreciation on investments</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(17,395)</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(17,395)</w:t>
            </w:r>
          </w:p>
        </w:tc>
      </w:tr>
      <w:tr>
        <w:trPr>
          <w:trHeight w:val="203"/>
        </w:trPr>
        <w:tc>
          <w:tcPr>
            <w:tcW w:w="3840" w:type="dxa"/>
            <w:vAlign w:val="bottom"/>
          </w:tcPr>
          <w:p>
            <w:pPr>
              <w:ind w:left="340"/>
              <w:spacing w:after="0"/>
              <w:rPr>
                <w:sz w:val="20"/>
                <w:szCs w:val="20"/>
                <w:color w:val="auto"/>
              </w:rPr>
            </w:pPr>
            <w:r>
              <w:rPr>
                <w:rFonts w:ascii="Arial" w:cs="Arial" w:eastAsia="Arial" w:hAnsi="Arial"/>
                <w:sz w:val="16"/>
                <w:szCs w:val="16"/>
                <w:color w:val="auto"/>
              </w:rPr>
              <w:t>Tax provision</w:t>
            </w: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color w:val="auto"/>
              </w:rPr>
              <w:t>(694)</w:t>
            </w:r>
          </w:p>
        </w:tc>
        <w:tc>
          <w:tcPr>
            <w:tcW w:w="26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(694)</w:t>
            </w:r>
          </w:p>
        </w:tc>
      </w:tr>
      <w:tr>
        <w:trPr>
          <w:trHeight w:val="203"/>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Shareholders: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840" w:type="dxa"/>
            <w:vAlign w:val="bottom"/>
          </w:tcPr>
          <w:p>
            <w:pPr>
              <w:ind w:left="500"/>
              <w:spacing w:after="0"/>
              <w:rPr>
                <w:sz w:val="20"/>
                <w:szCs w:val="20"/>
                <w:color w:val="auto"/>
              </w:rPr>
            </w:pPr>
            <w:r>
              <w:rPr>
                <w:rFonts w:ascii="Arial" w:cs="Arial" w:eastAsia="Arial" w:hAnsi="Arial"/>
                <w:sz w:val="16"/>
                <w:szCs w:val="16"/>
                <w:color w:val="auto"/>
              </w:rPr>
              <w:t>Stock issued under dividend reinvestment plan</w:t>
            </w: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34,805</w:t>
            </w:r>
          </w:p>
        </w:tc>
        <w:tc>
          <w:tcPr>
            <w:tcW w:w="9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7"/>
                <w:szCs w:val="17"/>
                <w:color w:val="auto"/>
              </w:rPr>
            </w:pPr>
          </w:p>
        </w:tc>
      </w:tr>
      <w:tr>
        <w:trPr>
          <w:trHeight w:val="216"/>
        </w:trPr>
        <w:tc>
          <w:tcPr>
            <w:tcW w:w="38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Distributions declared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(4,022)</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(4,022)</w:t>
            </w:r>
          </w:p>
        </w:tc>
      </w:tr>
      <w:tr>
        <w:trPr>
          <w:trHeight w:val="207"/>
        </w:trPr>
        <w:tc>
          <w:tcPr>
            <w:tcW w:w="3840" w:type="dxa"/>
            <w:vAlign w:val="bottom"/>
          </w:tcPr>
          <w:p>
            <w:pPr>
              <w:spacing w:after="0"/>
              <w:rPr>
                <w:sz w:val="20"/>
                <w:szCs w:val="20"/>
                <w:color w:val="auto"/>
              </w:rPr>
            </w:pPr>
            <w:r>
              <w:rPr>
                <w:rFonts w:ascii="Arial" w:cs="Arial" w:eastAsia="Arial" w:hAnsi="Arial"/>
                <w:sz w:val="16"/>
                <w:szCs w:val="16"/>
                <w:color w:val="auto"/>
              </w:rPr>
              <w:t>BALANCE, June 30, 2019</w:t>
            </w: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16,118,948</w:t>
            </w:r>
          </w:p>
        </w:tc>
        <w:tc>
          <w:tcPr>
            <w:tcW w:w="2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242,307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(88,605</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153,863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Additional</w:t>
            </w:r>
          </w:p>
        </w:tc>
        <w:tc>
          <w:tcPr>
            <w:tcW w:w="280" w:type="dxa"/>
            <w:vAlign w:val="bottom"/>
          </w:tcPr>
          <w:p>
            <w:pPr>
              <w:spacing w:after="0"/>
              <w:rPr>
                <w:sz w:val="18"/>
                <w:szCs w:val="18"/>
                <w:color w:val="auto"/>
              </w:rPr>
            </w:pPr>
          </w:p>
        </w:tc>
        <w:tc>
          <w:tcPr>
            <w:tcW w:w="11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20"/>
                <w:szCs w:val="20"/>
                <w:color w:val="auto"/>
              </w:rPr>
            </w:pPr>
            <w:r>
              <w:rPr>
                <w:rFonts w:ascii="Arial" w:cs="Arial" w:eastAsia="Arial" w:hAnsi="Arial"/>
                <w:sz w:val="16"/>
                <w:szCs w:val="16"/>
                <w:b w:val="1"/>
                <w:bCs w:val="1"/>
                <w:color w:val="auto"/>
                <w:w w:val="98"/>
              </w:rPr>
              <w:t>For the Six Months Ended June 30, 2020 and 2019</w:t>
            </w:r>
          </w:p>
        </w:tc>
        <w:tc>
          <w:tcPr>
            <w:tcW w:w="2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Number of Shares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Par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Paid in Capital</w:t>
            </w:r>
          </w:p>
        </w:tc>
        <w:tc>
          <w:tcPr>
            <w:tcW w:w="1440" w:type="dxa"/>
            <w:vAlign w:val="bottom"/>
            <w:gridSpan w:val="3"/>
          </w:tcPr>
          <w:p>
            <w:pPr>
              <w:spacing w:after="0"/>
              <w:rPr>
                <w:sz w:val="20"/>
                <w:szCs w:val="20"/>
                <w:color w:val="auto"/>
              </w:rPr>
            </w:pPr>
            <w:r>
              <w:rPr>
                <w:rFonts w:ascii="Arial" w:cs="Arial" w:eastAsia="Arial" w:hAnsi="Arial"/>
                <w:sz w:val="16"/>
                <w:szCs w:val="16"/>
                <w:b w:val="1"/>
                <w:bCs w:val="1"/>
                <w:color w:val="auto"/>
              </w:rPr>
              <w:t>Distributable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16,203,769</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237,886</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(89,935)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340"/>
              <w:spacing w:after="0"/>
              <w:rPr>
                <w:sz w:val="20"/>
                <w:szCs w:val="20"/>
                <w:color w:val="auto"/>
              </w:rPr>
            </w:pPr>
            <w:r>
              <w:rPr>
                <w:rFonts w:ascii="Arial" w:cs="Arial" w:eastAsia="Arial" w:hAnsi="Arial"/>
                <w:sz w:val="16"/>
                <w:szCs w:val="16"/>
                <w:color w:val="auto"/>
              </w:rPr>
              <w:t>Net investment loss</w:t>
            </w:r>
          </w:p>
        </w:tc>
        <w:tc>
          <w:tcPr>
            <w:tcW w:w="1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realized loss on investments</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(12,317)</w:t>
            </w:r>
          </w:p>
        </w:tc>
        <w:tc>
          <w:tcPr>
            <w:tcW w:w="0" w:type="dxa"/>
            <w:vAlign w:val="bottom"/>
          </w:tcPr>
          <w:p>
            <w:pPr>
              <w:spacing w:after="0"/>
              <w:rPr>
                <w:sz w:val="1"/>
                <w:szCs w:val="1"/>
                <w:color w:val="auto"/>
              </w:rPr>
            </w:pPr>
          </w:p>
        </w:tc>
      </w:tr>
      <w:tr>
        <w:trPr>
          <w:trHeight w:val="203"/>
        </w:trPr>
        <w:tc>
          <w:tcPr>
            <w:tcW w:w="3760" w:type="dxa"/>
            <w:vAlign w:val="bottom"/>
          </w:tcPr>
          <w:p>
            <w:pPr>
              <w:ind w:left="340"/>
              <w:spacing w:after="0"/>
              <w:rPr>
                <w:sz w:val="20"/>
                <w:szCs w:val="20"/>
                <w:color w:val="auto"/>
              </w:rPr>
            </w:pPr>
            <w:r>
              <w:rPr>
                <w:rFonts w:ascii="Arial" w:cs="Arial" w:eastAsia="Arial" w:hAnsi="Arial"/>
                <w:sz w:val="16"/>
                <w:szCs w:val="16"/>
                <w:color w:val="auto"/>
              </w:rPr>
              <w:t>Net unrealized depreciation on investments</w:t>
            </w:r>
          </w:p>
        </w:tc>
        <w:tc>
          <w:tcPr>
            <w:tcW w:w="1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(26,401)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(26,401)</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provision</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60" w:type="dxa"/>
            <w:vAlign w:val="bottom"/>
          </w:tcPr>
          <w:p>
            <w:pPr>
              <w:ind w:left="340"/>
              <w:spacing w:after="0"/>
              <w:rPr>
                <w:sz w:val="20"/>
                <w:szCs w:val="20"/>
                <w:color w:val="auto"/>
              </w:rPr>
            </w:pPr>
            <w:r>
              <w:rPr>
                <w:rFonts w:ascii="Arial" w:cs="Arial" w:eastAsia="Arial" w:hAnsi="Arial"/>
                <w:sz w:val="16"/>
                <w:szCs w:val="16"/>
                <w:color w:val="auto"/>
              </w:rPr>
              <w:t>Distributions to Shareholders: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7"/>
              </w:rPr>
              <w:t>Stock issued under dividend reinvestment plan</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62,715</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Distributions declared</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June 30, 2020</w:t>
            </w: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16,266,484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238,220</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(133,328</w:t>
            </w:r>
          </w:p>
        </w:tc>
        <w:tc>
          <w:tcPr>
            <w:tcW w:w="14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105,055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16,051,547</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241,757</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(51,274)</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190,644</w:t>
            </w:r>
          </w:p>
        </w:tc>
        <w:tc>
          <w:tcPr>
            <w:tcW w:w="0" w:type="dxa"/>
            <w:vAlign w:val="bottom"/>
          </w:tcPr>
          <w:p>
            <w:pPr>
              <w:spacing w:after="0"/>
              <w:rPr>
                <w:sz w:val="1"/>
                <w:szCs w:val="1"/>
                <w:color w:val="auto"/>
              </w:rPr>
            </w:pPr>
          </w:p>
        </w:tc>
      </w:tr>
      <w:tr>
        <w:trPr>
          <w:trHeight w:val="203"/>
        </w:trPr>
        <w:tc>
          <w:tcPr>
            <w:tcW w:w="3760" w:type="dxa"/>
            <w:vAlign w:val="bottom"/>
          </w:tcPr>
          <w:p>
            <w:pPr>
              <w:ind w:left="340"/>
              <w:spacing w:after="0"/>
              <w:rPr>
                <w:sz w:val="20"/>
                <w:szCs w:val="20"/>
                <w:color w:val="auto"/>
              </w:rPr>
            </w:pPr>
            <w:r>
              <w:rPr>
                <w:rFonts w:ascii="Arial" w:cs="Arial" w:eastAsia="Arial" w:hAnsi="Arial"/>
                <w:sz w:val="16"/>
                <w:szCs w:val="16"/>
                <w:color w:val="auto"/>
              </w:rPr>
              <w:t>Net investment income</w:t>
            </w:r>
          </w:p>
        </w:tc>
        <w:tc>
          <w:tcPr>
            <w:tcW w:w="1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8,157</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realized loss on investments</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(20,924)</w:t>
            </w:r>
          </w:p>
        </w:tc>
        <w:tc>
          <w:tcPr>
            <w:tcW w:w="0" w:type="dxa"/>
            <w:vAlign w:val="bottom"/>
          </w:tcPr>
          <w:p>
            <w:pPr>
              <w:spacing w:after="0"/>
              <w:rPr>
                <w:sz w:val="1"/>
                <w:szCs w:val="1"/>
                <w:color w:val="auto"/>
              </w:rPr>
            </w:pPr>
          </w:p>
        </w:tc>
      </w:tr>
      <w:tr>
        <w:trPr>
          <w:trHeight w:val="203"/>
        </w:trPr>
        <w:tc>
          <w:tcPr>
            <w:tcW w:w="3760" w:type="dxa"/>
            <w:vAlign w:val="bottom"/>
          </w:tcPr>
          <w:p>
            <w:pPr>
              <w:ind w:left="340"/>
              <w:spacing w:after="0"/>
              <w:rPr>
                <w:sz w:val="20"/>
                <w:szCs w:val="20"/>
                <w:color w:val="auto"/>
              </w:rPr>
            </w:pPr>
            <w:r>
              <w:rPr>
                <w:rFonts w:ascii="Arial" w:cs="Arial" w:eastAsia="Arial" w:hAnsi="Arial"/>
                <w:sz w:val="16"/>
                <w:szCs w:val="16"/>
                <w:color w:val="auto"/>
              </w:rPr>
              <w:t>Net unrealized depreciation on investments</w:t>
            </w:r>
          </w:p>
        </w:tc>
        <w:tc>
          <w:tcPr>
            <w:tcW w:w="1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(15,900)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(15,900)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provision</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3"/>
        </w:trPr>
        <w:tc>
          <w:tcPr>
            <w:tcW w:w="3760" w:type="dxa"/>
            <w:vAlign w:val="bottom"/>
          </w:tcPr>
          <w:p>
            <w:pPr>
              <w:ind w:left="340"/>
              <w:spacing w:after="0"/>
              <w:rPr>
                <w:sz w:val="20"/>
                <w:szCs w:val="20"/>
                <w:color w:val="auto"/>
              </w:rPr>
            </w:pPr>
            <w:r>
              <w:rPr>
                <w:rFonts w:ascii="Arial" w:cs="Arial" w:eastAsia="Arial" w:hAnsi="Arial"/>
                <w:sz w:val="16"/>
                <w:szCs w:val="16"/>
                <w:color w:val="auto"/>
              </w:rPr>
              <w:t>Distributions to Shareholders: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7"/>
              </w:rPr>
              <w:t>Stock issued under dividend reinvestment plan</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67,401</w:t>
            </w: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550</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Distributions declared</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(8,036)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(8,036)</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16,118,948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242,307</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(88,605</w:t>
            </w:r>
          </w:p>
        </w:tc>
        <w:tc>
          <w:tcPr>
            <w:tcW w:w="14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153,863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2"/>
              </w:rPr>
              <w:t>Capitala Finance Corp.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right"/>
              <w:ind w:right="141"/>
              <w:spacing w:after="0"/>
              <w:rPr>
                <w:sz w:val="20"/>
                <w:szCs w:val="20"/>
                <w:color w:val="auto"/>
              </w:rPr>
            </w:pPr>
            <w:r>
              <w:rPr>
                <w:rFonts w:ascii="Arial" w:cs="Arial" w:eastAsia="Arial" w:hAnsi="Arial"/>
                <w:sz w:val="18"/>
                <w:szCs w:val="18"/>
                <w:b w:val="1"/>
                <w:bCs w:val="1"/>
                <w:color w:val="auto"/>
                <w:w w:val="90"/>
              </w:rPr>
              <w:t>For the Six Months Ended June</w:t>
            </w:r>
          </w:p>
        </w:tc>
      </w:tr>
      <w:tr>
        <w:trPr>
          <w:trHeight w:val="234"/>
        </w:trPr>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20"/>
              <w:spacing w:after="0"/>
              <w:rPr>
                <w:sz w:val="20"/>
                <w:szCs w:val="20"/>
                <w:color w:val="auto"/>
              </w:rPr>
            </w:pPr>
            <w:r>
              <w:rPr>
                <w:rFonts w:ascii="Arial" w:cs="Arial" w:eastAsia="Arial" w:hAnsi="Arial"/>
                <w:sz w:val="18"/>
                <w:szCs w:val="18"/>
                <w:color w:val="auto"/>
              </w:rPr>
              <w:t>Net decrease in net assets resulting from operations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(39,340)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(29,295)</w:t>
            </w:r>
          </w:p>
        </w:tc>
      </w:tr>
      <w:tr>
        <w:trPr>
          <w:trHeight w:val="202"/>
        </w:trPr>
        <w:tc>
          <w:tcPr>
            <w:tcW w:w="82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Adjustments to reconcile net decrease in net assets resulting from operations to net cash provided by operating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260" w:type="dxa"/>
            <w:vAlign w:val="bottom"/>
          </w:tcPr>
          <w:p>
            <w:pPr>
              <w:ind w:left="2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(20,820)</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(34,924)</w:t>
            </w:r>
          </w:p>
        </w:tc>
      </w:tr>
      <w:tr>
        <w:trPr>
          <w:trHeight w:val="216"/>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Repayments and sales of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58,888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58,131</w:t>
            </w:r>
          </w:p>
        </w:tc>
      </w:tr>
      <w:tr>
        <w:trPr>
          <w:trHeight w:val="216"/>
        </w:trPr>
        <w:tc>
          <w:tcPr>
            <w:tcW w:w="8260" w:type="dxa"/>
            <w:vAlign w:val="bottom"/>
          </w:tcPr>
          <w:p>
            <w:pPr>
              <w:ind w:left="26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12,317</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20,924</w:t>
            </w:r>
          </w:p>
        </w:tc>
      </w:tr>
      <w:tr>
        <w:trPr>
          <w:trHeight w:val="216"/>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26,401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15,900</w:t>
            </w:r>
          </w:p>
        </w:tc>
      </w:tr>
      <w:tr>
        <w:trPr>
          <w:trHeight w:val="216"/>
        </w:trPr>
        <w:tc>
          <w:tcPr>
            <w:tcW w:w="8260" w:type="dxa"/>
            <w:vAlign w:val="bottom"/>
          </w:tcPr>
          <w:p>
            <w:pPr>
              <w:ind w:left="260"/>
              <w:spacing w:after="0"/>
              <w:rPr>
                <w:sz w:val="20"/>
                <w:szCs w:val="20"/>
                <w:color w:val="auto"/>
              </w:rPr>
            </w:pPr>
            <w:r>
              <w:rPr>
                <w:rFonts w:ascii="Arial" w:cs="Arial" w:eastAsia="Arial" w:hAnsi="Arial"/>
                <w:sz w:val="18"/>
                <w:szCs w:val="18"/>
                <w:color w:val="auto"/>
              </w:rPr>
              <w:t>Payment-in-kind interest and dividends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Accretion of original issue discount on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8260" w:type="dxa"/>
            <w:vAlign w:val="bottom"/>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2,090</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1,096</w:t>
            </w:r>
          </w:p>
        </w:tc>
      </w:tr>
      <w:tr>
        <w:trPr>
          <w:trHeight w:val="216"/>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provision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628</w:t>
            </w:r>
          </w:p>
        </w:tc>
      </w:tr>
      <w:tr>
        <w:trPr>
          <w:trHeight w:val="216"/>
        </w:trPr>
        <w:tc>
          <w:tcPr>
            <w:tcW w:w="826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dividend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1,325</w:t>
            </w:r>
          </w:p>
        </w:tc>
      </w:tr>
      <w:tr>
        <w:trPr>
          <w:trHeight w:val="216"/>
        </w:trPr>
        <w:tc>
          <w:tcPr>
            <w:tcW w:w="826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237</w:t>
            </w:r>
          </w:p>
        </w:tc>
      </w:tr>
      <w:tr>
        <w:trPr>
          <w:trHeight w:val="216"/>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60" w:type="dxa"/>
            <w:vAlign w:val="bottom"/>
          </w:tcPr>
          <w:p>
            <w:pPr>
              <w:ind w:left="380"/>
              <w:spacing w:after="0"/>
              <w:rPr>
                <w:sz w:val="20"/>
                <w:szCs w:val="20"/>
                <w:color w:val="auto"/>
              </w:rPr>
            </w:pPr>
            <w:r>
              <w:rPr>
                <w:rFonts w:ascii="Arial" w:cs="Arial" w:eastAsia="Arial" w:hAnsi="Arial"/>
                <w:sz w:val="18"/>
                <w:szCs w:val="18"/>
                <w:color w:val="auto"/>
              </w:rPr>
              <w:t>Management and incentive fees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1,096</w:t>
            </w:r>
          </w:p>
        </w:tc>
      </w:tr>
      <w:tr>
        <w:trPr>
          <w:trHeight w:val="216"/>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financing fees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826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20"/>
              <w:spacing w:after="0"/>
              <w:rPr>
                <w:sz w:val="20"/>
                <w:szCs w:val="20"/>
                <w:color w:val="auto"/>
              </w:rPr>
            </w:pPr>
            <w:r>
              <w:rPr>
                <w:rFonts w:ascii="Arial" w:cs="Arial" w:eastAsia="Arial" w:hAnsi="Arial"/>
                <w:sz w:val="18"/>
                <w:szCs w:val="18"/>
                <w:color w:val="auto"/>
              </w:rPr>
              <w:t>Paydowns on SBA debentures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(15,700)</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Credit Facility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15,000</w:t>
            </w:r>
          </w:p>
        </w:tc>
      </w:tr>
      <w:tr>
        <w:trPr>
          <w:trHeight w:val="216"/>
        </w:trPr>
        <w:tc>
          <w:tcPr>
            <w:tcW w:w="8260" w:type="dxa"/>
            <w:vAlign w:val="bottom"/>
          </w:tcPr>
          <w:p>
            <w:pPr>
              <w:ind w:left="120"/>
              <w:spacing w:after="0"/>
              <w:rPr>
                <w:sz w:val="20"/>
                <w:szCs w:val="20"/>
                <w:color w:val="auto"/>
              </w:rPr>
            </w:pPr>
            <w:r>
              <w:rPr>
                <w:rFonts w:ascii="Arial" w:cs="Arial" w:eastAsia="Arial" w:hAnsi="Arial"/>
                <w:sz w:val="18"/>
                <w:szCs w:val="18"/>
                <w:color w:val="auto"/>
              </w:rPr>
              <w:t>Repayments on Credit Facility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paid to shareholders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Deferred financing fees paid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jc w:val="both"/>
        <w:ind w:right="3440"/>
        <w:spacing w:after="0" w:line="294" w:lineRule="auto"/>
        <w:rPr>
          <w:sz w:val="20"/>
          <w:szCs w:val="20"/>
          <w:color w:val="auto"/>
        </w:rPr>
      </w:pPr>
      <w:r>
        <w:rPr>
          <w:rFonts w:ascii="Arial" w:cs="Arial" w:eastAsia="Arial" w:hAnsi="Arial"/>
          <w:sz w:val="17"/>
          <w:szCs w:val="17"/>
          <w:color w:val="auto"/>
        </w:rPr>
        <w:t>NET INCREASE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32,905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4,179</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62,321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39,295</w:t>
            </w: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3"/>
              </w:rPr>
              <w:t>95,226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43,474</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06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6,409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7,279</w:t>
            </w:r>
          </w:p>
        </w:tc>
      </w:tr>
      <w:tr>
        <w:trPr>
          <w:trHeight w:val="216"/>
        </w:trPr>
        <w:tc>
          <w:tcPr>
            <w:tcW w:w="8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 (2), (3), (4), (5)</w:t>
            </w:r>
          </w:p>
        </w:tc>
        <w:tc>
          <w:tcPr>
            <w:tcW w:w="13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Industry</w:t>
            </w:r>
          </w:p>
        </w:tc>
        <w:tc>
          <w:tcPr>
            <w:tcW w:w="28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Type of Investment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Non-control/non-affiliated investments - 181.4%</w:t>
            </w:r>
          </w:p>
        </w:tc>
        <w:tc>
          <w:tcPr>
            <w:tcW w:w="2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United States</w:t>
            </w: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IT Consulting</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(13.0% Cash, Due 12/4/22)</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13,036</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13,036</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IT Consulting</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Units (965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IT Consulting</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Membership Units (39,000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13,745</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(8.0% Cash, Due 12/18/22)</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Series A Preferred Units (12,759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Series B Preferred Units (44,367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Series C Preferred Units (78,900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Membership Units (20,092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Membership Unit Warrants (49,295 warrants)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12,337</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American Clinical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(7.0% Cash, Due 12/31/22)</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3,430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American Clinical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(7.0% Cash, Due 10/13/20)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American Clinical Solutions,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Class A Membership Units (6,030,384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3,198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6,878</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AmeriMark Direct, LLC</w:t>
            </w:r>
          </w:p>
        </w:tc>
        <w:tc>
          <w:tcPr>
            <w:tcW w:w="1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Products</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First Lien Debt (14.3% Cash, Due 9/8/21)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15,273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15,023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15,273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15,023</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13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Consumer Products</w:t>
            </w:r>
          </w:p>
        </w:tc>
        <w:tc>
          <w:tcPr>
            <w:tcW w:w="288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First Lien Debt (9.0% Cash (1 month LIBOR</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+ 8.5%, 0.5% Floor), Due 11/14/21) </w:t>
            </w:r>
            <w:r>
              <w:rPr>
                <w:rFonts w:ascii="Arial" w:cs="Arial" w:eastAsia="Arial" w:hAnsi="Arial"/>
                <w:sz w:val="22"/>
                <w:szCs w:val="22"/>
                <w:color w:val="auto"/>
                <w:vertAlign w:val="superscript"/>
              </w:rPr>
              <w:t>(6)</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3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Merchandise</w:t>
            </w:r>
          </w:p>
        </w:tc>
        <w:tc>
          <w:tcPr>
            <w:tcW w:w="28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(7.0% Cash (1 month LIBOR</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spacing w:after="0"/>
              <w:rPr>
                <w:sz w:val="18"/>
                <w:szCs w:val="18"/>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Retailer</w:t>
            </w:r>
          </w:p>
        </w:tc>
        <w:tc>
          <w:tcPr>
            <w:tcW w:w="2880" w:type="dxa"/>
            <w:vAlign w:val="bottom"/>
            <w:gridSpan w:val="2"/>
            <w:shd w:val="clear" w:color="auto" w:fill="CCEEFF"/>
          </w:tcPr>
          <w:p>
            <w:pPr>
              <w:ind w:left="100"/>
              <w:spacing w:after="0" w:line="208" w:lineRule="exact"/>
              <w:rPr>
                <w:sz w:val="20"/>
                <w:szCs w:val="20"/>
                <w:color w:val="auto"/>
              </w:rPr>
            </w:pPr>
            <w:r>
              <w:rPr>
                <w:rFonts w:ascii="Arial" w:cs="Arial" w:eastAsia="Arial" w:hAnsi="Arial"/>
                <w:sz w:val="14"/>
                <w:szCs w:val="14"/>
                <w:color w:val="auto"/>
              </w:rPr>
              <w:t xml:space="preserve">+ 6.0%, 1.0% Floor), Due 9/8/20) </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3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Merchandise</w:t>
            </w:r>
          </w:p>
        </w:tc>
        <w:tc>
          <w:tcPr>
            <w:tcW w:w="28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(7.0% Cash (1 month LIBOR</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spacing w:after="0"/>
              <w:rPr>
                <w:sz w:val="14"/>
                <w:szCs w:val="14"/>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Retailer</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+ 6.0%, 1.0% Floor), Due 9/8/20)</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3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Merchandise</w:t>
            </w:r>
          </w:p>
        </w:tc>
        <w:tc>
          <w:tcPr>
            <w:tcW w:w="28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(9.8% Cash (Prime + 6.5%,</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spacing w:after="0"/>
              <w:rPr>
                <w:sz w:val="18"/>
                <w:szCs w:val="18"/>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Retailer</w:t>
            </w:r>
          </w:p>
        </w:tc>
        <w:tc>
          <w:tcPr>
            <w:tcW w:w="2880" w:type="dxa"/>
            <w:vAlign w:val="bottom"/>
            <w:gridSpan w:val="2"/>
            <w:shd w:val="clear" w:color="auto" w:fill="CCEEFF"/>
          </w:tcPr>
          <w:p>
            <w:pPr>
              <w:ind w:left="100"/>
              <w:spacing w:after="0" w:line="208" w:lineRule="exact"/>
              <w:rPr>
                <w:sz w:val="20"/>
                <w:szCs w:val="20"/>
                <w:color w:val="auto"/>
              </w:rPr>
            </w:pPr>
            <w:r>
              <w:rPr>
                <w:rFonts w:ascii="Arial" w:cs="Arial" w:eastAsia="Arial" w:hAnsi="Arial"/>
                <w:sz w:val="14"/>
                <w:szCs w:val="14"/>
                <w:color w:val="auto"/>
              </w:rPr>
              <w:t xml:space="preserve">2.0% Floor), Due 11/7/20) </w:t>
            </w:r>
            <w:r>
              <w:rPr>
                <w:rFonts w:ascii="Arial" w:cs="Arial" w:eastAsia="Arial" w:hAnsi="Arial"/>
                <w:sz w:val="23"/>
                <w:szCs w:val="23"/>
                <w:color w:val="auto"/>
                <w:vertAlign w:val="superscript"/>
              </w:rPr>
              <w:t>(6)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 xml:space="preserve">Portfolio Company, Country </w:t>
            </w:r>
            <w:r>
              <w:rPr>
                <w:rFonts w:ascii="Arial" w:cs="Arial" w:eastAsia="Arial" w:hAnsi="Arial"/>
                <w:sz w:val="23"/>
                <w:szCs w:val="23"/>
                <w:b w:val="1"/>
                <w:bCs w:val="1"/>
                <w:color w:val="auto"/>
                <w:w w:val="91"/>
                <w:vertAlign w:val="superscript"/>
              </w:rPr>
              <w:t>(1)</w:t>
            </w:r>
            <w:r>
              <w:rPr>
                <w:rFonts w:ascii="Arial" w:cs="Arial" w:eastAsia="Arial" w:hAnsi="Arial"/>
                <w:sz w:val="23"/>
                <w:szCs w:val="23"/>
                <w:b w:val="1"/>
                <w:bCs w:val="1"/>
                <w:u w:val="single" w:color="auto"/>
                <w:color w:val="auto"/>
                <w:w w:val="91"/>
                <w:vertAlign w:val="superscript"/>
              </w:rPr>
              <w:t>,</w:t>
            </w:r>
            <w:r>
              <w:rPr>
                <w:rFonts w:ascii="Arial" w:cs="Arial" w:eastAsia="Arial" w:hAnsi="Arial"/>
                <w:sz w:val="14"/>
                <w:szCs w:val="14"/>
                <w:b w:val="1"/>
                <w:bCs w:val="1"/>
                <w:color w:val="auto"/>
                <w:w w:val="91"/>
              </w:rPr>
              <w:t xml:space="preserve"> </w:t>
            </w:r>
            <w:r>
              <w:rPr>
                <w:rFonts w:ascii="Arial" w:cs="Arial" w:eastAsia="Arial" w:hAnsi="Arial"/>
                <w:sz w:val="23"/>
                <w:szCs w:val="23"/>
                <w:b w:val="1"/>
                <w:bCs w:val="1"/>
                <w:color w:val="auto"/>
                <w:w w:val="91"/>
                <w:vertAlign w:val="superscript"/>
              </w:rPr>
              <w:t>(2), (3), (4), (5)</w:t>
            </w: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9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Principal</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96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23"/>
        </w:trPr>
        <w:tc>
          <w:tcPr>
            <w:tcW w:w="28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Burke America Parts Group, LLC</w:t>
            </w:r>
          </w:p>
        </w:tc>
        <w:tc>
          <w:tcPr>
            <w:tcW w:w="1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Home Repair Parts</w:t>
            </w:r>
          </w:p>
        </w:tc>
        <w:tc>
          <w:tcPr>
            <w:tcW w:w="120" w:type="dxa"/>
            <w:vAlign w:val="bottom"/>
            <w:tcBorders>
              <w:top w:val="single" w:sz="8" w:color="CCEEFF"/>
            </w:tcBorders>
            <w:shd w:val="clear" w:color="auto" w:fill="CCEEFF"/>
          </w:tcPr>
          <w:p>
            <w:pPr>
              <w:spacing w:after="0"/>
              <w:rPr>
                <w:sz w:val="10"/>
                <w:szCs w:val="10"/>
                <w:color w:val="auto"/>
              </w:rPr>
            </w:pPr>
          </w:p>
        </w:tc>
        <w:tc>
          <w:tcPr>
            <w:tcW w:w="28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Membership Units (14 units)</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2,118</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California Pizza Kitchen, Inc.</w:t>
            </w:r>
          </w:p>
        </w:tc>
        <w:tc>
          <w:tcPr>
            <w:tcW w:w="13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Restaurant</w:t>
            </w:r>
          </w:p>
        </w:tc>
        <w:tc>
          <w:tcPr>
            <w:tcW w:w="30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Second Lien Debt (11.0% Cash (3 month</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6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LIBOR + 10.0%, 1.0% Floor), Due 8/23/23) </w:t>
            </w:r>
            <w:r>
              <w:rPr>
                <w:rFonts w:ascii="Arial" w:cs="Arial" w:eastAsia="Arial" w:hAnsi="Arial"/>
                <w:sz w:val="22"/>
                <w:szCs w:val="22"/>
                <w:color w:val="auto"/>
                <w:vertAlign w:val="superscript"/>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944</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Chicken Soup for the Soul,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Multi-platform Media</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First Lien Debt (10.0% Cash (1 month LIBOR +</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Consumer</w:t>
            </w:r>
          </w:p>
        </w:tc>
        <w:tc>
          <w:tcPr>
            <w:tcW w:w="30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8.5%, 1.5% Floor), Due 12/13/20)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(8.6% Cash (1 month LIBOR +</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306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7.0%, 1.6% Floor), Due 11/8/24)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Units (34,740 units)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Common Units (3,510 units)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6,824</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Government Services</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 LIBOR +</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8.5%, 1.0% Floor), 1.0% PIK, Due 9/14/22)</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9,189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9,189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CIS Secure Computing, Inc.</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Government Services</w:t>
            </w:r>
          </w:p>
        </w:tc>
        <w:tc>
          <w:tcPr>
            <w:tcW w:w="30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(46,163 shares)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11,739</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(9.0% Cash, 2.0% PIK, Due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11/29/21)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19,425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19,025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&amp; Marketing</w:t>
            </w:r>
          </w:p>
        </w:tc>
        <w:tc>
          <w:tcPr>
            <w:tcW w:w="30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(15,750 shares)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19,692</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3"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Currency Capital, LLC</w:t>
      </w:r>
      <w:r>
        <w:rPr>
          <w:sz w:val="20"/>
          <w:szCs w:val="20"/>
          <w:color w:val="auto"/>
        </w:rPr>
        <w:tab/>
      </w:r>
      <w:r>
        <w:rPr>
          <w:rFonts w:ascii="Arial" w:cs="Arial" w:eastAsia="Arial" w:hAnsi="Arial"/>
          <w:sz w:val="12"/>
          <w:szCs w:val="12"/>
          <w:color w:val="auto"/>
        </w:rPr>
        <w:t>Financial Services</w:t>
      </w:r>
    </w:p>
    <w:p>
      <w:pPr>
        <w:spacing w:after="0" w:line="200" w:lineRule="exact"/>
        <w:rPr>
          <w:sz w:val="20"/>
          <w:szCs w:val="20"/>
          <w:color w:val="auto"/>
        </w:rPr>
      </w:pPr>
    </w:p>
    <w:p>
      <w:pPr>
        <w:spacing w:after="0" w:line="287"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Currency Capital, LLC</w:t>
      </w:r>
      <w:r>
        <w:rPr>
          <w:sz w:val="20"/>
          <w:szCs w:val="20"/>
          <w:color w:val="auto"/>
        </w:rPr>
        <w:tab/>
      </w:r>
      <w:r>
        <w:rPr>
          <w:rFonts w:ascii="Arial" w:cs="Arial" w:eastAsia="Arial" w:hAnsi="Arial"/>
          <w:sz w:val="12"/>
          <w:szCs w:val="12"/>
          <w:color w:val="auto"/>
        </w:rPr>
        <w:t>Financial Services</w:t>
      </w:r>
    </w:p>
    <w:p>
      <w:pPr>
        <w:spacing w:after="0" w:line="200" w:lineRule="exact"/>
        <w:rPr>
          <w:sz w:val="20"/>
          <w:szCs w:val="20"/>
          <w:color w:val="auto"/>
        </w:rPr>
      </w:pPr>
    </w:p>
    <w:p>
      <w:pPr>
        <w:spacing w:after="0" w:line="314"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Freedom Electronics, LLC</w:t>
      </w:r>
      <w:r>
        <w:rPr>
          <w:sz w:val="20"/>
          <w:szCs w:val="20"/>
          <w:color w:val="auto"/>
        </w:rPr>
        <w:tab/>
      </w:r>
      <w:r>
        <w:rPr>
          <w:rFonts w:ascii="Arial" w:cs="Arial" w:eastAsia="Arial" w:hAnsi="Arial"/>
          <w:sz w:val="13"/>
          <w:szCs w:val="13"/>
          <w:color w:val="auto"/>
        </w:rPr>
        <w:t>Electronic Machine</w:t>
      </w:r>
    </w:p>
    <w:p>
      <w:pPr>
        <w:ind w:left="2960"/>
        <w:spacing w:after="0"/>
        <w:rPr>
          <w:sz w:val="20"/>
          <w:szCs w:val="20"/>
          <w:color w:val="auto"/>
        </w:rPr>
      </w:pPr>
      <w:r>
        <w:rPr>
          <w:rFonts w:ascii="Arial" w:cs="Arial" w:eastAsia="Arial" w:hAnsi="Arial"/>
          <w:sz w:val="14"/>
          <w:szCs w:val="14"/>
          <w:color w:val="auto"/>
        </w:rPr>
        <w:t>Repair</w:t>
      </w:r>
    </w:p>
    <w:p>
      <w:pPr>
        <w:spacing w:after="0" w:line="124"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Freedom Electronics, LLC</w:t>
      </w:r>
      <w:r>
        <w:rPr>
          <w:sz w:val="20"/>
          <w:szCs w:val="20"/>
          <w:color w:val="auto"/>
        </w:rPr>
        <w:tab/>
      </w:r>
      <w:r>
        <w:rPr>
          <w:rFonts w:ascii="Arial" w:cs="Arial" w:eastAsia="Arial" w:hAnsi="Arial"/>
          <w:sz w:val="13"/>
          <w:szCs w:val="13"/>
          <w:color w:val="auto"/>
        </w:rPr>
        <w:t>Electronic Machine</w:t>
      </w:r>
    </w:p>
    <w:p>
      <w:pPr>
        <w:ind w:left="2960"/>
        <w:spacing w:after="0"/>
        <w:rPr>
          <w:sz w:val="20"/>
          <w:szCs w:val="20"/>
          <w:color w:val="auto"/>
        </w:rPr>
      </w:pPr>
      <w:r>
        <w:rPr>
          <w:rFonts w:ascii="Arial" w:cs="Arial" w:eastAsia="Arial" w:hAnsi="Arial"/>
          <w:sz w:val="14"/>
          <w:szCs w:val="14"/>
          <w:color w:val="auto"/>
        </w:rPr>
        <w:t>Repair</w:t>
      </w:r>
    </w:p>
    <w:p>
      <w:pPr>
        <w:spacing w:after="0" w:line="178"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Freedom Electronics, LLC</w:t>
      </w:r>
      <w:r>
        <w:rPr>
          <w:sz w:val="20"/>
          <w:szCs w:val="20"/>
          <w:color w:val="auto"/>
        </w:rPr>
        <w:tab/>
      </w:r>
      <w:r>
        <w:rPr>
          <w:rFonts w:ascii="Arial" w:cs="Arial" w:eastAsia="Arial" w:hAnsi="Arial"/>
          <w:sz w:val="13"/>
          <w:szCs w:val="13"/>
          <w:color w:val="auto"/>
        </w:rPr>
        <w:t>Electronic Machine</w:t>
      </w:r>
    </w:p>
    <w:p>
      <w:pPr>
        <w:ind w:left="2960"/>
        <w:spacing w:after="0"/>
        <w:rPr>
          <w:sz w:val="20"/>
          <w:szCs w:val="20"/>
          <w:color w:val="auto"/>
        </w:rPr>
      </w:pPr>
      <w:r>
        <w:rPr>
          <w:rFonts w:ascii="Arial" w:cs="Arial" w:eastAsia="Arial" w:hAnsi="Arial"/>
          <w:sz w:val="14"/>
          <w:szCs w:val="14"/>
          <w:color w:val="auto"/>
        </w:rPr>
        <w:t>Repair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Arial" w:cs="Arial" w:eastAsia="Arial" w:hAnsi="Arial"/>
                <w:sz w:val="14"/>
                <w:szCs w:val="14"/>
                <w:color w:val="auto"/>
              </w:rPr>
              <w:t>First Lien Debt (12.5% Cash (1 month LIBOR +</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3"/>
                <w:szCs w:val="13"/>
                <w:color w:val="auto"/>
              </w:rPr>
              <w:t xml:space="preserve">12.0%, 0.5% Floor), 4.0% PIK, Due 7/20/21) </w:t>
            </w:r>
            <w:r>
              <w:rPr>
                <w:rFonts w:ascii="Arial" w:cs="Arial" w:eastAsia="Arial" w:hAnsi="Arial"/>
                <w:sz w:val="21"/>
                <w:szCs w:val="21"/>
                <w:color w:val="auto"/>
                <w:vertAlign w:val="superscript"/>
              </w:rPr>
              <w:t>(8)</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2"/>
                <w:szCs w:val="12"/>
                <w:color w:val="auto"/>
              </w:rPr>
              <w:t>(9)</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16,170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16,170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15,988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438"/>
        </w:trPr>
        <w:tc>
          <w:tcPr>
            <w:tcW w:w="3080" w:type="dxa"/>
            <w:vAlign w:val="bottom"/>
          </w:tcPr>
          <w:p>
            <w:pPr>
              <w:spacing w:after="0"/>
              <w:rPr>
                <w:sz w:val="20"/>
                <w:szCs w:val="20"/>
                <w:color w:val="auto"/>
              </w:rPr>
            </w:pPr>
            <w:r>
              <w:rPr>
                <w:rFonts w:ascii="Arial" w:cs="Arial" w:eastAsia="Arial" w:hAnsi="Arial"/>
                <w:sz w:val="14"/>
                <w:szCs w:val="14"/>
                <w:color w:val="auto"/>
              </w:rPr>
              <w:t xml:space="preserve">Class A Preferred Units (2,000,000 units) </w:t>
            </w:r>
            <w:r>
              <w:rPr>
                <w:rFonts w:ascii="Arial" w:cs="Arial" w:eastAsia="Arial" w:hAnsi="Arial"/>
                <w:sz w:val="23"/>
                <w:szCs w:val="23"/>
                <w:color w:val="auto"/>
                <w:vertAlign w:val="superscript"/>
              </w:rPr>
              <w:t>(8)</w:t>
            </w:r>
          </w:p>
        </w:tc>
        <w:tc>
          <w:tcPr>
            <w:tcW w:w="8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1,258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18,170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17,246</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3080" w:type="dxa"/>
            <w:vAlign w:val="bottom"/>
          </w:tcPr>
          <w:p>
            <w:pPr>
              <w:spacing w:after="0"/>
              <w:rPr>
                <w:sz w:val="20"/>
                <w:szCs w:val="20"/>
                <w:color w:val="auto"/>
              </w:rPr>
            </w:pPr>
            <w:r>
              <w:rPr>
                <w:rFonts w:ascii="Arial" w:cs="Arial" w:eastAsia="Arial" w:hAnsi="Arial"/>
                <w:sz w:val="14"/>
                <w:szCs w:val="14"/>
                <w:color w:val="auto"/>
              </w:rPr>
              <w:t>First Lien Debt (7.0% Cash (1 month LIBOR +</w:t>
            </w: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5.0%, 2.0% Floor), Due 12/20/23)</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2,704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2,704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2,704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314"/>
        </w:trPr>
        <w:tc>
          <w:tcPr>
            <w:tcW w:w="3080" w:type="dxa"/>
            <w:vAlign w:val="bottom"/>
          </w:tcPr>
          <w:p>
            <w:pPr>
              <w:spacing w:after="0"/>
              <w:rPr>
                <w:sz w:val="20"/>
                <w:szCs w:val="20"/>
                <w:color w:val="auto"/>
              </w:rPr>
            </w:pPr>
            <w:r>
              <w:rPr>
                <w:rFonts w:ascii="Arial" w:cs="Arial" w:eastAsia="Arial" w:hAnsi="Arial"/>
                <w:sz w:val="14"/>
                <w:szCs w:val="14"/>
                <w:color w:val="auto"/>
              </w:rPr>
              <w:t xml:space="preserve">First Lien Debt (8.6% Cash, Due 12/20/23) </w:t>
            </w:r>
            <w:r>
              <w:rPr>
                <w:rFonts w:ascii="Arial" w:cs="Arial" w:eastAsia="Arial" w:hAnsi="Arial"/>
                <w:sz w:val="23"/>
                <w:szCs w:val="23"/>
                <w:color w:val="auto"/>
                <w:vertAlign w:val="superscript"/>
              </w:rPr>
              <w:t>(10)</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2"/>
                <w:szCs w:val="12"/>
                <w:color w:val="auto"/>
              </w:rPr>
              <w:t>(11)</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6,399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6,399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6,219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14"/>
                <w:szCs w:val="14"/>
                <w:color w:val="auto"/>
              </w:rPr>
              <w:t>Membership Units (181,818 units)</w:t>
            </w:r>
          </w:p>
        </w:tc>
        <w:tc>
          <w:tcPr>
            <w:tcW w:w="880" w:type="dxa"/>
            <w:vAlign w:val="bottom"/>
          </w:tcPr>
          <w:p>
            <w:pPr>
              <w:spacing w:after="0"/>
              <w:rPr>
                <w:sz w:val="24"/>
                <w:szCs w:val="2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182</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139</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9,285</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9,062</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-1842135</wp:posOffset>
            </wp:positionV>
            <wp:extent cx="7132320"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-1430655</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-1207770</wp:posOffset>
            </wp:positionV>
            <wp:extent cx="71323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-1002030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-719455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-401955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-110490</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340"/>
            <w:col w:w="6820"/>
          </w:cols>
          <w:pgMar w:left="320" w:top="931" w:right="3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40" w:type="dxa"/>
            <w:vAlign w:val="bottom"/>
            <w:vMerge w:val="restart"/>
          </w:tcPr>
          <w:p>
            <w:pPr>
              <w:spacing w:after="0"/>
              <w:rPr>
                <w:sz w:val="14"/>
                <w:szCs w:val="14"/>
                <w:color w:val="auto"/>
              </w:rPr>
            </w:pP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8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Net Assets</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HUMC Opco, LLC</w:t>
            </w: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w:t>
            </w: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 Lien Debt (9.0% Cash, Due 8/16/20)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931"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color w:val="auto"/>
              </w:rPr>
              <w:t>J5 Infrastructure Partners, LLC</w:t>
            </w:r>
          </w:p>
        </w:tc>
        <w:tc>
          <w:tcPr>
            <w:tcW w:w="1700" w:type="dxa"/>
            <w:vAlign w:val="bottom"/>
          </w:tcPr>
          <w:p>
            <w:pPr>
              <w:ind w:left="360"/>
              <w:spacing w:after="0"/>
              <w:rPr>
                <w:sz w:val="20"/>
                <w:szCs w:val="20"/>
                <w:color w:val="auto"/>
              </w:rPr>
            </w:pPr>
            <w:r>
              <w:rPr>
                <w:rFonts w:ascii="Arial" w:cs="Arial" w:eastAsia="Arial" w:hAnsi="Arial"/>
                <w:sz w:val="14"/>
                <w:szCs w:val="14"/>
                <w:color w:val="auto"/>
                <w:w w:val="99"/>
              </w:rPr>
              <w:t>Wireless Deployment</w:t>
            </w:r>
          </w:p>
        </w:tc>
        <w:tc>
          <w:tcPr>
            <w:tcW w:w="2940" w:type="dxa"/>
            <w:vAlign w:val="bottom"/>
          </w:tcPr>
          <w:p>
            <w:pPr>
              <w:ind w:left="120"/>
              <w:spacing w:after="0"/>
              <w:rPr>
                <w:sz w:val="20"/>
                <w:szCs w:val="20"/>
                <w:color w:val="auto"/>
              </w:rPr>
            </w:pPr>
            <w:r>
              <w:rPr>
                <w:rFonts w:ascii="Arial" w:cs="Arial" w:eastAsia="Arial" w:hAnsi="Arial"/>
                <w:sz w:val="14"/>
                <w:szCs w:val="14"/>
                <w:color w:val="auto"/>
                <w:w w:val="98"/>
              </w:rPr>
              <w:t>First Lien Debt (8.3% Cash (1 month LIBOR +</w:t>
            </w:r>
          </w:p>
        </w:tc>
      </w:tr>
      <w:tr>
        <w:trPr>
          <w:trHeight w:val="323"/>
        </w:trPr>
        <w:tc>
          <w:tcPr>
            <w:tcW w:w="2600" w:type="dxa"/>
            <w:vAlign w:val="bottom"/>
          </w:tcPr>
          <w:p>
            <w:pPr>
              <w:spacing w:after="0"/>
              <w:rPr>
                <w:sz w:val="24"/>
                <w:szCs w:val="24"/>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Services</w:t>
            </w:r>
          </w:p>
        </w:tc>
        <w:tc>
          <w:tcPr>
            <w:tcW w:w="2940" w:type="dxa"/>
            <w:vAlign w:val="bottom"/>
          </w:tcPr>
          <w:p>
            <w:pPr>
              <w:ind w:left="120"/>
              <w:spacing w:after="0"/>
              <w:rPr>
                <w:sz w:val="20"/>
                <w:szCs w:val="20"/>
                <w:color w:val="auto"/>
              </w:rPr>
            </w:pPr>
            <w:r>
              <w:rPr>
                <w:rFonts w:ascii="Arial" w:cs="Arial" w:eastAsia="Arial" w:hAnsi="Arial"/>
                <w:sz w:val="14"/>
                <w:szCs w:val="14"/>
                <w:color w:val="auto"/>
              </w:rPr>
              <w:t xml:space="preserve">6.5%, 1.8% Floor), Due 12/20/24) </w:t>
            </w:r>
            <w:r>
              <w:rPr>
                <w:rFonts w:ascii="Arial" w:cs="Arial" w:eastAsia="Arial" w:hAnsi="Arial"/>
                <w:sz w:val="23"/>
                <w:szCs w:val="23"/>
                <w:color w:val="auto"/>
                <w:vertAlign w:val="superscript"/>
              </w:rPr>
              <w:t>(12)</w:t>
            </w:r>
          </w:p>
        </w:tc>
      </w:tr>
      <w:tr>
        <w:trPr>
          <w:trHeight w:val="163"/>
        </w:trPr>
        <w:tc>
          <w:tcPr>
            <w:tcW w:w="2600" w:type="dxa"/>
            <w:vAlign w:val="bottom"/>
          </w:tcPr>
          <w:p>
            <w:pPr>
              <w:spacing w:after="0"/>
              <w:rPr>
                <w:sz w:val="20"/>
                <w:szCs w:val="20"/>
                <w:color w:val="auto"/>
              </w:rPr>
            </w:pPr>
            <w:r>
              <w:rPr>
                <w:rFonts w:ascii="Arial" w:cs="Arial" w:eastAsia="Arial" w:hAnsi="Arial"/>
                <w:sz w:val="14"/>
                <w:szCs w:val="14"/>
                <w:color w:val="auto"/>
              </w:rPr>
              <w:t>J5 Infrastructure Partners, LLC</w:t>
            </w:r>
          </w:p>
        </w:tc>
        <w:tc>
          <w:tcPr>
            <w:tcW w:w="1700" w:type="dxa"/>
            <w:vAlign w:val="bottom"/>
          </w:tcPr>
          <w:p>
            <w:pPr>
              <w:ind w:left="360"/>
              <w:spacing w:after="0"/>
              <w:rPr>
                <w:sz w:val="20"/>
                <w:szCs w:val="20"/>
                <w:color w:val="auto"/>
              </w:rPr>
            </w:pPr>
            <w:r>
              <w:rPr>
                <w:rFonts w:ascii="Arial" w:cs="Arial" w:eastAsia="Arial" w:hAnsi="Arial"/>
                <w:sz w:val="14"/>
                <w:szCs w:val="14"/>
                <w:color w:val="auto"/>
                <w:w w:val="99"/>
              </w:rPr>
              <w:t>Wireless Deployment</w:t>
            </w:r>
          </w:p>
        </w:tc>
        <w:tc>
          <w:tcPr>
            <w:tcW w:w="2940" w:type="dxa"/>
            <w:vAlign w:val="bottom"/>
          </w:tcPr>
          <w:p>
            <w:pPr>
              <w:ind w:left="120"/>
              <w:spacing w:after="0"/>
              <w:rPr>
                <w:sz w:val="20"/>
                <w:szCs w:val="20"/>
                <w:color w:val="auto"/>
              </w:rPr>
            </w:pPr>
            <w:r>
              <w:rPr>
                <w:rFonts w:ascii="Arial" w:cs="Arial" w:eastAsia="Arial" w:hAnsi="Arial"/>
                <w:sz w:val="14"/>
                <w:szCs w:val="14"/>
                <w:color w:val="auto"/>
                <w:w w:val="98"/>
              </w:rPr>
              <w:t>First Lien Debt (8.3% Cash (1 month LIBOR +</w:t>
            </w:r>
          </w:p>
        </w:tc>
      </w:tr>
      <w:tr>
        <w:trPr>
          <w:trHeight w:val="182"/>
        </w:trPr>
        <w:tc>
          <w:tcPr>
            <w:tcW w:w="2600" w:type="dxa"/>
            <w:vAlign w:val="bottom"/>
          </w:tcPr>
          <w:p>
            <w:pPr>
              <w:spacing w:after="0"/>
              <w:rPr>
                <w:sz w:val="15"/>
                <w:szCs w:val="15"/>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Services</w:t>
            </w:r>
          </w:p>
        </w:tc>
        <w:tc>
          <w:tcPr>
            <w:tcW w:w="2940" w:type="dxa"/>
            <w:vAlign w:val="bottom"/>
          </w:tcPr>
          <w:p>
            <w:pPr>
              <w:ind w:left="120"/>
              <w:spacing w:after="0"/>
              <w:rPr>
                <w:sz w:val="20"/>
                <w:szCs w:val="20"/>
                <w:color w:val="auto"/>
              </w:rPr>
            </w:pPr>
            <w:r>
              <w:rPr>
                <w:rFonts w:ascii="Arial" w:cs="Arial" w:eastAsia="Arial" w:hAnsi="Arial"/>
                <w:sz w:val="14"/>
                <w:szCs w:val="14"/>
                <w:color w:val="auto"/>
              </w:rPr>
              <w:t>6.5%, 1.8% Floor), Due 12/20/24)</w:t>
            </w:r>
          </w:p>
        </w:tc>
      </w:tr>
      <w:tr>
        <w:trPr>
          <w:trHeight w:val="601"/>
        </w:trPr>
        <w:tc>
          <w:tcPr>
            <w:tcW w:w="2600" w:type="dxa"/>
            <w:vAlign w:val="bottom"/>
          </w:tcPr>
          <w:p>
            <w:pPr>
              <w:spacing w:after="0"/>
              <w:rPr>
                <w:sz w:val="20"/>
                <w:szCs w:val="20"/>
                <w:color w:val="auto"/>
              </w:rPr>
            </w:pPr>
            <w:r>
              <w:rPr>
                <w:rFonts w:ascii="Arial" w:cs="Arial" w:eastAsia="Arial" w:hAnsi="Arial"/>
                <w:sz w:val="14"/>
                <w:szCs w:val="14"/>
                <w:color w:val="auto"/>
              </w:rPr>
              <w:t>Jurassic Quest Holdings, LLC</w:t>
            </w:r>
          </w:p>
        </w:tc>
        <w:tc>
          <w:tcPr>
            <w:tcW w:w="1700" w:type="dxa"/>
            <w:vAlign w:val="bottom"/>
          </w:tcPr>
          <w:p>
            <w:pPr>
              <w:ind w:left="360"/>
              <w:spacing w:after="0"/>
              <w:rPr>
                <w:sz w:val="20"/>
                <w:szCs w:val="20"/>
                <w:color w:val="auto"/>
              </w:rPr>
            </w:pPr>
            <w:r>
              <w:rPr>
                <w:rFonts w:ascii="Arial" w:cs="Arial" w:eastAsia="Arial" w:hAnsi="Arial"/>
                <w:sz w:val="14"/>
                <w:szCs w:val="14"/>
                <w:color w:val="auto"/>
              </w:rPr>
              <w:t>Entertainment</w:t>
            </w:r>
          </w:p>
        </w:tc>
        <w:tc>
          <w:tcPr>
            <w:tcW w:w="2940" w:type="dxa"/>
            <w:vAlign w:val="bottom"/>
          </w:tcPr>
          <w:p>
            <w:pPr>
              <w:ind w:left="120"/>
              <w:spacing w:after="0"/>
              <w:rPr>
                <w:sz w:val="20"/>
                <w:szCs w:val="20"/>
                <w:color w:val="auto"/>
              </w:rPr>
            </w:pPr>
            <w:r>
              <w:rPr>
                <w:rFonts w:ascii="Arial" w:cs="Arial" w:eastAsia="Arial" w:hAnsi="Arial"/>
                <w:sz w:val="14"/>
                <w:szCs w:val="14"/>
                <w:color w:val="auto"/>
                <w:w w:val="98"/>
              </w:rPr>
              <w:t>First Lien Debt (9.5% Cash (1 month LIBOR +</w:t>
            </w:r>
          </w:p>
        </w:tc>
      </w:tr>
      <w:tr>
        <w:trPr>
          <w:trHeight w:val="182"/>
        </w:trPr>
        <w:tc>
          <w:tcPr>
            <w:tcW w:w="2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7.5%, 2.0% Floor), Due 5/1/24)</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Jurassic Quest Holdings, LLC</w:t>
            </w:r>
          </w:p>
        </w:tc>
        <w:tc>
          <w:tcPr>
            <w:tcW w:w="1700" w:type="dxa"/>
            <w:vAlign w:val="bottom"/>
          </w:tcPr>
          <w:p>
            <w:pPr>
              <w:ind w:left="360"/>
              <w:spacing w:after="0"/>
              <w:rPr>
                <w:sz w:val="20"/>
                <w:szCs w:val="20"/>
                <w:color w:val="auto"/>
              </w:rPr>
            </w:pPr>
            <w:r>
              <w:rPr>
                <w:rFonts w:ascii="Arial" w:cs="Arial" w:eastAsia="Arial" w:hAnsi="Arial"/>
                <w:sz w:val="14"/>
                <w:szCs w:val="14"/>
                <w:color w:val="auto"/>
              </w:rPr>
              <w:t>Entertainment</w:t>
            </w:r>
          </w:p>
        </w:tc>
        <w:tc>
          <w:tcPr>
            <w:tcW w:w="2940" w:type="dxa"/>
            <w:vAlign w:val="bottom"/>
          </w:tcPr>
          <w:p>
            <w:pPr>
              <w:ind w:left="120"/>
              <w:spacing w:after="0"/>
              <w:rPr>
                <w:sz w:val="20"/>
                <w:szCs w:val="20"/>
                <w:color w:val="auto"/>
              </w:rPr>
            </w:pPr>
            <w:r>
              <w:rPr>
                <w:rFonts w:ascii="Arial" w:cs="Arial" w:eastAsia="Arial" w:hAnsi="Arial"/>
                <w:sz w:val="14"/>
                <w:szCs w:val="14"/>
                <w:color w:val="auto"/>
              </w:rPr>
              <w:t>Preferred Units (467,784 units)</w:t>
            </w:r>
          </w:p>
        </w:tc>
      </w:tr>
      <w:tr>
        <w:trPr>
          <w:trHeight w:val="775"/>
        </w:trPr>
        <w:tc>
          <w:tcPr>
            <w:tcW w:w="2600" w:type="dxa"/>
            <w:vAlign w:val="bottom"/>
          </w:tcPr>
          <w:p>
            <w:pPr>
              <w:spacing w:after="0"/>
              <w:rPr>
                <w:sz w:val="20"/>
                <w:szCs w:val="20"/>
                <w:color w:val="auto"/>
              </w:rPr>
            </w:pPr>
            <w:r>
              <w:rPr>
                <w:rFonts w:ascii="Arial" w:cs="Arial" w:eastAsia="Arial" w:hAnsi="Arial"/>
                <w:sz w:val="14"/>
                <w:szCs w:val="14"/>
                <w:color w:val="auto"/>
              </w:rPr>
              <w:t>MicroHoldco, LLC</w:t>
            </w:r>
          </w:p>
        </w:tc>
        <w:tc>
          <w:tcPr>
            <w:tcW w:w="1700" w:type="dxa"/>
            <w:vAlign w:val="bottom"/>
          </w:tcPr>
          <w:p>
            <w:pPr>
              <w:ind w:left="360"/>
              <w:spacing w:after="0"/>
              <w:rPr>
                <w:sz w:val="20"/>
                <w:szCs w:val="20"/>
                <w:color w:val="auto"/>
              </w:rPr>
            </w:pPr>
            <w:r>
              <w:rPr>
                <w:rFonts w:ascii="Arial" w:cs="Arial" w:eastAsia="Arial" w:hAnsi="Arial"/>
                <w:sz w:val="14"/>
                <w:szCs w:val="14"/>
                <w:color w:val="auto"/>
              </w:rPr>
              <w:t>General Industrial</w:t>
            </w:r>
          </w:p>
        </w:tc>
        <w:tc>
          <w:tcPr>
            <w:tcW w:w="2940" w:type="dxa"/>
            <w:vAlign w:val="bottom"/>
          </w:tcPr>
          <w:p>
            <w:pPr>
              <w:ind w:left="120"/>
              <w:spacing w:after="0"/>
              <w:rPr>
                <w:sz w:val="20"/>
                <w:szCs w:val="20"/>
                <w:color w:val="auto"/>
              </w:rPr>
            </w:pPr>
            <w:r>
              <w:rPr>
                <w:rFonts w:ascii="Arial" w:cs="Arial" w:eastAsia="Arial" w:hAnsi="Arial"/>
                <w:sz w:val="14"/>
                <w:szCs w:val="14"/>
                <w:color w:val="auto"/>
              </w:rPr>
              <w:t xml:space="preserve">Preferred Units (838,042 units) </w:t>
            </w:r>
            <w:r>
              <w:rPr>
                <w:rFonts w:ascii="Arial" w:cs="Arial" w:eastAsia="Arial" w:hAnsi="Arial"/>
                <w:sz w:val="23"/>
                <w:szCs w:val="23"/>
                <w:color w:val="auto"/>
                <w:vertAlign w:val="superscript"/>
              </w:rPr>
              <w:t>(13)</w:t>
            </w:r>
          </w:p>
        </w:tc>
      </w:tr>
      <w:tr>
        <w:trPr>
          <w:trHeight w:val="501"/>
        </w:trPr>
        <w:tc>
          <w:tcPr>
            <w:tcW w:w="2600" w:type="dxa"/>
            <w:vAlign w:val="bottom"/>
          </w:tcPr>
          <w:p>
            <w:pPr>
              <w:spacing w:after="0"/>
              <w:rPr>
                <w:sz w:val="20"/>
                <w:szCs w:val="20"/>
                <w:color w:val="auto"/>
              </w:rPr>
            </w:pPr>
            <w:r>
              <w:rPr>
                <w:rFonts w:ascii="Arial" w:cs="Arial" w:eastAsia="Arial" w:hAnsi="Arial"/>
                <w:sz w:val="14"/>
                <w:szCs w:val="14"/>
                <w:color w:val="auto"/>
              </w:rPr>
              <w:t>Rapid Fire Protection, Inc.</w:t>
            </w:r>
          </w:p>
        </w:tc>
        <w:tc>
          <w:tcPr>
            <w:tcW w:w="1700" w:type="dxa"/>
            <w:vAlign w:val="bottom"/>
          </w:tcPr>
          <w:p>
            <w:pPr>
              <w:ind w:left="360"/>
              <w:spacing w:after="0"/>
              <w:rPr>
                <w:sz w:val="20"/>
                <w:szCs w:val="20"/>
                <w:color w:val="auto"/>
              </w:rPr>
            </w:pPr>
            <w:r>
              <w:rPr>
                <w:rFonts w:ascii="Arial" w:cs="Arial" w:eastAsia="Arial" w:hAnsi="Arial"/>
                <w:sz w:val="14"/>
                <w:szCs w:val="14"/>
                <w:color w:val="auto"/>
              </w:rPr>
              <w:t>Security System</w:t>
            </w:r>
          </w:p>
        </w:tc>
        <w:tc>
          <w:tcPr>
            <w:tcW w:w="2940" w:type="dxa"/>
            <w:vAlign w:val="bottom"/>
          </w:tcPr>
          <w:p>
            <w:pPr>
              <w:ind w:left="120"/>
              <w:spacing w:after="0"/>
              <w:rPr>
                <w:sz w:val="20"/>
                <w:szCs w:val="20"/>
                <w:color w:val="auto"/>
              </w:rPr>
            </w:pPr>
            <w:r>
              <w:rPr>
                <w:rFonts w:ascii="Arial" w:cs="Arial" w:eastAsia="Arial" w:hAnsi="Arial"/>
                <w:sz w:val="14"/>
                <w:szCs w:val="14"/>
                <w:color w:val="auto"/>
                <w:w w:val="98"/>
              </w:rPr>
              <w:t>First Lien Debt (5.5% Cash (1 month LIBOR +</w:t>
            </w:r>
          </w:p>
        </w:tc>
      </w:tr>
      <w:tr>
        <w:trPr>
          <w:trHeight w:val="323"/>
        </w:trPr>
        <w:tc>
          <w:tcPr>
            <w:tcW w:w="2600" w:type="dxa"/>
            <w:vAlign w:val="bottom"/>
          </w:tcPr>
          <w:p>
            <w:pPr>
              <w:spacing w:after="0"/>
              <w:rPr>
                <w:sz w:val="24"/>
                <w:szCs w:val="24"/>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Services</w:t>
            </w:r>
          </w:p>
        </w:tc>
        <w:tc>
          <w:tcPr>
            <w:tcW w:w="2940" w:type="dxa"/>
            <w:vAlign w:val="bottom"/>
          </w:tcPr>
          <w:p>
            <w:pPr>
              <w:ind w:left="120"/>
              <w:spacing w:after="0"/>
              <w:rPr>
                <w:sz w:val="20"/>
                <w:szCs w:val="20"/>
                <w:color w:val="auto"/>
              </w:rPr>
            </w:pPr>
            <w:r>
              <w:rPr>
                <w:rFonts w:ascii="Arial" w:cs="Arial" w:eastAsia="Arial" w:hAnsi="Arial"/>
                <w:sz w:val="14"/>
                <w:szCs w:val="14"/>
                <w:color w:val="auto"/>
              </w:rPr>
              <w:t xml:space="preserve">3.8%, 1.7% Floor), Due 11/22/24) </w:t>
            </w:r>
            <w:r>
              <w:rPr>
                <w:rFonts w:ascii="Arial" w:cs="Arial" w:eastAsia="Arial" w:hAnsi="Arial"/>
                <w:sz w:val="23"/>
                <w:szCs w:val="23"/>
                <w:color w:val="auto"/>
                <w:vertAlign w:val="superscript"/>
              </w:rPr>
              <w:t>(14)</w:t>
            </w:r>
          </w:p>
        </w:tc>
      </w:tr>
      <w:tr>
        <w:trPr>
          <w:trHeight w:val="195"/>
        </w:trPr>
        <w:tc>
          <w:tcPr>
            <w:tcW w:w="2600" w:type="dxa"/>
            <w:vAlign w:val="bottom"/>
          </w:tcPr>
          <w:p>
            <w:pPr>
              <w:spacing w:after="0"/>
              <w:rPr>
                <w:sz w:val="20"/>
                <w:szCs w:val="20"/>
                <w:color w:val="auto"/>
              </w:rPr>
            </w:pPr>
            <w:r>
              <w:rPr>
                <w:rFonts w:ascii="Arial" w:cs="Arial" w:eastAsia="Arial" w:hAnsi="Arial"/>
                <w:sz w:val="14"/>
                <w:szCs w:val="14"/>
                <w:color w:val="auto"/>
              </w:rPr>
              <w:t>Rapid Fire Protection, Inc.</w:t>
            </w:r>
          </w:p>
        </w:tc>
        <w:tc>
          <w:tcPr>
            <w:tcW w:w="1700" w:type="dxa"/>
            <w:vAlign w:val="bottom"/>
          </w:tcPr>
          <w:p>
            <w:pPr>
              <w:ind w:left="360"/>
              <w:spacing w:after="0"/>
              <w:rPr>
                <w:sz w:val="20"/>
                <w:szCs w:val="20"/>
                <w:color w:val="auto"/>
              </w:rPr>
            </w:pPr>
            <w:r>
              <w:rPr>
                <w:rFonts w:ascii="Arial" w:cs="Arial" w:eastAsia="Arial" w:hAnsi="Arial"/>
                <w:sz w:val="14"/>
                <w:szCs w:val="14"/>
                <w:color w:val="auto"/>
              </w:rPr>
              <w:t>Security System</w:t>
            </w:r>
          </w:p>
        </w:tc>
        <w:tc>
          <w:tcPr>
            <w:tcW w:w="2940" w:type="dxa"/>
            <w:vAlign w:val="bottom"/>
          </w:tcPr>
          <w:p>
            <w:pPr>
              <w:ind w:left="120"/>
              <w:spacing w:after="0" w:line="195" w:lineRule="exact"/>
              <w:rPr>
                <w:sz w:val="20"/>
                <w:szCs w:val="20"/>
                <w:color w:val="auto"/>
              </w:rPr>
            </w:pPr>
            <w:r>
              <w:rPr>
                <w:rFonts w:ascii="Arial" w:cs="Arial" w:eastAsia="Arial" w:hAnsi="Arial"/>
                <w:sz w:val="14"/>
                <w:szCs w:val="14"/>
                <w:color w:val="auto"/>
                <w:w w:val="95"/>
              </w:rPr>
              <w:t xml:space="preserve">First Lien Debt (9.0% Cash, Due 11/22/24) </w:t>
            </w:r>
            <w:r>
              <w:rPr>
                <w:rFonts w:ascii="Arial" w:cs="Arial" w:eastAsia="Arial" w:hAnsi="Arial"/>
                <w:sz w:val="22"/>
                <w:szCs w:val="22"/>
                <w:color w:val="auto"/>
                <w:w w:val="95"/>
                <w:vertAlign w:val="superscript"/>
              </w:rPr>
              <w:t>(10)</w:t>
            </w:r>
          </w:p>
        </w:tc>
      </w:tr>
      <w:tr>
        <w:trPr>
          <w:trHeight w:val="182"/>
        </w:trPr>
        <w:tc>
          <w:tcPr>
            <w:tcW w:w="2600" w:type="dxa"/>
            <w:vAlign w:val="bottom"/>
          </w:tcPr>
          <w:p>
            <w:pPr>
              <w:spacing w:after="0"/>
              <w:rPr>
                <w:sz w:val="15"/>
                <w:szCs w:val="15"/>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Services</w:t>
            </w:r>
          </w:p>
        </w:tc>
        <w:tc>
          <w:tcPr>
            <w:tcW w:w="2940" w:type="dxa"/>
            <w:vAlign w:val="bottom"/>
          </w:tcPr>
          <w:p>
            <w:pPr>
              <w:ind w:left="120"/>
              <w:spacing w:after="0"/>
              <w:rPr>
                <w:sz w:val="20"/>
                <w:szCs w:val="20"/>
                <w:color w:val="auto"/>
              </w:rPr>
            </w:pPr>
            <w:r>
              <w:rPr>
                <w:rFonts w:ascii="Arial" w:cs="Arial" w:eastAsia="Arial" w:hAnsi="Arial"/>
                <w:sz w:val="12"/>
                <w:szCs w:val="12"/>
                <w:color w:val="auto"/>
              </w:rPr>
              <w:t>(15)</w:t>
            </w:r>
          </w:p>
        </w:tc>
      </w:tr>
      <w:tr>
        <w:trPr>
          <w:trHeight w:val="285"/>
        </w:trPr>
        <w:tc>
          <w:tcPr>
            <w:tcW w:w="2600" w:type="dxa"/>
            <w:vAlign w:val="bottom"/>
          </w:tcPr>
          <w:p>
            <w:pPr>
              <w:spacing w:after="0"/>
              <w:rPr>
                <w:sz w:val="20"/>
                <w:szCs w:val="20"/>
                <w:color w:val="auto"/>
              </w:rPr>
            </w:pPr>
            <w:r>
              <w:rPr>
                <w:rFonts w:ascii="Arial" w:cs="Arial" w:eastAsia="Arial" w:hAnsi="Arial"/>
                <w:sz w:val="14"/>
                <w:szCs w:val="14"/>
                <w:color w:val="auto"/>
              </w:rPr>
              <w:t>Rapid Fire Protection, Inc.</w:t>
            </w:r>
          </w:p>
        </w:tc>
        <w:tc>
          <w:tcPr>
            <w:tcW w:w="1700" w:type="dxa"/>
            <w:vAlign w:val="bottom"/>
          </w:tcPr>
          <w:p>
            <w:pPr>
              <w:ind w:left="360"/>
              <w:spacing w:after="0"/>
              <w:rPr>
                <w:sz w:val="20"/>
                <w:szCs w:val="20"/>
                <w:color w:val="auto"/>
              </w:rPr>
            </w:pPr>
            <w:r>
              <w:rPr>
                <w:rFonts w:ascii="Arial" w:cs="Arial" w:eastAsia="Arial" w:hAnsi="Arial"/>
                <w:sz w:val="14"/>
                <w:szCs w:val="14"/>
                <w:color w:val="auto"/>
              </w:rPr>
              <w:t>Security System</w:t>
            </w:r>
          </w:p>
        </w:tc>
        <w:tc>
          <w:tcPr>
            <w:tcW w:w="2940" w:type="dxa"/>
            <w:vAlign w:val="bottom"/>
          </w:tcPr>
          <w:p>
            <w:pPr>
              <w:ind w:left="120"/>
              <w:spacing w:after="0"/>
              <w:rPr>
                <w:sz w:val="20"/>
                <w:szCs w:val="20"/>
                <w:color w:val="auto"/>
              </w:rPr>
            </w:pPr>
            <w:r>
              <w:rPr>
                <w:rFonts w:ascii="Arial" w:cs="Arial" w:eastAsia="Arial" w:hAnsi="Arial"/>
                <w:sz w:val="14"/>
                <w:szCs w:val="14"/>
                <w:color w:val="auto"/>
              </w:rPr>
              <w:t>Common Stock (363 shares)</w:t>
            </w:r>
          </w:p>
        </w:tc>
      </w:tr>
      <w:tr>
        <w:trPr>
          <w:trHeight w:val="182"/>
        </w:trPr>
        <w:tc>
          <w:tcPr>
            <w:tcW w:w="2600" w:type="dxa"/>
            <w:vAlign w:val="bottom"/>
          </w:tcPr>
          <w:p>
            <w:pPr>
              <w:spacing w:after="0"/>
              <w:rPr>
                <w:sz w:val="15"/>
                <w:szCs w:val="15"/>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Services</w:t>
            </w:r>
          </w:p>
        </w:tc>
        <w:tc>
          <w:tcPr>
            <w:tcW w:w="2940" w:type="dxa"/>
            <w:vAlign w:val="bottom"/>
          </w:tcPr>
          <w:p>
            <w:pPr>
              <w:spacing w:after="0"/>
              <w:rPr>
                <w:sz w:val="15"/>
                <w:szCs w:val="15"/>
                <w:color w:val="auto"/>
              </w:rPr>
            </w:pPr>
          </w:p>
        </w:tc>
      </w:tr>
      <w:tr>
        <w:trPr>
          <w:trHeight w:val="601"/>
        </w:trPr>
        <w:tc>
          <w:tcPr>
            <w:tcW w:w="2600" w:type="dxa"/>
            <w:vAlign w:val="bottom"/>
          </w:tcPr>
          <w:p>
            <w:pPr>
              <w:spacing w:after="0"/>
              <w:rPr>
                <w:sz w:val="20"/>
                <w:szCs w:val="20"/>
                <w:color w:val="auto"/>
              </w:rPr>
            </w:pPr>
            <w:r>
              <w:rPr>
                <w:rFonts w:ascii="Arial" w:cs="Arial" w:eastAsia="Arial" w:hAnsi="Arial"/>
                <w:sz w:val="14"/>
                <w:szCs w:val="14"/>
                <w:color w:val="auto"/>
              </w:rPr>
              <w:t>Seitel, Inc.</w:t>
            </w:r>
          </w:p>
        </w:tc>
        <w:tc>
          <w:tcPr>
            <w:tcW w:w="1700" w:type="dxa"/>
            <w:vAlign w:val="bottom"/>
          </w:tcPr>
          <w:p>
            <w:pPr>
              <w:ind w:left="360"/>
              <w:spacing w:after="0"/>
              <w:rPr>
                <w:sz w:val="20"/>
                <w:szCs w:val="20"/>
                <w:color w:val="auto"/>
              </w:rPr>
            </w:pPr>
            <w:r>
              <w:rPr>
                <w:rFonts w:ascii="Arial" w:cs="Arial" w:eastAsia="Arial" w:hAnsi="Arial"/>
                <w:sz w:val="14"/>
                <w:szCs w:val="14"/>
                <w:color w:val="auto"/>
              </w:rPr>
              <w:t>Data Services</w:t>
            </w:r>
          </w:p>
        </w:tc>
        <w:tc>
          <w:tcPr>
            <w:tcW w:w="2940" w:type="dxa"/>
            <w:vAlign w:val="bottom"/>
          </w:tcPr>
          <w:p>
            <w:pPr>
              <w:ind w:left="120"/>
              <w:spacing w:after="0"/>
              <w:rPr>
                <w:sz w:val="20"/>
                <w:szCs w:val="20"/>
                <w:color w:val="auto"/>
              </w:rPr>
            </w:pPr>
            <w:r>
              <w:rPr>
                <w:rFonts w:ascii="Arial" w:cs="Arial" w:eastAsia="Arial" w:hAnsi="Arial"/>
                <w:sz w:val="14"/>
                <w:szCs w:val="14"/>
                <w:color w:val="auto"/>
                <w:w w:val="98"/>
              </w:rPr>
              <w:t>First Lien Debt (9.3% Cash (3 month LIBOR +</w:t>
            </w:r>
          </w:p>
        </w:tc>
      </w:tr>
      <w:tr>
        <w:trPr>
          <w:trHeight w:val="182"/>
        </w:trPr>
        <w:tc>
          <w:tcPr>
            <w:tcW w:w="2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8.3%, 1.0% Floor), Due 3/15/23)</w:t>
            </w:r>
          </w:p>
        </w:tc>
      </w:tr>
      <w:tr>
        <w:trPr>
          <w:trHeight w:val="633"/>
        </w:trPr>
        <w:tc>
          <w:tcPr>
            <w:tcW w:w="2600" w:type="dxa"/>
            <w:vAlign w:val="bottom"/>
          </w:tcPr>
          <w:p>
            <w:pPr>
              <w:spacing w:after="0"/>
              <w:rPr>
                <w:sz w:val="20"/>
                <w:szCs w:val="20"/>
                <w:color w:val="auto"/>
              </w:rPr>
            </w:pPr>
            <w:r>
              <w:rPr>
                <w:rFonts w:ascii="Arial" w:cs="Arial" w:eastAsia="Arial" w:hAnsi="Arial"/>
                <w:sz w:val="14"/>
                <w:szCs w:val="14"/>
                <w:color w:val="auto"/>
              </w:rPr>
              <w:t>Sequoia Healthcare Management, LLC</w:t>
            </w:r>
          </w:p>
        </w:tc>
        <w:tc>
          <w:tcPr>
            <w:tcW w:w="1700" w:type="dxa"/>
            <w:vAlign w:val="bottom"/>
          </w:tcPr>
          <w:p>
            <w:pPr>
              <w:ind w:left="360"/>
              <w:spacing w:after="0"/>
              <w:rPr>
                <w:sz w:val="20"/>
                <w:szCs w:val="20"/>
                <w:color w:val="auto"/>
              </w:rPr>
            </w:pPr>
            <w:r>
              <w:rPr>
                <w:rFonts w:ascii="Arial" w:cs="Arial" w:eastAsia="Arial" w:hAnsi="Arial"/>
                <w:sz w:val="14"/>
                <w:szCs w:val="14"/>
                <w:color w:val="auto"/>
              </w:rPr>
              <w:t>Healthcare</w:t>
            </w:r>
          </w:p>
        </w:tc>
        <w:tc>
          <w:tcPr>
            <w:tcW w:w="2940" w:type="dxa"/>
            <w:vAlign w:val="bottom"/>
          </w:tcPr>
          <w:p>
            <w:pPr>
              <w:ind w:left="120"/>
              <w:spacing w:after="0"/>
              <w:rPr>
                <w:sz w:val="20"/>
                <w:szCs w:val="20"/>
                <w:color w:val="auto"/>
              </w:rPr>
            </w:pPr>
            <w:r>
              <w:rPr>
                <w:rFonts w:ascii="Arial" w:cs="Arial" w:eastAsia="Arial" w:hAnsi="Arial"/>
                <w:sz w:val="14"/>
                <w:szCs w:val="14"/>
                <w:color w:val="auto"/>
                <w:w w:val="91"/>
              </w:rPr>
              <w:t xml:space="preserve">First Lien Debt (12.8% Cash, Due 8/16/20) </w:t>
            </w:r>
            <w:r>
              <w:rPr>
                <w:rFonts w:ascii="Arial" w:cs="Arial" w:eastAsia="Arial" w:hAnsi="Arial"/>
                <w:sz w:val="23"/>
                <w:szCs w:val="23"/>
                <w:color w:val="auto"/>
                <w:w w:val="91"/>
                <w:vertAlign w:val="superscript"/>
              </w:rPr>
              <w:t>(6)(9)</w:t>
            </w:r>
          </w:p>
        </w:tc>
      </w:tr>
      <w:tr>
        <w:trPr>
          <w:trHeight w:val="182"/>
        </w:trPr>
        <w:tc>
          <w:tcPr>
            <w:tcW w:w="2600" w:type="dxa"/>
            <w:vAlign w:val="bottom"/>
          </w:tcPr>
          <w:p>
            <w:pPr>
              <w:spacing w:after="0"/>
              <w:rPr>
                <w:sz w:val="15"/>
                <w:szCs w:val="15"/>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Management</w:t>
            </w:r>
          </w:p>
        </w:tc>
        <w:tc>
          <w:tcPr>
            <w:tcW w:w="2940" w:type="dxa"/>
            <w:vAlign w:val="bottom"/>
          </w:tcPr>
          <w:p>
            <w:pPr>
              <w:spacing w:after="0"/>
              <w:rPr>
                <w:sz w:val="15"/>
                <w:szCs w:val="15"/>
                <w:color w:val="auto"/>
              </w:rPr>
            </w:pPr>
          </w:p>
        </w:tc>
      </w:tr>
      <w:tr>
        <w:trPr>
          <w:trHeight w:val="569"/>
        </w:trPr>
        <w:tc>
          <w:tcPr>
            <w:tcW w:w="2600" w:type="dxa"/>
            <w:vAlign w:val="bottom"/>
          </w:tcPr>
          <w:p>
            <w:pPr>
              <w:spacing w:after="0"/>
              <w:rPr>
                <w:sz w:val="20"/>
                <w:szCs w:val="20"/>
                <w:color w:val="auto"/>
              </w:rPr>
            </w:pPr>
            <w:r>
              <w:rPr>
                <w:rFonts w:ascii="Arial" w:cs="Arial" w:eastAsia="Arial" w:hAnsi="Arial"/>
                <w:sz w:val="14"/>
                <w:szCs w:val="14"/>
                <w:color w:val="auto"/>
              </w:rPr>
              <w:t>Taylor Precision Products, Inc.</w:t>
            </w:r>
          </w:p>
        </w:tc>
        <w:tc>
          <w:tcPr>
            <w:tcW w:w="1700" w:type="dxa"/>
            <w:vAlign w:val="bottom"/>
          </w:tcPr>
          <w:p>
            <w:pPr>
              <w:ind w:left="360"/>
              <w:spacing w:after="0"/>
              <w:rPr>
                <w:sz w:val="20"/>
                <w:szCs w:val="20"/>
                <w:color w:val="auto"/>
              </w:rPr>
            </w:pPr>
            <w:r>
              <w:rPr>
                <w:rFonts w:ascii="Arial" w:cs="Arial" w:eastAsia="Arial" w:hAnsi="Arial"/>
                <w:sz w:val="14"/>
                <w:szCs w:val="14"/>
                <w:color w:val="auto"/>
              </w:rPr>
              <w:t>Household Product</w:t>
            </w:r>
          </w:p>
        </w:tc>
        <w:tc>
          <w:tcPr>
            <w:tcW w:w="2940" w:type="dxa"/>
            <w:vAlign w:val="bottom"/>
          </w:tcPr>
          <w:p>
            <w:pPr>
              <w:ind w:left="120"/>
              <w:spacing w:after="0"/>
              <w:rPr>
                <w:sz w:val="20"/>
                <w:szCs w:val="20"/>
                <w:color w:val="auto"/>
              </w:rPr>
            </w:pPr>
            <w:r>
              <w:rPr>
                <w:rFonts w:ascii="Arial" w:cs="Arial" w:eastAsia="Arial" w:hAnsi="Arial"/>
                <w:sz w:val="14"/>
                <w:szCs w:val="14"/>
                <w:color w:val="auto"/>
              </w:rPr>
              <w:t>Series C Preferred Stock (379 shares)</w:t>
            </w:r>
          </w:p>
        </w:tc>
      </w:tr>
      <w:tr>
        <w:trPr>
          <w:trHeight w:val="182"/>
        </w:trPr>
        <w:tc>
          <w:tcPr>
            <w:tcW w:w="2600" w:type="dxa"/>
            <w:vAlign w:val="bottom"/>
          </w:tcPr>
          <w:p>
            <w:pPr>
              <w:spacing w:after="0"/>
              <w:rPr>
                <w:sz w:val="15"/>
                <w:szCs w:val="15"/>
                <w:color w:val="auto"/>
              </w:rPr>
            </w:pPr>
          </w:p>
        </w:tc>
        <w:tc>
          <w:tcPr>
            <w:tcW w:w="1700" w:type="dxa"/>
            <w:vAlign w:val="bottom"/>
          </w:tcPr>
          <w:p>
            <w:pPr>
              <w:ind w:left="360"/>
              <w:spacing w:after="0"/>
              <w:rPr>
                <w:sz w:val="20"/>
                <w:szCs w:val="20"/>
                <w:color w:val="auto"/>
              </w:rPr>
            </w:pPr>
            <w:r>
              <w:rPr>
                <w:rFonts w:ascii="Arial" w:cs="Arial" w:eastAsia="Arial" w:hAnsi="Arial"/>
                <w:sz w:val="14"/>
                <w:szCs w:val="14"/>
                <w:color w:val="auto"/>
              </w:rPr>
              <w:t>Manufacturer</w:t>
            </w:r>
          </w:p>
        </w:tc>
        <w:tc>
          <w:tcPr>
            <w:tcW w:w="2940" w:type="dxa"/>
            <w:vAlign w:val="bottom"/>
          </w:tcPr>
          <w:p>
            <w:pPr>
              <w:spacing w:after="0"/>
              <w:rPr>
                <w:sz w:val="15"/>
                <w:szCs w:val="15"/>
                <w:color w:val="auto"/>
              </w:rPr>
            </w:pPr>
          </w:p>
        </w:tc>
      </w:tr>
      <w:tr>
        <w:trPr>
          <w:trHeight w:val="601"/>
        </w:trPr>
        <w:tc>
          <w:tcPr>
            <w:tcW w:w="260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1700" w:type="dxa"/>
            <w:vAlign w:val="bottom"/>
          </w:tcPr>
          <w:p>
            <w:pPr>
              <w:ind w:left="360"/>
              <w:spacing w:after="0"/>
              <w:rPr>
                <w:sz w:val="20"/>
                <w:szCs w:val="20"/>
                <w:color w:val="auto"/>
              </w:rPr>
            </w:pPr>
            <w:r>
              <w:rPr>
                <w:rFonts w:ascii="Arial" w:cs="Arial" w:eastAsia="Arial" w:hAnsi="Arial"/>
                <w:sz w:val="14"/>
                <w:szCs w:val="14"/>
                <w:color w:val="auto"/>
              </w:rPr>
              <w:t>Testing laboratories</w:t>
            </w:r>
          </w:p>
        </w:tc>
        <w:tc>
          <w:tcPr>
            <w:tcW w:w="2940" w:type="dxa"/>
            <w:vAlign w:val="bottom"/>
          </w:tcPr>
          <w:p>
            <w:pPr>
              <w:ind w:left="120"/>
              <w:spacing w:after="0"/>
              <w:rPr>
                <w:sz w:val="20"/>
                <w:szCs w:val="20"/>
                <w:color w:val="auto"/>
              </w:rPr>
            </w:pPr>
            <w:r>
              <w:rPr>
                <w:rFonts w:ascii="Arial" w:cs="Arial" w:eastAsia="Arial" w:hAnsi="Arial"/>
                <w:sz w:val="14"/>
                <w:szCs w:val="14"/>
                <w:color w:val="auto"/>
                <w:w w:val="98"/>
              </w:rPr>
              <w:t>First Lien Debt (7.0% Cash (3 month LIBOR +</w:t>
            </w:r>
          </w:p>
        </w:tc>
      </w:tr>
      <w:tr>
        <w:trPr>
          <w:trHeight w:val="182"/>
        </w:trPr>
        <w:tc>
          <w:tcPr>
            <w:tcW w:w="2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5.0%, 2.0% Floor), Due 12/14/23)</w:t>
            </w:r>
          </w:p>
        </w:tc>
      </w:tr>
      <w:tr>
        <w:trPr>
          <w:trHeight w:val="314"/>
        </w:trPr>
        <w:tc>
          <w:tcPr>
            <w:tcW w:w="260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1700" w:type="dxa"/>
            <w:vAlign w:val="bottom"/>
          </w:tcPr>
          <w:p>
            <w:pPr>
              <w:ind w:left="360"/>
              <w:spacing w:after="0"/>
              <w:rPr>
                <w:sz w:val="20"/>
                <w:szCs w:val="20"/>
                <w:color w:val="auto"/>
              </w:rPr>
            </w:pPr>
            <w:r>
              <w:rPr>
                <w:rFonts w:ascii="Arial" w:cs="Arial" w:eastAsia="Arial" w:hAnsi="Arial"/>
                <w:sz w:val="14"/>
                <w:szCs w:val="14"/>
                <w:color w:val="auto"/>
              </w:rPr>
              <w:t>Testing laboratories</w:t>
            </w:r>
          </w:p>
        </w:tc>
        <w:tc>
          <w:tcPr>
            <w:tcW w:w="2940" w:type="dxa"/>
            <w:vAlign w:val="bottom"/>
          </w:tcPr>
          <w:p>
            <w:pPr>
              <w:ind w:left="120"/>
              <w:spacing w:after="0"/>
              <w:rPr>
                <w:sz w:val="20"/>
                <w:szCs w:val="20"/>
                <w:color w:val="auto"/>
              </w:rPr>
            </w:pPr>
            <w:r>
              <w:rPr>
                <w:rFonts w:ascii="Arial" w:cs="Arial" w:eastAsia="Arial" w:hAnsi="Arial"/>
                <w:sz w:val="14"/>
                <w:szCs w:val="14"/>
                <w:color w:val="auto"/>
                <w:w w:val="94"/>
              </w:rPr>
              <w:t xml:space="preserve">First Lien Debt (9.3% Cash, Due 12/14/23) </w:t>
            </w:r>
            <w:r>
              <w:rPr>
                <w:rFonts w:ascii="Arial" w:cs="Arial" w:eastAsia="Arial" w:hAnsi="Arial"/>
                <w:sz w:val="23"/>
                <w:szCs w:val="23"/>
                <w:color w:val="auto"/>
                <w:w w:val="94"/>
                <w:vertAlign w:val="superscript"/>
              </w:rPr>
              <w:t>(10)</w:t>
            </w:r>
          </w:p>
        </w:tc>
      </w:tr>
      <w:tr>
        <w:trPr>
          <w:trHeight w:val="153"/>
        </w:trPr>
        <w:tc>
          <w:tcPr>
            <w:tcW w:w="2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(16)</w:t>
            </w:r>
          </w:p>
        </w:tc>
      </w:tr>
      <w:tr>
        <w:trPr>
          <w:trHeight w:val="330"/>
        </w:trPr>
        <w:tc>
          <w:tcPr>
            <w:tcW w:w="260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1700" w:type="dxa"/>
            <w:vAlign w:val="bottom"/>
          </w:tcPr>
          <w:p>
            <w:pPr>
              <w:ind w:left="360"/>
              <w:spacing w:after="0"/>
              <w:rPr>
                <w:sz w:val="20"/>
                <w:szCs w:val="20"/>
                <w:color w:val="auto"/>
              </w:rPr>
            </w:pPr>
            <w:r>
              <w:rPr>
                <w:rFonts w:ascii="Arial" w:cs="Arial" w:eastAsia="Arial" w:hAnsi="Arial"/>
                <w:sz w:val="14"/>
                <w:szCs w:val="14"/>
                <w:color w:val="auto"/>
              </w:rPr>
              <w:t>Testing laboratories</w:t>
            </w:r>
          </w:p>
        </w:tc>
        <w:tc>
          <w:tcPr>
            <w:tcW w:w="2940" w:type="dxa"/>
            <w:vAlign w:val="bottom"/>
          </w:tcPr>
          <w:p>
            <w:pPr>
              <w:ind w:left="120"/>
              <w:spacing w:after="0"/>
              <w:rPr>
                <w:sz w:val="20"/>
                <w:szCs w:val="20"/>
                <w:color w:val="auto"/>
              </w:rPr>
            </w:pPr>
            <w:r>
              <w:rPr>
                <w:rFonts w:ascii="Arial" w:cs="Arial" w:eastAsia="Arial" w:hAnsi="Arial"/>
                <w:sz w:val="14"/>
                <w:szCs w:val="14"/>
                <w:color w:val="auto"/>
              </w:rPr>
              <w:t>Class D Preferred Units (78 Units)</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1700" w:type="dxa"/>
            <w:vAlign w:val="bottom"/>
          </w:tcPr>
          <w:p>
            <w:pPr>
              <w:ind w:left="360"/>
              <w:spacing w:after="0"/>
              <w:rPr>
                <w:sz w:val="20"/>
                <w:szCs w:val="20"/>
                <w:color w:val="auto"/>
              </w:rPr>
            </w:pPr>
            <w:r>
              <w:rPr>
                <w:rFonts w:ascii="Arial" w:cs="Arial" w:eastAsia="Arial" w:hAnsi="Arial"/>
                <w:sz w:val="14"/>
                <w:szCs w:val="14"/>
                <w:color w:val="auto"/>
              </w:rPr>
              <w:t>Testing laboratories</w:t>
            </w:r>
          </w:p>
        </w:tc>
        <w:tc>
          <w:tcPr>
            <w:tcW w:w="2940" w:type="dxa"/>
            <w:vAlign w:val="bottom"/>
          </w:tcPr>
          <w:p>
            <w:pPr>
              <w:ind w:left="120"/>
              <w:spacing w:after="0"/>
              <w:rPr>
                <w:sz w:val="20"/>
                <w:szCs w:val="20"/>
                <w:color w:val="auto"/>
              </w:rPr>
            </w:pPr>
            <w:r>
              <w:rPr>
                <w:rFonts w:ascii="Arial" w:cs="Arial" w:eastAsia="Arial" w:hAnsi="Arial"/>
                <w:sz w:val="14"/>
                <w:szCs w:val="14"/>
                <w:color w:val="auto"/>
              </w:rPr>
              <w:t>Class A Preferred Units (500 Units)</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U.S. BioTek Laboratories, LLC</w:t>
            </w:r>
          </w:p>
        </w:tc>
        <w:tc>
          <w:tcPr>
            <w:tcW w:w="1700" w:type="dxa"/>
            <w:vAlign w:val="bottom"/>
          </w:tcPr>
          <w:p>
            <w:pPr>
              <w:ind w:left="360"/>
              <w:spacing w:after="0"/>
              <w:rPr>
                <w:sz w:val="20"/>
                <w:szCs w:val="20"/>
                <w:color w:val="auto"/>
              </w:rPr>
            </w:pPr>
            <w:r>
              <w:rPr>
                <w:rFonts w:ascii="Arial" w:cs="Arial" w:eastAsia="Arial" w:hAnsi="Arial"/>
                <w:sz w:val="14"/>
                <w:szCs w:val="14"/>
                <w:color w:val="auto"/>
              </w:rPr>
              <w:t>Testing laboratories</w:t>
            </w:r>
          </w:p>
        </w:tc>
        <w:tc>
          <w:tcPr>
            <w:tcW w:w="2940" w:type="dxa"/>
            <w:vAlign w:val="bottom"/>
          </w:tcPr>
          <w:p>
            <w:pPr>
              <w:ind w:left="120"/>
              <w:spacing w:after="0"/>
              <w:rPr>
                <w:sz w:val="20"/>
                <w:szCs w:val="20"/>
                <w:color w:val="auto"/>
              </w:rPr>
            </w:pPr>
            <w:r>
              <w:rPr>
                <w:rFonts w:ascii="Arial" w:cs="Arial" w:eastAsia="Arial" w:hAnsi="Arial"/>
                <w:sz w:val="14"/>
                <w:szCs w:val="14"/>
                <w:color w:val="auto"/>
              </w:rPr>
              <w:t>Class C Units (578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-5615305</wp:posOffset>
            </wp:positionV>
            <wp:extent cx="71323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-5306695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-5015230</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-4809490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-4526280</wp:posOffset>
            </wp:positionV>
            <wp:extent cx="713232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-4329430</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-4123690</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-3900805</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-3695065</wp:posOffset>
            </wp:positionV>
            <wp:extent cx="71323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-3386455</wp:posOffset>
            </wp:positionV>
            <wp:extent cx="71323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-3068955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-2777490</wp:posOffset>
            </wp:positionV>
            <wp:extent cx="71323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1323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-2075180</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1323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71323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46"/>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6,983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6,983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6,983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6,983</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6,983</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9,665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9,665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8,662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480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10,145</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8,662</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838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670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646</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646</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646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500"/>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7,479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7,479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7,479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8,625</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8,973</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4,624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4,624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4,039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4,624</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4,039</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12,535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12,535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11,601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12,535</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11,601</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758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1,843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1,843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1,843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499"/>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5,734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5,734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5,606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540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8,196</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7,648</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40" w:space="520"/>
            <w:col w:w="3480"/>
          </w:cols>
          <w:pgMar w:left="320" w:top="931" w:right="3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40" w:type="dxa"/>
            <w:vAlign w:val="bottom"/>
            <w:vMerge w:val="restart"/>
          </w:tcPr>
          <w:p>
            <w:pPr>
              <w:spacing w:after="0"/>
              <w:rPr>
                <w:sz w:val="14"/>
                <w:szCs w:val="14"/>
                <w:color w:val="auto"/>
              </w:rPr>
            </w:pP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8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Net Assets</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Inc.</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Oil &amp; Gas Services</w:t>
            </w:r>
          </w:p>
        </w:tc>
        <w:tc>
          <w:tcPr>
            <w:tcW w:w="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Class A Common Stock (77,073 shares) </w:t>
            </w:r>
            <w:r>
              <w:rPr>
                <w:rFonts w:ascii="Arial" w:cs="Arial" w:eastAsia="Arial" w:hAnsi="Arial"/>
                <w:sz w:val="21"/>
                <w:szCs w:val="21"/>
                <w:color w:val="auto"/>
                <w:vertAlign w:val="superscript"/>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771</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Inc.</w:t>
            </w: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Oil &amp; Gas Services</w:t>
            </w:r>
          </w:p>
        </w:tc>
        <w:tc>
          <w:tcPr>
            <w:tcW w:w="29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3"/>
                <w:szCs w:val="13"/>
                <w:color w:val="auto"/>
              </w:rPr>
              <w:t xml:space="preserve">Class B Common Stock (1,125,426 shares) </w:t>
            </w:r>
            <w:r>
              <w:rPr>
                <w:rFonts w:ascii="Arial" w:cs="Arial" w:eastAsia="Arial" w:hAnsi="Arial"/>
                <w:sz w:val="21"/>
                <w:szCs w:val="21"/>
                <w:color w:val="auto"/>
                <w:vertAlign w:val="superscript"/>
              </w:rPr>
              <w:t>(17)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589</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(600,000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799</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 Total Non-control/non-affiliated investments - United States</w:t>
            </w:r>
          </w:p>
        </w:tc>
        <w:tc>
          <w:tcPr>
            <w:tcW w:w="120" w:type="dxa"/>
            <w:vAlign w:val="bottom"/>
            <w:tcBorders>
              <w:bottom w:val="single" w:sz="8" w:color="CCEEFF"/>
            </w:tcBorders>
            <w:shd w:val="clear" w:color="auto" w:fill="CCEEFF"/>
          </w:tcPr>
          <w:p>
            <w:pPr>
              <w:spacing w:after="0"/>
              <w:rPr>
                <w:sz w:val="13"/>
                <w:szCs w:val="13"/>
                <w:color w:val="auto"/>
              </w:rPr>
            </w:pPr>
          </w:p>
        </w:tc>
        <w:tc>
          <w:tcPr>
            <w:tcW w:w="2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211,569</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190,650</w:t>
            </w: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181.4</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- 83.5%</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(12.0% Cash, 3.0% PIK, Due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3/23/21)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14,135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14,135</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Class B (1,085,073 shares)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Class A (1,253,198 shares)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14,016</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Footwear Retail</w:t>
            </w:r>
          </w:p>
        </w:tc>
        <w:tc>
          <w:tcPr>
            <w:tcW w:w="29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1"/>
                <w:szCs w:val="21"/>
                <w:color w:val="auto"/>
                <w:vertAlign w:val="superscript"/>
              </w:rPr>
              <w:t>(13)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Eastport Holdings, LLC</w:t>
            </w:r>
          </w:p>
        </w:tc>
        <w:tc>
          <w:tcPr>
            <w:tcW w:w="13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Business Services</w:t>
            </w:r>
          </w:p>
        </w:tc>
        <w:tc>
          <w:tcPr>
            <w:tcW w:w="294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Second Lien Debt (13.5% Cash (3 month</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w w:val="94"/>
              </w:rPr>
              <w:t xml:space="preserve">LIBOR + 13.0%, 0.5% Floor), Due 12/29/21) </w:t>
            </w:r>
            <w:r>
              <w:rPr>
                <w:rFonts w:ascii="Arial" w:cs="Arial" w:eastAsia="Arial" w:hAnsi="Arial"/>
                <w:sz w:val="22"/>
                <w:szCs w:val="22"/>
                <w:color w:val="auto"/>
                <w:w w:val="94"/>
                <w:vertAlign w:val="superscript"/>
              </w:rPr>
              <w:t>(9)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Eastport Holdings, LLC</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(22.9% ownership)</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31,940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A-1 Preferred Stock (1,998 shares)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Marketing Services</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B-1 Common Stock (200,000 shares)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Marketing Services</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3,939</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QSR Franchisor</w:t>
            </w:r>
          </w:p>
        </w:tc>
        <w:tc>
          <w:tcPr>
            <w:tcW w:w="2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(175,867 units)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QSR Franchisor</w:t>
            </w:r>
          </w:p>
        </w:tc>
        <w:tc>
          <w:tcPr>
            <w:tcW w:w="2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(2,593,234 units)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3,061</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 xml:space="preserve">Portfolio Company, Country </w:t>
            </w:r>
            <w:r>
              <w:rPr>
                <w:rFonts w:ascii="Arial" w:cs="Arial" w:eastAsia="Arial" w:hAnsi="Arial"/>
                <w:sz w:val="23"/>
                <w:szCs w:val="23"/>
                <w:b w:val="1"/>
                <w:bCs w:val="1"/>
                <w:color w:val="auto"/>
                <w:w w:val="91"/>
                <w:vertAlign w:val="superscript"/>
              </w:rPr>
              <w:t>(1)</w:t>
            </w:r>
            <w:r>
              <w:rPr>
                <w:rFonts w:ascii="Arial" w:cs="Arial" w:eastAsia="Arial" w:hAnsi="Arial"/>
                <w:sz w:val="23"/>
                <w:szCs w:val="23"/>
                <w:b w:val="1"/>
                <w:bCs w:val="1"/>
                <w:u w:val="single" w:color="auto"/>
                <w:color w:val="auto"/>
                <w:w w:val="91"/>
                <w:vertAlign w:val="superscript"/>
              </w:rPr>
              <w:t>,</w:t>
            </w:r>
            <w:r>
              <w:rPr>
                <w:rFonts w:ascii="Arial" w:cs="Arial" w:eastAsia="Arial" w:hAnsi="Arial"/>
                <w:sz w:val="14"/>
                <w:szCs w:val="14"/>
                <w:b w:val="1"/>
                <w:bCs w:val="1"/>
                <w:color w:val="auto"/>
                <w:w w:val="91"/>
              </w:rPr>
              <w:t xml:space="preserve"> </w:t>
            </w:r>
            <w:r>
              <w:rPr>
                <w:rFonts w:ascii="Arial" w:cs="Arial" w:eastAsia="Arial" w:hAnsi="Arial"/>
                <w:sz w:val="23"/>
                <w:szCs w:val="23"/>
                <w:b w:val="1"/>
                <w:bCs w:val="1"/>
                <w:color w:val="auto"/>
                <w:w w:val="91"/>
                <w:vertAlign w:val="superscript"/>
              </w:rPr>
              <w:t>(2), (3), (4), (5)</w:t>
            </w:r>
          </w:p>
        </w:tc>
        <w:tc>
          <w:tcPr>
            <w:tcW w:w="1340" w:type="dxa"/>
            <w:vAlign w:val="bottom"/>
          </w:tcPr>
          <w:p>
            <w:pPr>
              <w:ind w:left="400"/>
              <w:spacing w:after="0"/>
              <w:rPr>
                <w:sz w:val="20"/>
                <w:szCs w:val="20"/>
                <w:color w:val="auto"/>
              </w:rPr>
            </w:pPr>
            <w:r>
              <w:rPr>
                <w:rFonts w:ascii="Arial" w:cs="Arial" w:eastAsia="Arial" w:hAnsi="Arial"/>
                <w:sz w:val="14"/>
                <w:szCs w:val="14"/>
                <w:b w:val="1"/>
                <w:bCs w:val="1"/>
                <w:color w:val="auto"/>
              </w:rPr>
              <w:t>Industry</w:t>
            </w:r>
          </w:p>
        </w:tc>
      </w:tr>
      <w:tr>
        <w:trPr>
          <w:trHeight w:val="123"/>
        </w:trPr>
        <w:tc>
          <w:tcPr>
            <w:tcW w:w="28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MMI Holdings, LLC</w:t>
            </w:r>
          </w:p>
        </w:tc>
        <w:tc>
          <w:tcPr>
            <w:tcW w:w="140" w:type="dxa"/>
            <w:vAlign w:val="bottom"/>
          </w:tcPr>
          <w:p>
            <w:pPr>
              <w:spacing w:after="0"/>
              <w:rPr>
                <w:sz w:val="10"/>
                <w:szCs w:val="10"/>
                <w:color w:val="auto"/>
              </w:rPr>
            </w:pPr>
          </w:p>
        </w:tc>
        <w:tc>
          <w:tcPr>
            <w:tcW w:w="13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Medical Device</w:t>
            </w: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263"/>
        </w:trPr>
        <w:tc>
          <w:tcPr>
            <w:tcW w:w="296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340" w:type="dxa"/>
            <w:vAlign w:val="bottom"/>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263"/>
        </w:trPr>
        <w:tc>
          <w:tcPr>
            <w:tcW w:w="296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340" w:type="dxa"/>
            <w:vAlign w:val="bottom"/>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Distributor</w:t>
            </w:r>
          </w:p>
        </w:tc>
      </w:tr>
      <w:tr>
        <w:trPr>
          <w:trHeight w:val="304"/>
        </w:trPr>
        <w:tc>
          <w:tcPr>
            <w:tcW w:w="2960" w:type="dxa"/>
            <w:vAlign w:val="bottom"/>
            <w:gridSpan w:val="2"/>
          </w:tcPr>
          <w:p>
            <w:pPr>
              <w:spacing w:after="0"/>
              <w:rPr>
                <w:sz w:val="20"/>
                <w:szCs w:val="20"/>
                <w:color w:val="auto"/>
              </w:rPr>
            </w:pPr>
            <w:r>
              <w:rPr>
                <w:rFonts w:ascii="Arial" w:cs="Arial" w:eastAsia="Arial" w:hAnsi="Arial"/>
                <w:sz w:val="14"/>
                <w:szCs w:val="14"/>
                <w:color w:val="auto"/>
              </w:rPr>
              <w:t>MMI Holdings, LLC</w:t>
            </w:r>
          </w:p>
        </w:tc>
        <w:tc>
          <w:tcPr>
            <w:tcW w:w="1340" w:type="dxa"/>
            <w:vAlign w:val="bottom"/>
          </w:tcPr>
          <w:p>
            <w:pPr>
              <w:spacing w:after="0"/>
              <w:rPr>
                <w:sz w:val="20"/>
                <w:szCs w:val="20"/>
                <w:color w:val="auto"/>
              </w:rPr>
            </w:pPr>
            <w:r>
              <w:rPr>
                <w:rFonts w:ascii="Arial" w:cs="Arial" w:eastAsia="Arial" w:hAnsi="Arial"/>
                <w:sz w:val="14"/>
                <w:szCs w:val="14"/>
                <w:color w:val="auto"/>
              </w:rPr>
              <w:t>Medical Device</w:t>
            </w: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Distributor</w:t>
            </w: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Type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6350</wp:posOffset>
            </wp:positionV>
            <wp:extent cx="713232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First Lien Debt (12.0% Cash, Due 1/31/21) </w:t>
      </w:r>
      <w:r>
        <w:rPr>
          <w:rFonts w:ascii="Arial" w:cs="Arial" w:eastAsia="Arial" w:hAnsi="Arial"/>
          <w:sz w:val="21"/>
          <w:szCs w:val="21"/>
          <w:color w:val="auto"/>
          <w:vertAlign w:val="superscript"/>
        </w:rPr>
        <w:t>(9)</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Second Lien Debt (6.0% Cash, Due 1/31/21) </w:t>
      </w:r>
      <w:r>
        <w:rPr>
          <w:rFonts w:ascii="Arial" w:cs="Arial" w:eastAsia="Arial" w:hAnsi="Arial"/>
          <w:sz w:val="19"/>
          <w:szCs w:val="1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-132715</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7" w:lineRule="exact"/>
        <w:rPr>
          <w:sz w:val="20"/>
          <w:szCs w:val="20"/>
          <w:color w:val="auto"/>
        </w:rPr>
      </w:pPr>
    </w:p>
    <w:p>
      <w:pPr>
        <w:ind w:right="520"/>
        <w:spacing w:after="0" w:line="274" w:lineRule="auto"/>
        <w:rPr>
          <w:sz w:val="20"/>
          <w:szCs w:val="20"/>
          <w:color w:val="auto"/>
        </w:rPr>
      </w:pPr>
      <w:r>
        <w:rPr>
          <w:rFonts w:ascii="Arial" w:cs="Arial" w:eastAsia="Arial" w:hAnsi="Arial"/>
          <w:sz w:val="14"/>
          <w:szCs w:val="14"/>
          <w:color w:val="auto"/>
        </w:rPr>
        <w:t xml:space="preserve">Preferred Units (1,000 units, 6.0% PIK Dividend) </w:t>
      </w:r>
      <w:r>
        <w:rPr>
          <w:rFonts w:ascii="Arial" w:cs="Arial" w:eastAsia="Arial" w:hAnsi="Arial"/>
          <w:sz w:val="23"/>
          <w:szCs w:val="23"/>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-295910</wp:posOffset>
            </wp:positionV>
            <wp:extent cx="71323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Common Membership Units (45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-89535</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201295</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5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vMerge w:val="restart"/>
          </w:tcPr>
          <w:p>
            <w:pPr>
              <w:spacing w:after="0"/>
              <w:rPr>
                <w:sz w:val="14"/>
                <w:szCs w:val="14"/>
                <w:color w:val="auto"/>
              </w:rPr>
            </w:pPr>
          </w:p>
        </w:tc>
        <w:tc>
          <w:tcPr>
            <w:tcW w:w="900" w:type="dxa"/>
            <w:vAlign w:val="bottom"/>
            <w:gridSpan w:val="3"/>
          </w:tcPr>
          <w:p>
            <w:pPr>
              <w:jc w:val="right"/>
              <w:ind w:right="29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Net Assets</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2,600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446"/>
        </w:trPr>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388</w:t>
            </w:r>
          </w:p>
        </w:tc>
        <w:tc>
          <w:tcPr>
            <w:tcW w:w="2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1,623</w:t>
            </w:r>
          </w:p>
        </w:tc>
        <w:tc>
          <w:tcPr>
            <w:tcW w:w="2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1,762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445"/>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208</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4,611</w:t>
            </w:r>
          </w:p>
        </w:tc>
        <w:tc>
          <w:tcPr>
            <w:tcW w:w="22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4,970</w:t>
            </w:r>
          </w:p>
        </w:tc>
        <w:tc>
          <w:tcPr>
            <w:tcW w:w="20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4.8</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3">
            <w:col w:w="4300" w:space="120"/>
            <w:col w:w="2760" w:space="180"/>
            <w:col w:w="388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Navis Holdings, Inc.</w:t>
            </w:r>
          </w:p>
        </w:tc>
        <w:tc>
          <w:tcPr>
            <w:tcW w:w="1780" w:type="dxa"/>
            <w:vAlign w:val="bottom"/>
          </w:tcPr>
          <w:p>
            <w:pPr>
              <w:ind w:left="380"/>
              <w:spacing w:after="0"/>
              <w:rPr>
                <w:sz w:val="20"/>
                <w:szCs w:val="20"/>
                <w:color w:val="auto"/>
              </w:rPr>
            </w:pPr>
            <w:r>
              <w:rPr>
                <w:rFonts w:ascii="Arial" w:cs="Arial" w:eastAsia="Arial" w:hAnsi="Arial"/>
                <w:sz w:val="14"/>
                <w:szCs w:val="14"/>
                <w:color w:val="auto"/>
              </w:rPr>
              <w:t>Textile Equipment</w:t>
            </w:r>
          </w:p>
        </w:tc>
        <w:tc>
          <w:tcPr>
            <w:tcW w:w="2800" w:type="dxa"/>
            <w:vAlign w:val="bottom"/>
          </w:tcPr>
          <w:p>
            <w:pPr>
              <w:ind w:left="60"/>
              <w:spacing w:after="0"/>
              <w:rPr>
                <w:sz w:val="20"/>
                <w:szCs w:val="20"/>
                <w:color w:val="auto"/>
              </w:rPr>
            </w:pPr>
            <w:r>
              <w:rPr>
                <w:rFonts w:ascii="Arial" w:cs="Arial" w:eastAsia="Arial" w:hAnsi="Arial"/>
                <w:sz w:val="14"/>
                <w:szCs w:val="14"/>
                <w:color w:val="auto"/>
              </w:rPr>
              <w:t>First Lien Debt (9.0% Cash, 2.0% PIK, Due</w:t>
            </w:r>
          </w:p>
        </w:tc>
      </w:tr>
      <w:tr>
        <w:trPr>
          <w:trHeight w:val="323"/>
        </w:trPr>
        <w:tc>
          <w:tcPr>
            <w:tcW w:w="2580" w:type="dxa"/>
            <w:vAlign w:val="bottom"/>
          </w:tcPr>
          <w:p>
            <w:pPr>
              <w:spacing w:after="0"/>
              <w:rPr>
                <w:sz w:val="24"/>
                <w:szCs w:val="24"/>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Manufacturer</w:t>
            </w:r>
          </w:p>
        </w:tc>
        <w:tc>
          <w:tcPr>
            <w:tcW w:w="2800" w:type="dxa"/>
            <w:vAlign w:val="bottom"/>
          </w:tcPr>
          <w:p>
            <w:pPr>
              <w:ind w:left="60"/>
              <w:spacing w:after="0"/>
              <w:rPr>
                <w:sz w:val="20"/>
                <w:szCs w:val="20"/>
                <w:color w:val="auto"/>
              </w:rPr>
            </w:pPr>
            <w:r>
              <w:rPr>
                <w:rFonts w:ascii="Arial" w:cs="Arial" w:eastAsia="Arial" w:hAnsi="Arial"/>
                <w:sz w:val="14"/>
                <w:szCs w:val="14"/>
                <w:color w:val="auto"/>
              </w:rPr>
              <w:t xml:space="preserve">6/30/23) </w:t>
            </w:r>
            <w:r>
              <w:rPr>
                <w:rFonts w:ascii="Arial" w:cs="Arial" w:eastAsia="Arial" w:hAnsi="Arial"/>
                <w:sz w:val="23"/>
                <w:szCs w:val="23"/>
                <w:color w:val="auto"/>
                <w:vertAlign w:val="superscript"/>
              </w:rPr>
              <w:t>(9)</w:t>
            </w:r>
          </w:p>
        </w:tc>
      </w:tr>
      <w:tr>
        <w:trPr>
          <w:trHeight w:val="163"/>
        </w:trPr>
        <w:tc>
          <w:tcPr>
            <w:tcW w:w="2580" w:type="dxa"/>
            <w:vAlign w:val="bottom"/>
          </w:tcPr>
          <w:p>
            <w:pPr>
              <w:spacing w:after="0"/>
              <w:rPr>
                <w:sz w:val="20"/>
                <w:szCs w:val="20"/>
                <w:color w:val="auto"/>
              </w:rPr>
            </w:pPr>
            <w:r>
              <w:rPr>
                <w:rFonts w:ascii="Arial" w:cs="Arial" w:eastAsia="Arial" w:hAnsi="Arial"/>
                <w:sz w:val="14"/>
                <w:szCs w:val="14"/>
                <w:color w:val="auto"/>
              </w:rPr>
              <w:t>Navis Holdings, Inc.</w:t>
            </w:r>
          </w:p>
        </w:tc>
        <w:tc>
          <w:tcPr>
            <w:tcW w:w="1780" w:type="dxa"/>
            <w:vAlign w:val="bottom"/>
          </w:tcPr>
          <w:p>
            <w:pPr>
              <w:ind w:left="380"/>
              <w:spacing w:after="0"/>
              <w:rPr>
                <w:sz w:val="20"/>
                <w:szCs w:val="20"/>
                <w:color w:val="auto"/>
              </w:rPr>
            </w:pPr>
            <w:r>
              <w:rPr>
                <w:rFonts w:ascii="Arial" w:cs="Arial" w:eastAsia="Arial" w:hAnsi="Arial"/>
                <w:sz w:val="14"/>
                <w:szCs w:val="14"/>
                <w:color w:val="auto"/>
              </w:rPr>
              <w:t>Textile Equipment</w:t>
            </w:r>
          </w:p>
        </w:tc>
        <w:tc>
          <w:tcPr>
            <w:tcW w:w="2800" w:type="dxa"/>
            <w:vAlign w:val="bottom"/>
          </w:tcPr>
          <w:p>
            <w:pPr>
              <w:ind w:left="60"/>
              <w:spacing w:after="0"/>
              <w:rPr>
                <w:sz w:val="20"/>
                <w:szCs w:val="20"/>
                <w:color w:val="auto"/>
              </w:rPr>
            </w:pPr>
            <w:r>
              <w:rPr>
                <w:rFonts w:ascii="Arial" w:cs="Arial" w:eastAsia="Arial" w:hAnsi="Arial"/>
                <w:sz w:val="14"/>
                <w:szCs w:val="14"/>
                <w:color w:val="auto"/>
              </w:rPr>
              <w:t>Class A Preferred Stock (1,000 shares)</w:t>
            </w:r>
          </w:p>
        </w:tc>
      </w:tr>
      <w:tr>
        <w:trPr>
          <w:trHeight w:val="182"/>
        </w:trPr>
        <w:tc>
          <w:tcPr>
            <w:tcW w:w="258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Manufacturer</w:t>
            </w:r>
          </w:p>
        </w:tc>
        <w:tc>
          <w:tcPr>
            <w:tcW w:w="2800" w:type="dxa"/>
            <w:vAlign w:val="bottom"/>
          </w:tcPr>
          <w:p>
            <w:pPr>
              <w:spacing w:after="0"/>
              <w:rPr>
                <w:sz w:val="15"/>
                <w:szCs w:val="15"/>
                <w:color w:val="auto"/>
              </w:rPr>
            </w:pPr>
          </w:p>
        </w:tc>
      </w:tr>
      <w:tr>
        <w:trPr>
          <w:trHeight w:val="263"/>
        </w:trPr>
        <w:tc>
          <w:tcPr>
            <w:tcW w:w="2580" w:type="dxa"/>
            <w:vAlign w:val="bottom"/>
          </w:tcPr>
          <w:p>
            <w:pPr>
              <w:spacing w:after="0"/>
              <w:rPr>
                <w:sz w:val="20"/>
                <w:szCs w:val="20"/>
                <w:color w:val="auto"/>
              </w:rPr>
            </w:pPr>
            <w:r>
              <w:rPr>
                <w:rFonts w:ascii="Arial" w:cs="Arial" w:eastAsia="Arial" w:hAnsi="Arial"/>
                <w:sz w:val="14"/>
                <w:szCs w:val="14"/>
                <w:color w:val="auto"/>
              </w:rPr>
              <w:t>Navis Holdings, Inc.</w:t>
            </w:r>
          </w:p>
        </w:tc>
        <w:tc>
          <w:tcPr>
            <w:tcW w:w="1780" w:type="dxa"/>
            <w:vAlign w:val="bottom"/>
          </w:tcPr>
          <w:p>
            <w:pPr>
              <w:ind w:left="380"/>
              <w:spacing w:after="0"/>
              <w:rPr>
                <w:sz w:val="20"/>
                <w:szCs w:val="20"/>
                <w:color w:val="auto"/>
              </w:rPr>
            </w:pPr>
            <w:r>
              <w:rPr>
                <w:rFonts w:ascii="Arial" w:cs="Arial" w:eastAsia="Arial" w:hAnsi="Arial"/>
                <w:sz w:val="14"/>
                <w:szCs w:val="14"/>
                <w:color w:val="auto"/>
              </w:rPr>
              <w:t>Textile Equipment</w:t>
            </w:r>
          </w:p>
        </w:tc>
        <w:tc>
          <w:tcPr>
            <w:tcW w:w="2800" w:type="dxa"/>
            <w:vAlign w:val="bottom"/>
          </w:tcPr>
          <w:p>
            <w:pPr>
              <w:ind w:left="60"/>
              <w:spacing w:after="0"/>
              <w:rPr>
                <w:sz w:val="20"/>
                <w:szCs w:val="20"/>
                <w:color w:val="auto"/>
              </w:rPr>
            </w:pPr>
            <w:r>
              <w:rPr>
                <w:rFonts w:ascii="Arial" w:cs="Arial" w:eastAsia="Arial" w:hAnsi="Arial"/>
                <w:sz w:val="14"/>
                <w:szCs w:val="14"/>
                <w:color w:val="auto"/>
              </w:rPr>
              <w:t>Common Stock (60,000 shares)</w:t>
            </w:r>
          </w:p>
        </w:tc>
      </w:tr>
      <w:tr>
        <w:trPr>
          <w:trHeight w:val="182"/>
        </w:trPr>
        <w:tc>
          <w:tcPr>
            <w:tcW w:w="258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Manufacturer</w:t>
            </w:r>
          </w:p>
        </w:tc>
        <w:tc>
          <w:tcPr>
            <w:tcW w:w="2800" w:type="dxa"/>
            <w:vAlign w:val="bottom"/>
          </w:tcPr>
          <w:p>
            <w:pPr>
              <w:spacing w:after="0"/>
              <w:rPr>
                <w:sz w:val="15"/>
                <w:szCs w:val="15"/>
                <w:color w:val="auto"/>
              </w:rPr>
            </w:pPr>
          </w:p>
        </w:tc>
      </w:tr>
      <w:tr>
        <w:trPr>
          <w:trHeight w:val="635"/>
        </w:trPr>
        <w:tc>
          <w:tcPr>
            <w:tcW w:w="2580" w:type="dxa"/>
            <w:vAlign w:val="bottom"/>
          </w:tcPr>
          <w:p>
            <w:pPr>
              <w:spacing w:after="0"/>
              <w:rPr>
                <w:sz w:val="20"/>
                <w:szCs w:val="20"/>
                <w:color w:val="auto"/>
              </w:rPr>
            </w:pPr>
            <w:r>
              <w:rPr>
                <w:rFonts w:ascii="Arial" w:cs="Arial" w:eastAsia="Arial" w:hAnsi="Arial"/>
                <w:sz w:val="14"/>
                <w:szCs w:val="14"/>
                <w:color w:val="auto"/>
              </w:rPr>
              <w:t>Nth Degree Investment Group, LLC</w:t>
            </w:r>
          </w:p>
        </w:tc>
        <w:tc>
          <w:tcPr>
            <w:tcW w:w="1780" w:type="dxa"/>
            <w:vAlign w:val="bottom"/>
          </w:tcPr>
          <w:p>
            <w:pPr>
              <w:ind w:left="380"/>
              <w:spacing w:after="0"/>
              <w:rPr>
                <w:sz w:val="20"/>
                <w:szCs w:val="20"/>
                <w:color w:val="auto"/>
              </w:rPr>
            </w:pPr>
            <w:r>
              <w:rPr>
                <w:rFonts w:ascii="Arial" w:cs="Arial" w:eastAsia="Arial" w:hAnsi="Arial"/>
                <w:sz w:val="14"/>
                <w:szCs w:val="14"/>
                <w:color w:val="auto"/>
              </w:rPr>
              <w:t>Business Services</w:t>
            </w:r>
          </w:p>
        </w:tc>
        <w:tc>
          <w:tcPr>
            <w:tcW w:w="2800" w:type="dxa"/>
            <w:vAlign w:val="bottom"/>
          </w:tcPr>
          <w:p>
            <w:pPr>
              <w:ind w:left="60"/>
              <w:spacing w:after="0"/>
              <w:rPr>
                <w:sz w:val="20"/>
                <w:szCs w:val="20"/>
                <w:color w:val="auto"/>
              </w:rPr>
            </w:pPr>
            <w:r>
              <w:rPr>
                <w:rFonts w:ascii="Arial" w:cs="Arial" w:eastAsia="Arial" w:hAnsi="Arial"/>
                <w:sz w:val="14"/>
                <w:szCs w:val="14"/>
                <w:color w:val="auto"/>
              </w:rPr>
              <w:t>Membership Units (6,088,000 Units)</w:t>
            </w:r>
          </w:p>
        </w:tc>
      </w:tr>
      <w:tr>
        <w:trPr>
          <w:trHeight w:val="601"/>
        </w:trPr>
        <w:tc>
          <w:tcPr>
            <w:tcW w:w="2580" w:type="dxa"/>
            <w:vAlign w:val="bottom"/>
          </w:tcPr>
          <w:p>
            <w:pPr>
              <w:spacing w:after="0"/>
              <w:rPr>
                <w:sz w:val="20"/>
                <w:szCs w:val="20"/>
                <w:color w:val="auto"/>
              </w:rPr>
            </w:pPr>
            <w:r>
              <w:rPr>
                <w:rFonts w:ascii="Arial" w:cs="Arial" w:eastAsia="Arial" w:hAnsi="Arial"/>
                <w:sz w:val="14"/>
                <w:szCs w:val="14"/>
                <w:color w:val="auto"/>
              </w:rPr>
              <w:t>RAM Payment, LLC</w:t>
            </w:r>
          </w:p>
        </w:tc>
        <w:tc>
          <w:tcPr>
            <w:tcW w:w="1780" w:type="dxa"/>
            <w:vAlign w:val="bottom"/>
          </w:tcPr>
          <w:p>
            <w:pPr>
              <w:ind w:left="380"/>
              <w:spacing w:after="0"/>
              <w:rPr>
                <w:sz w:val="20"/>
                <w:szCs w:val="20"/>
                <w:color w:val="auto"/>
              </w:rPr>
            </w:pPr>
            <w:r>
              <w:rPr>
                <w:rFonts w:ascii="Arial" w:cs="Arial" w:eastAsia="Arial" w:hAnsi="Arial"/>
                <w:sz w:val="14"/>
                <w:szCs w:val="14"/>
                <w:color w:val="auto"/>
              </w:rPr>
              <w:t>Financial Services</w:t>
            </w:r>
          </w:p>
        </w:tc>
        <w:tc>
          <w:tcPr>
            <w:tcW w:w="2800" w:type="dxa"/>
            <w:vAlign w:val="bottom"/>
          </w:tcPr>
          <w:p>
            <w:pPr>
              <w:ind w:left="60"/>
              <w:spacing w:after="0"/>
              <w:rPr>
                <w:sz w:val="20"/>
                <w:szCs w:val="20"/>
                <w:color w:val="auto"/>
              </w:rPr>
            </w:pPr>
            <w:r>
              <w:rPr>
                <w:rFonts w:ascii="Arial" w:cs="Arial" w:eastAsia="Arial" w:hAnsi="Arial"/>
                <w:sz w:val="14"/>
                <w:szCs w:val="14"/>
                <w:color w:val="auto"/>
                <w:w w:val="95"/>
              </w:rPr>
              <w:t>First Lien Debt (6.5% Cash (1 month LIBOR +</w:t>
            </w:r>
          </w:p>
        </w:tc>
      </w:tr>
      <w:tr>
        <w:trPr>
          <w:trHeight w:val="182"/>
        </w:trPr>
        <w:tc>
          <w:tcPr>
            <w:tcW w:w="25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5.0%, 1.5% Floor), Due 1/4/24)</w:t>
            </w:r>
          </w:p>
        </w:tc>
      </w:tr>
      <w:tr>
        <w:trPr>
          <w:trHeight w:val="438"/>
        </w:trPr>
        <w:tc>
          <w:tcPr>
            <w:tcW w:w="2580" w:type="dxa"/>
            <w:vAlign w:val="bottom"/>
          </w:tcPr>
          <w:p>
            <w:pPr>
              <w:spacing w:after="0"/>
              <w:rPr>
                <w:sz w:val="20"/>
                <w:szCs w:val="20"/>
                <w:color w:val="auto"/>
              </w:rPr>
            </w:pPr>
            <w:r>
              <w:rPr>
                <w:rFonts w:ascii="Arial" w:cs="Arial" w:eastAsia="Arial" w:hAnsi="Arial"/>
                <w:sz w:val="14"/>
                <w:szCs w:val="14"/>
                <w:color w:val="auto"/>
              </w:rPr>
              <w:t>RAM Payment, LLC</w:t>
            </w:r>
          </w:p>
        </w:tc>
        <w:tc>
          <w:tcPr>
            <w:tcW w:w="1780" w:type="dxa"/>
            <w:vAlign w:val="bottom"/>
          </w:tcPr>
          <w:p>
            <w:pPr>
              <w:ind w:left="380"/>
              <w:spacing w:after="0"/>
              <w:rPr>
                <w:sz w:val="20"/>
                <w:szCs w:val="20"/>
                <w:color w:val="auto"/>
              </w:rPr>
            </w:pPr>
            <w:r>
              <w:rPr>
                <w:rFonts w:ascii="Arial" w:cs="Arial" w:eastAsia="Arial" w:hAnsi="Arial"/>
                <w:sz w:val="14"/>
                <w:szCs w:val="14"/>
                <w:color w:val="auto"/>
              </w:rPr>
              <w:t>Financial Services</w:t>
            </w:r>
          </w:p>
        </w:tc>
        <w:tc>
          <w:tcPr>
            <w:tcW w:w="2800" w:type="dxa"/>
            <w:vAlign w:val="bottom"/>
          </w:tcPr>
          <w:p>
            <w:pPr>
              <w:ind w:left="60"/>
              <w:spacing w:after="0"/>
              <w:rPr>
                <w:sz w:val="20"/>
                <w:szCs w:val="20"/>
                <w:color w:val="auto"/>
              </w:rPr>
            </w:pPr>
            <w:r>
              <w:rPr>
                <w:rFonts w:ascii="Arial" w:cs="Arial" w:eastAsia="Arial" w:hAnsi="Arial"/>
                <w:sz w:val="14"/>
                <w:szCs w:val="14"/>
                <w:color w:val="auto"/>
                <w:w w:val="97"/>
              </w:rPr>
              <w:t xml:space="preserve">First Lien Debt (9.8% Cash, Due 1/4/24) </w:t>
            </w:r>
            <w:r>
              <w:rPr>
                <w:rFonts w:ascii="Arial" w:cs="Arial" w:eastAsia="Arial" w:hAnsi="Arial"/>
                <w:sz w:val="23"/>
                <w:szCs w:val="23"/>
                <w:color w:val="auto"/>
                <w:w w:val="97"/>
                <w:vertAlign w:val="superscript"/>
              </w:rPr>
              <w:t>(10)</w:t>
            </w:r>
          </w:p>
        </w:tc>
      </w:tr>
      <w:tr>
        <w:trPr>
          <w:trHeight w:val="173"/>
        </w:trPr>
        <w:tc>
          <w:tcPr>
            <w:tcW w:w="2580" w:type="dxa"/>
            <w:vAlign w:val="bottom"/>
          </w:tcPr>
          <w:p>
            <w:pPr>
              <w:spacing w:after="0"/>
              <w:rPr>
                <w:sz w:val="20"/>
                <w:szCs w:val="20"/>
                <w:color w:val="auto"/>
              </w:rPr>
            </w:pPr>
            <w:r>
              <w:rPr>
                <w:rFonts w:ascii="Arial" w:cs="Arial" w:eastAsia="Arial" w:hAnsi="Arial"/>
                <w:sz w:val="14"/>
                <w:szCs w:val="14"/>
                <w:color w:val="auto"/>
              </w:rPr>
              <w:t>RAM Payment, LLC</w:t>
            </w:r>
          </w:p>
        </w:tc>
        <w:tc>
          <w:tcPr>
            <w:tcW w:w="1780" w:type="dxa"/>
            <w:vAlign w:val="bottom"/>
          </w:tcPr>
          <w:p>
            <w:pPr>
              <w:ind w:left="380"/>
              <w:spacing w:after="0"/>
              <w:rPr>
                <w:sz w:val="20"/>
                <w:szCs w:val="20"/>
                <w:color w:val="auto"/>
              </w:rPr>
            </w:pPr>
            <w:r>
              <w:rPr>
                <w:rFonts w:ascii="Arial" w:cs="Arial" w:eastAsia="Arial" w:hAnsi="Arial"/>
                <w:sz w:val="14"/>
                <w:szCs w:val="14"/>
                <w:color w:val="auto"/>
              </w:rPr>
              <w:t>Financial Services</w:t>
            </w:r>
          </w:p>
        </w:tc>
        <w:tc>
          <w:tcPr>
            <w:tcW w:w="2800" w:type="dxa"/>
            <w:vAlign w:val="bottom"/>
          </w:tcPr>
          <w:p>
            <w:pPr>
              <w:ind w:left="60"/>
              <w:spacing w:after="0"/>
              <w:rPr>
                <w:sz w:val="20"/>
                <w:szCs w:val="20"/>
                <w:color w:val="auto"/>
              </w:rPr>
            </w:pPr>
            <w:r>
              <w:rPr>
                <w:rFonts w:ascii="Arial" w:cs="Arial" w:eastAsia="Arial" w:hAnsi="Arial"/>
                <w:sz w:val="14"/>
                <w:szCs w:val="14"/>
                <w:color w:val="auto"/>
              </w:rPr>
              <w:t>Preferred Units (86,000 units, 8.0% PIK</w:t>
            </w:r>
          </w:p>
        </w:tc>
      </w:tr>
      <w:tr>
        <w:trPr>
          <w:trHeight w:val="313"/>
        </w:trPr>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(18)</w:t>
            </w:r>
          </w:p>
        </w:tc>
      </w:tr>
      <w:tr>
        <w:trPr>
          <w:trHeight w:val="501"/>
        </w:trPr>
        <w:tc>
          <w:tcPr>
            <w:tcW w:w="2580" w:type="dxa"/>
            <w:vAlign w:val="bottom"/>
          </w:tcPr>
          <w:p>
            <w:pPr>
              <w:spacing w:after="0"/>
              <w:rPr>
                <w:sz w:val="20"/>
                <w:szCs w:val="20"/>
                <w:color w:val="auto"/>
              </w:rPr>
            </w:pPr>
            <w:r>
              <w:rPr>
                <w:rFonts w:ascii="Arial" w:cs="Arial" w:eastAsia="Arial" w:hAnsi="Arial"/>
                <w:sz w:val="14"/>
                <w:szCs w:val="14"/>
                <w:color w:val="auto"/>
              </w:rPr>
              <w:t>Sierra Hamilton Holdings Corporation</w:t>
            </w:r>
          </w:p>
        </w:tc>
        <w:tc>
          <w:tcPr>
            <w:tcW w:w="1780" w:type="dxa"/>
            <w:vAlign w:val="bottom"/>
          </w:tcPr>
          <w:p>
            <w:pPr>
              <w:ind w:left="380"/>
              <w:spacing w:after="0"/>
              <w:rPr>
                <w:sz w:val="20"/>
                <w:szCs w:val="20"/>
                <w:color w:val="auto"/>
              </w:rPr>
            </w:pPr>
            <w:r>
              <w:rPr>
                <w:rFonts w:ascii="Arial" w:cs="Arial" w:eastAsia="Arial" w:hAnsi="Arial"/>
                <w:sz w:val="14"/>
                <w:szCs w:val="14"/>
                <w:color w:val="auto"/>
                <w:w w:val="99"/>
              </w:rPr>
              <w:t>Oil &amp; Gas Engineering</w:t>
            </w:r>
          </w:p>
        </w:tc>
        <w:tc>
          <w:tcPr>
            <w:tcW w:w="2800" w:type="dxa"/>
            <w:vAlign w:val="bottom"/>
          </w:tcPr>
          <w:p>
            <w:pPr>
              <w:ind w:left="60"/>
              <w:spacing w:after="0"/>
              <w:rPr>
                <w:sz w:val="20"/>
                <w:szCs w:val="20"/>
                <w:color w:val="auto"/>
              </w:rPr>
            </w:pPr>
            <w:r>
              <w:rPr>
                <w:rFonts w:ascii="Arial" w:cs="Arial" w:eastAsia="Arial" w:hAnsi="Arial"/>
                <w:sz w:val="14"/>
                <w:szCs w:val="14"/>
                <w:color w:val="auto"/>
                <w:w w:val="98"/>
              </w:rPr>
              <w:t>Second Lien Debt (15.0% PIK, Due 9/12/23)</w:t>
            </w:r>
          </w:p>
        </w:tc>
      </w:tr>
      <w:tr>
        <w:trPr>
          <w:trHeight w:val="149"/>
        </w:trPr>
        <w:tc>
          <w:tcPr>
            <w:tcW w:w="2580" w:type="dxa"/>
            <w:vAlign w:val="bottom"/>
          </w:tcPr>
          <w:p>
            <w:pPr>
              <w:spacing w:after="0"/>
              <w:rPr>
                <w:sz w:val="12"/>
                <w:szCs w:val="12"/>
                <w:color w:val="auto"/>
              </w:rPr>
            </w:pP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and Consulting</w:t>
            </w:r>
          </w:p>
        </w:tc>
        <w:tc>
          <w:tcPr>
            <w:tcW w:w="2800" w:type="dxa"/>
            <w:vAlign w:val="bottom"/>
          </w:tcPr>
          <w:p>
            <w:pPr>
              <w:spacing w:after="0"/>
              <w:rPr>
                <w:sz w:val="12"/>
                <w:szCs w:val="12"/>
                <w:color w:val="auto"/>
              </w:rPr>
            </w:pPr>
          </w:p>
        </w:tc>
      </w:tr>
      <w:tr>
        <w:trPr>
          <w:trHeight w:val="182"/>
        </w:trPr>
        <w:tc>
          <w:tcPr>
            <w:tcW w:w="258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Services</w:t>
            </w:r>
          </w:p>
        </w:tc>
        <w:tc>
          <w:tcPr>
            <w:tcW w:w="2800" w:type="dxa"/>
            <w:vAlign w:val="bottom"/>
          </w:tcPr>
          <w:p>
            <w:pPr>
              <w:spacing w:after="0"/>
              <w:rPr>
                <w:sz w:val="15"/>
                <w:szCs w:val="15"/>
                <w:color w:val="auto"/>
              </w:rPr>
            </w:pPr>
          </w:p>
        </w:tc>
      </w:tr>
      <w:tr>
        <w:trPr>
          <w:trHeight w:val="263"/>
        </w:trPr>
        <w:tc>
          <w:tcPr>
            <w:tcW w:w="2580" w:type="dxa"/>
            <w:vAlign w:val="bottom"/>
          </w:tcPr>
          <w:p>
            <w:pPr>
              <w:spacing w:after="0"/>
              <w:rPr>
                <w:sz w:val="20"/>
                <w:szCs w:val="20"/>
                <w:color w:val="auto"/>
              </w:rPr>
            </w:pPr>
            <w:r>
              <w:rPr>
                <w:rFonts w:ascii="Arial" w:cs="Arial" w:eastAsia="Arial" w:hAnsi="Arial"/>
                <w:sz w:val="14"/>
                <w:szCs w:val="14"/>
                <w:color w:val="auto"/>
              </w:rPr>
              <w:t>Sierra Hamilton Holdings Corporation</w:t>
            </w:r>
          </w:p>
        </w:tc>
        <w:tc>
          <w:tcPr>
            <w:tcW w:w="1780" w:type="dxa"/>
            <w:vAlign w:val="bottom"/>
          </w:tcPr>
          <w:p>
            <w:pPr>
              <w:ind w:left="380"/>
              <w:spacing w:after="0"/>
              <w:rPr>
                <w:sz w:val="20"/>
                <w:szCs w:val="20"/>
                <w:color w:val="auto"/>
              </w:rPr>
            </w:pPr>
            <w:r>
              <w:rPr>
                <w:rFonts w:ascii="Arial" w:cs="Arial" w:eastAsia="Arial" w:hAnsi="Arial"/>
                <w:sz w:val="14"/>
                <w:szCs w:val="14"/>
                <w:color w:val="auto"/>
                <w:w w:val="99"/>
              </w:rPr>
              <w:t>Oil &amp; Gas Engineering</w:t>
            </w:r>
          </w:p>
        </w:tc>
        <w:tc>
          <w:tcPr>
            <w:tcW w:w="2800" w:type="dxa"/>
            <w:vAlign w:val="bottom"/>
          </w:tcPr>
          <w:p>
            <w:pPr>
              <w:ind w:left="60"/>
              <w:spacing w:after="0"/>
              <w:rPr>
                <w:sz w:val="20"/>
                <w:szCs w:val="20"/>
                <w:color w:val="auto"/>
              </w:rPr>
            </w:pPr>
            <w:r>
              <w:rPr>
                <w:rFonts w:ascii="Arial" w:cs="Arial" w:eastAsia="Arial" w:hAnsi="Arial"/>
                <w:sz w:val="14"/>
                <w:szCs w:val="14"/>
                <w:color w:val="auto"/>
              </w:rPr>
              <w:t>Common Stock (15,068,000 shares)</w:t>
            </w:r>
          </w:p>
        </w:tc>
      </w:tr>
      <w:tr>
        <w:trPr>
          <w:trHeight w:val="148"/>
        </w:trPr>
        <w:tc>
          <w:tcPr>
            <w:tcW w:w="2580" w:type="dxa"/>
            <w:vAlign w:val="bottom"/>
          </w:tcPr>
          <w:p>
            <w:pPr>
              <w:spacing w:after="0"/>
              <w:rPr>
                <w:sz w:val="12"/>
                <w:szCs w:val="12"/>
                <w:color w:val="auto"/>
              </w:rPr>
            </w:pP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and Consulting</w:t>
            </w:r>
          </w:p>
        </w:tc>
        <w:tc>
          <w:tcPr>
            <w:tcW w:w="2800" w:type="dxa"/>
            <w:vAlign w:val="bottom"/>
          </w:tcPr>
          <w:p>
            <w:pPr>
              <w:spacing w:after="0"/>
              <w:rPr>
                <w:sz w:val="12"/>
                <w:szCs w:val="12"/>
                <w:color w:val="auto"/>
              </w:rPr>
            </w:pPr>
          </w:p>
        </w:tc>
      </w:tr>
      <w:tr>
        <w:trPr>
          <w:trHeight w:val="182"/>
        </w:trPr>
        <w:tc>
          <w:tcPr>
            <w:tcW w:w="258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Services</w:t>
            </w:r>
          </w:p>
        </w:tc>
        <w:tc>
          <w:tcPr>
            <w:tcW w:w="2800" w:type="dxa"/>
            <w:vAlign w:val="bottom"/>
          </w:tcPr>
          <w:p>
            <w:pPr>
              <w:spacing w:after="0"/>
              <w:rPr>
                <w:sz w:val="15"/>
                <w:szCs w:val="15"/>
                <w:color w:val="auto"/>
              </w:rPr>
            </w:pPr>
          </w:p>
        </w:tc>
      </w:tr>
      <w:tr>
        <w:trPr>
          <w:trHeight w:val="633"/>
        </w:trPr>
        <w:tc>
          <w:tcPr>
            <w:tcW w:w="2580" w:type="dxa"/>
            <w:vAlign w:val="bottom"/>
          </w:tcPr>
          <w:p>
            <w:pPr>
              <w:spacing w:after="0"/>
              <w:rPr>
                <w:sz w:val="20"/>
                <w:szCs w:val="20"/>
                <w:color w:val="auto"/>
              </w:rPr>
            </w:pPr>
            <w:r>
              <w:rPr>
                <w:rFonts w:ascii="Arial" w:cs="Arial" w:eastAsia="Arial" w:hAnsi="Arial"/>
                <w:sz w:val="14"/>
                <w:szCs w:val="14"/>
                <w:color w:val="auto"/>
              </w:rPr>
              <w:t>V12 Holdings, Inc.</w:t>
            </w:r>
          </w:p>
        </w:tc>
        <w:tc>
          <w:tcPr>
            <w:tcW w:w="1780" w:type="dxa"/>
            <w:vAlign w:val="bottom"/>
          </w:tcPr>
          <w:p>
            <w:pPr>
              <w:ind w:left="380"/>
              <w:spacing w:after="0"/>
              <w:rPr>
                <w:sz w:val="20"/>
                <w:szCs w:val="20"/>
                <w:color w:val="auto"/>
              </w:rPr>
            </w:pPr>
            <w:r>
              <w:rPr>
                <w:rFonts w:ascii="Arial" w:cs="Arial" w:eastAsia="Arial" w:hAnsi="Arial"/>
                <w:sz w:val="14"/>
                <w:szCs w:val="14"/>
                <w:color w:val="auto"/>
              </w:rPr>
              <w:t>Data Processing &amp;</w:t>
            </w:r>
          </w:p>
        </w:tc>
        <w:tc>
          <w:tcPr>
            <w:tcW w:w="2800" w:type="dxa"/>
            <w:vAlign w:val="bottom"/>
          </w:tcPr>
          <w:p>
            <w:pPr>
              <w:ind w:left="60"/>
              <w:spacing w:after="0"/>
              <w:rPr>
                <w:sz w:val="20"/>
                <w:szCs w:val="20"/>
                <w:color w:val="auto"/>
              </w:rPr>
            </w:pPr>
            <w:r>
              <w:rPr>
                <w:rFonts w:ascii="Arial" w:cs="Arial" w:eastAsia="Arial" w:hAnsi="Arial"/>
                <w:sz w:val="14"/>
                <w:szCs w:val="14"/>
                <w:color w:val="auto"/>
              </w:rPr>
              <w:t xml:space="preserve">Second Lien Debt </w:t>
            </w:r>
            <w:r>
              <w:rPr>
                <w:rFonts w:ascii="Arial" w:cs="Arial" w:eastAsia="Arial" w:hAnsi="Arial"/>
                <w:sz w:val="23"/>
                <w:szCs w:val="23"/>
                <w:color w:val="auto"/>
                <w:vertAlign w:val="superscript"/>
              </w:rPr>
              <w:t>(13)</w:t>
            </w:r>
          </w:p>
        </w:tc>
      </w:tr>
      <w:tr>
        <w:trPr>
          <w:trHeight w:val="182"/>
        </w:trPr>
        <w:tc>
          <w:tcPr>
            <w:tcW w:w="258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Digital Marketing</w:t>
            </w:r>
          </w:p>
        </w:tc>
        <w:tc>
          <w:tcPr>
            <w:tcW w:w="28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-3698240</wp:posOffset>
            </wp:positionV>
            <wp:extent cx="71323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-3389630</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-3107055</wp:posOffset>
            </wp:positionV>
            <wp:extent cx="71323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-2815590</wp:posOffset>
            </wp:positionV>
            <wp:extent cx="71323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-2609850</wp:posOffset>
            </wp:positionV>
            <wp:extent cx="71323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-2412365</wp:posOffset>
            </wp:positionV>
            <wp:extent cx="71323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-2206625</wp:posOffset>
            </wp:positionV>
            <wp:extent cx="71323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-1709420</wp:posOffset>
            </wp:positionV>
            <wp:extent cx="713232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-1392555</wp:posOffset>
            </wp:positionV>
            <wp:extent cx="71323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-1186815</wp:posOffset>
            </wp:positionV>
            <wp:extent cx="7132320" cy="282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7132320" cy="282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148"/>
              <w:spacing w:after="0"/>
              <w:rPr>
                <w:sz w:val="20"/>
                <w:szCs w:val="20"/>
                <w:color w:val="auto"/>
              </w:rPr>
            </w:pPr>
            <w:r>
              <w:rPr>
                <w:rFonts w:ascii="Arial" w:cs="Arial" w:eastAsia="Arial" w:hAnsi="Arial"/>
                <w:sz w:val="14"/>
                <w:szCs w:val="14"/>
                <w:color w:val="auto"/>
                <w:w w:val="83"/>
              </w:rPr>
              <w:t>11,428</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11,428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10,963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446"/>
        </w:trPr>
        <w:tc>
          <w:tcPr>
            <w:tcW w:w="6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959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446"/>
        </w:trPr>
        <w:tc>
          <w:tcPr>
            <w:tcW w:w="6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12,428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11,922</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6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6,088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6,088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3,029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3,029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3,029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38"/>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8,212</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8,212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8,212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486"/>
        </w:trPr>
        <w:tc>
          <w:tcPr>
            <w:tcW w:w="6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962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2,331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12,203</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13,572</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3"/>
        </w:trPr>
        <w:tc>
          <w:tcPr>
            <w:tcW w:w="600" w:type="dxa"/>
            <w:vAlign w:val="bottom"/>
          </w:tcPr>
          <w:p>
            <w:pPr>
              <w:jc w:val="right"/>
              <w:ind w:right="148"/>
              <w:spacing w:after="0"/>
              <w:rPr>
                <w:sz w:val="20"/>
                <w:szCs w:val="20"/>
                <w:color w:val="auto"/>
              </w:rPr>
            </w:pPr>
            <w:r>
              <w:rPr>
                <w:rFonts w:ascii="Arial" w:cs="Arial" w:eastAsia="Arial" w:hAnsi="Arial"/>
                <w:sz w:val="14"/>
                <w:szCs w:val="14"/>
                <w:color w:val="auto"/>
              </w:rPr>
              <w:t>843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813</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813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594"/>
        </w:trPr>
        <w:tc>
          <w:tcPr>
            <w:tcW w:w="6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6,958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928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7,771</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1,741</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655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708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2">
            <w:col w:w="7160" w:space="620"/>
            <w:col w:w="346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42"/>
        </w:trPr>
        <w:tc>
          <w:tcPr>
            <w:tcW w:w="8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55"/>
        </w:trPr>
        <w:tc>
          <w:tcPr>
            <w:tcW w:w="83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 Total Affiliate investments - United States</w:t>
            </w: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84,403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87,679</w:t>
            </w: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83.5</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8"/>
              </w:rPr>
              <w:t xml:space="preserve">Portfolio Company, Country </w:t>
            </w:r>
            <w:r>
              <w:rPr>
                <w:rFonts w:ascii="Arial" w:cs="Arial" w:eastAsia="Arial" w:hAnsi="Arial"/>
                <w:sz w:val="23"/>
                <w:szCs w:val="23"/>
                <w:b w:val="1"/>
                <w:bCs w:val="1"/>
                <w:color w:val="auto"/>
                <w:w w:val="88"/>
                <w:vertAlign w:val="superscript"/>
              </w:rPr>
              <w:t>(1), (2), (3), (4), (5)</w:t>
            </w:r>
          </w:p>
        </w:tc>
        <w:tc>
          <w:tcPr>
            <w:tcW w:w="14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8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 Investments - 8.5%</w:t>
            </w: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Information</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First Lien Debt (10.5% Cash (1 month LIBOR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8.5%, 2.0% Floor), Due 12/31/21)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3,829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3,829</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Information</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Units (9,041,810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5,215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4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Information</w:t>
            </w:r>
          </w:p>
        </w:tc>
        <w:tc>
          <w:tcPr>
            <w:tcW w:w="2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(5,363,982 Units)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spacing w:after="0"/>
              <w:rPr>
                <w:sz w:val="14"/>
                <w:szCs w:val="14"/>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8,937</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3"/>
              </w:rPr>
              <w:t>Sub Total Control investments - United States</w:t>
            </w:r>
          </w:p>
        </w:tc>
        <w:tc>
          <w:tcPr>
            <w:tcW w:w="1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9,044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8,937</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w:t>
            </w:r>
          </w:p>
        </w:tc>
        <w:tc>
          <w:tcPr>
            <w:tcW w:w="1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- 273.4%</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305,016</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287,266</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273.4</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investments valued using unobservable inputs (Level 3), unless otherwise noted.</w:t>
      </w:r>
    </w:p>
    <w:p>
      <w:pPr>
        <w:ind w:left="2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investments valued by Capitala Finance Corp.'s (the "Company") board of directors.</w:t>
      </w:r>
    </w:p>
    <w:p>
      <w:pPr>
        <w:ind w:left="2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ind w:left="2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are based on net assets of $105,055 as of June 30, 2020.</w:t>
      </w:r>
    </w:p>
    <w:p>
      <w:pPr>
        <w:ind w:right="180" w:firstLine="8"/>
        <w:spacing w:after="0" w:line="221"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2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Non-accrual investment.</w:t>
      </w:r>
    </w:p>
    <w:p>
      <w:pPr>
        <w:ind w:left="2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a $8.2 million unfunded commitment.</w:t>
      </w:r>
    </w:p>
    <w:p>
      <w:pPr>
        <w:ind w:right="120" w:firstLine="8"/>
        <w:spacing w:after="0" w:line="238" w:lineRule="auto"/>
        <w:tabs>
          <w:tab w:leader="none" w:pos="204" w:val="left"/>
        </w:tabs>
        <w:numPr>
          <w:ilvl w:val="0"/>
          <w:numId w:val="3"/>
        </w:numPr>
        <w:rPr>
          <w:rFonts w:ascii="Arial" w:cs="Arial" w:eastAsia="Arial" w:hAnsi="Arial"/>
          <w:sz w:val="13"/>
          <w:szCs w:val="13"/>
          <w:color w:val="auto"/>
        </w:rPr>
      </w:pPr>
      <w:r>
        <w:rPr>
          <w:rFonts w:ascii="Arial" w:cs="Arial" w:eastAsia="Arial" w:hAnsi="Arial"/>
          <w:sz w:val="13"/>
          <w:szCs w:val="13"/>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June 30, 2020, 4.5% of the Company's total assets were non-qualifying assets.</w:t>
      </w:r>
    </w:p>
    <w:p>
      <w:pPr>
        <w:ind w:left="2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maturity date of the original investment has been extended.</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cash rate equals the approximate current yield on our last-out portion of the unitranche facility.</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a $0.5 million unfunded commitment.</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a $3.5 million unfunded commitment.</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been exited or sold. The residual value reflects estimated earnout, escrow, or other proceeds expected post-closing.</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a $3.0 million unfunded commitment.</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a $3.3 million unfunded commitment.</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has a $1.0 million unfunded commitment.</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valued using observable inputs (Level 1). The stock of the company is traded on the NASDAQ Capital Market under the ticker "USWS."</w:t>
      </w:r>
    </w:p>
    <w:p>
      <w:pPr>
        <w:ind w:left="280" w:hanging="272"/>
        <w:spacing w:after="0"/>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 xml:space="preserve">Portfolio Company, Country </w:t>
            </w:r>
            <w:r>
              <w:rPr>
                <w:rFonts w:ascii="Arial" w:cs="Arial" w:eastAsia="Arial" w:hAnsi="Arial"/>
                <w:sz w:val="23"/>
                <w:szCs w:val="23"/>
                <w:b w:val="1"/>
                <w:bCs w:val="1"/>
                <w:color w:val="auto"/>
                <w:w w:val="87"/>
                <w:vertAlign w:val="superscript"/>
              </w:rPr>
              <w:t>(1), (2), (3), (4), (5)</w:t>
            </w:r>
          </w:p>
        </w:tc>
        <w:tc>
          <w:tcPr>
            <w:tcW w:w="20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26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8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Non-control/non-affiliated investments - 162.8%</w:t>
            </w:r>
          </w:p>
        </w:tc>
        <w:tc>
          <w:tcPr>
            <w:tcW w:w="2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United States</w:t>
            </w: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IT Consulting</w:t>
            </w:r>
          </w:p>
        </w:tc>
        <w:tc>
          <w:tcPr>
            <w:tcW w:w="26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(10.7% Cash (1 month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LIBOR + 9.0%, 1.0% Floor), Due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12/4/22)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13,274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13,274</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IT Consulting</w:t>
            </w: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Preferred Units (965 units)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IT Consulting</w:t>
            </w: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Membership Units (39,000 units)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13,773</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 Solutions, LLC</w:t>
            </w: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26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(8.0% Cash, 3.8% PIK,</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Due 12/18/22)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Alternative Biomedical Solutions, LLC</w:t>
            </w:r>
          </w:p>
        </w:tc>
        <w:tc>
          <w:tcPr>
            <w:tcW w:w="20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Healthcare</w:t>
            </w:r>
          </w:p>
        </w:tc>
        <w:tc>
          <w:tcPr>
            <w:tcW w:w="262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First Lien Debt (8.0% Cash, 3.8% PIK,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4"/>
                <w:szCs w:val="14"/>
                <w:color w:val="auto"/>
              </w:rPr>
              <w:t xml:space="preserve">Due 12/18/22)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Biomedical Solutions, LLC</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w:t>
            </w: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Membership Units (20,092 units)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15,943</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26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(7.0% Cash, Due</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12/31/22)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American Clinical Solutions, LLC</w:t>
            </w:r>
          </w:p>
        </w:tc>
        <w:tc>
          <w:tcPr>
            <w:tcW w:w="204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Healthcare</w:t>
            </w:r>
          </w:p>
        </w:tc>
        <w:tc>
          <w:tcPr>
            <w:tcW w:w="262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rPr>
              <w:t>First Lien Debt (2.0% PIK, Due 12/31/22)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40" w:type="dxa"/>
            <w:vAlign w:val="bottom"/>
            <w:shd w:val="clear" w:color="auto" w:fill="CCEEFF"/>
          </w:tcPr>
          <w:p>
            <w:pPr>
              <w:ind w:left="40"/>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3,485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6,985</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AmeriMark Direct, LLC</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 Products</w:t>
            </w: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First Lien Debt (14.3% Cash, Due 9/8/21)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15,633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15,633</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BigMouth, Inc.</w:t>
            </w: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Consumer Products</w:t>
            </w:r>
          </w:p>
        </w:tc>
        <w:tc>
          <w:tcPr>
            <w:tcW w:w="26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(10.3% Cash (1 month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26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LIBOR + 8.5%, 0.5% Floor, Due</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540" w:type="dxa"/>
            <w:vAlign w:val="bottom"/>
            <w:shd w:val="clear" w:color="auto" w:fill="CCEEFF"/>
          </w:tcPr>
          <w:p>
            <w:pPr>
              <w:ind w:left="4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BigMouth, Inc.</w:t>
            </w: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Consumer Products</w:t>
            </w:r>
          </w:p>
        </w:tc>
        <w:tc>
          <w:tcPr>
            <w:tcW w:w="26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(10.2% Cash (1 month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LIBOR + 8.5%, 0.5% Floor, Due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11/14/21)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8,784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9,485</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0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Online Merchandise Retailer</w:t>
            </w:r>
          </w:p>
        </w:tc>
        <w:tc>
          <w:tcPr>
            <w:tcW w:w="26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First Lien Debt (9.3% Cash (1 month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LIBOR + 7.5%, 1.0% Floor), Due 11/7/20)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2,877</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Burke America Parts Group, LLC</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Home Repair Parts Manufacturer</w:t>
            </w:r>
          </w:p>
        </w:tc>
        <w:tc>
          <w:tcPr>
            <w:tcW w:w="2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Membership Units (14 units)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2,489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2,489</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2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Computer Supply Retail</w:t>
            </w:r>
          </w:p>
        </w:tc>
        <w:tc>
          <w:tcPr>
            <w:tcW w:w="26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3"/>
                <w:szCs w:val="13"/>
                <w:color w:val="auto"/>
              </w:rPr>
              <w:t xml:space="preserve">First Lien Debt </w:t>
            </w:r>
            <w:r>
              <w:rPr>
                <w:rFonts w:ascii="Arial" w:cs="Arial" w:eastAsia="Arial" w:hAnsi="Arial"/>
                <w:sz w:val="21"/>
                <w:szCs w:val="21"/>
                <w:color w:val="auto"/>
                <w:vertAlign w:val="superscript"/>
              </w:rPr>
              <w:t>(9)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1,490</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20" w:type="dxa"/>
            <w:vAlign w:val="bottom"/>
          </w:tcPr>
          <w:p>
            <w:pPr>
              <w:spacing w:after="0"/>
              <w:rPr>
                <w:sz w:val="14"/>
                <w:szCs w:val="14"/>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27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Type of Investment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23"/>
        </w:trPr>
        <w:tc>
          <w:tcPr>
            <w:tcW w:w="28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California Pizza Kitchen, Inc.</w:t>
            </w:r>
          </w:p>
        </w:tc>
        <w:tc>
          <w:tcPr>
            <w:tcW w:w="1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Restaurant</w:t>
            </w:r>
          </w:p>
        </w:tc>
        <w:tc>
          <w:tcPr>
            <w:tcW w:w="100" w:type="dxa"/>
            <w:vAlign w:val="bottom"/>
            <w:tcBorders>
              <w:top w:val="single" w:sz="8" w:color="CCEEFF"/>
            </w:tcBorders>
            <w:shd w:val="clear" w:color="auto" w:fill="CCEEFF"/>
          </w:tcPr>
          <w:p>
            <w:pPr>
              <w:spacing w:after="0"/>
              <w:rPr>
                <w:sz w:val="10"/>
                <w:szCs w:val="10"/>
                <w:color w:val="auto"/>
              </w:rPr>
            </w:pPr>
          </w:p>
        </w:tc>
        <w:tc>
          <w:tcPr>
            <w:tcW w:w="2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Second Lien Debt (11.9% Cash (3 month</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+ 10.0%, 1.0% Floor), Due 8/23/23)</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4,927</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4,927</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4,697</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Chicken Soup for the Soul,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Multi-platform Media</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(10.2% Cash (1 month</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and Consumer</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+ 8.5%, 1.5% Floor), Due 12/13/20)</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Products</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Security System</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(8.7% Cash (1 month LIBOR</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+ 7.0%, 1.6% Floor), Due 11/8/24)</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8,100</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Security System</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Class A Preferred Units (34,740 units, 10.0%</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78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(10)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Security System</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Class B Common Units (3,510 units)</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Government Services</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(10.2% Cash (1 month</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+ 8.5%, 1.0% Floor), 1.0% PIK, Due</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9/14/22)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9,389</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CIS Secure Computing, Inc.</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Government Services</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(46,163 shares)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10,389</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11,279</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(9.0% Cash, 2.0% PIK,</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11/29/21)</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19,327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19,327</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Sales &amp; Marketing</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(15,750 shares)</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20,902</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19,291</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Currency Capital,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Financial Services</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(13.7% Cash (1 month</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LIBOR + 12.0%, 0.5% Floor), 2.0% PIK,</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 xml:space="preserve">Due 1/2/20) </w:t>
            </w:r>
            <w:r>
              <w:rPr>
                <w:rFonts w:ascii="Arial" w:cs="Arial" w:eastAsia="Arial" w:hAnsi="Arial"/>
                <w:sz w:val="22"/>
                <w:szCs w:val="22"/>
                <w:color w:val="auto"/>
                <w:vertAlign w:val="superscript"/>
              </w:rPr>
              <w:t>(11)</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16,269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Currency Capital, LLC</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Financial Services</w:t>
            </w:r>
          </w:p>
        </w:tc>
        <w:tc>
          <w:tcPr>
            <w:tcW w:w="2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Class A Preferred Units (2,000,000 units) </w:t>
            </w:r>
            <w:r>
              <w:rPr>
                <w:rFonts w:ascii="Arial" w:cs="Arial" w:eastAsia="Arial" w:hAnsi="Arial"/>
                <w:sz w:val="21"/>
                <w:szCs w:val="21"/>
                <w:color w:val="auto"/>
                <w:vertAlign w:val="superscript"/>
              </w:rPr>
              <w:t>(11)</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18,269</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18,773</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(7.7% Cash (3 month LIBOR</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+ 5.8%, 1.0% Floor), Due 4/3/20)</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5,778</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(11.9% Cash (3 month</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2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+ 10.0%, 1.0% Floor), Due 10/3/21)</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11,878</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17,656</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17,609</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Freedom Electronics, LLC</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Electronic Machine</w:t>
            </w:r>
          </w:p>
        </w:tc>
        <w:tc>
          <w:tcPr>
            <w:tcW w:w="278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First Lien Debt (8.7% Cash, Due 12/20/23) </w:t>
            </w:r>
            <w:r>
              <w:rPr>
                <w:rFonts w:ascii="Arial" w:cs="Arial" w:eastAsia="Arial" w:hAnsi="Arial"/>
                <w:sz w:val="18"/>
                <w:szCs w:val="18"/>
                <w:color w:val="auto"/>
                <w:vertAlign w:val="superscript"/>
              </w:rPr>
              <w:t>(6)</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Repair</w:t>
            </w: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5,940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5,940</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 Machine</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(181,818 units)</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Repair</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6,122</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6,100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20" w:type="dxa"/>
            <w:vAlign w:val="bottom"/>
          </w:tcPr>
          <w:p>
            <w:pPr>
              <w:spacing w:after="0"/>
              <w:rPr>
                <w:sz w:val="14"/>
                <w:szCs w:val="14"/>
                <w:color w:val="auto"/>
              </w:rPr>
            </w:pPr>
          </w:p>
        </w:tc>
        <w:tc>
          <w:tcPr>
            <w:tcW w:w="12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4"/>
                <w:szCs w:val="14"/>
                <w:color w:val="auto"/>
              </w:rPr>
            </w:pPr>
          </w:p>
        </w:tc>
        <w:tc>
          <w:tcPr>
            <w:tcW w:w="26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vMerge w:val="restart"/>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HUMC Opco, LLC</w:t>
            </w:r>
          </w:p>
        </w:tc>
        <w:tc>
          <w:tcPr>
            <w:tcW w:w="120" w:type="dxa"/>
            <w:vAlign w:val="bottom"/>
            <w:vMerge w:val="continue"/>
            <w:shd w:val="clear" w:color="auto" w:fill="CCEEFF"/>
          </w:tcPr>
          <w:p>
            <w:pPr>
              <w:spacing w:after="0"/>
              <w:rPr>
                <w:sz w:val="12"/>
                <w:szCs w:val="12"/>
                <w:color w:val="auto"/>
              </w:rPr>
            </w:pPr>
          </w:p>
        </w:tc>
        <w:tc>
          <w:tcPr>
            <w:tcW w:w="1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w:t>
            </w:r>
          </w:p>
        </w:tc>
        <w:tc>
          <w:tcPr>
            <w:tcW w:w="100" w:type="dxa"/>
            <w:vAlign w:val="bottom"/>
            <w:vMerge w:val="continue"/>
            <w:shd w:val="clear" w:color="auto" w:fill="CCEEFF"/>
          </w:tcPr>
          <w:p>
            <w:pPr>
              <w:spacing w:after="0"/>
              <w:rPr>
                <w:sz w:val="12"/>
                <w:szCs w:val="12"/>
                <w:color w:val="auto"/>
              </w:rPr>
            </w:pPr>
          </w:p>
        </w:tc>
        <w:tc>
          <w:tcPr>
            <w:tcW w:w="2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 Lien Debt (9.0% Cash, Due 8/16/20)</w:t>
            </w:r>
          </w:p>
        </w:tc>
        <w:tc>
          <w:tcPr>
            <w:tcW w:w="10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0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tabs>
          <w:tab w:leader="none" w:pos="2900" w:val="left"/>
        </w:tabs>
        <w:rPr>
          <w:sz w:val="20"/>
          <w:szCs w:val="20"/>
          <w:color w:val="auto"/>
        </w:rPr>
      </w:pPr>
      <w:r>
        <w:rPr>
          <w:rFonts w:ascii="Arial" w:cs="Arial" w:eastAsia="Arial" w:hAnsi="Arial"/>
          <w:sz w:val="14"/>
          <w:szCs w:val="14"/>
          <w:color w:val="auto"/>
        </w:rPr>
        <w:t>Installs, LLC</w:t>
      </w:r>
      <w:r>
        <w:rPr>
          <w:sz w:val="20"/>
          <w:szCs w:val="20"/>
          <w:color w:val="auto"/>
        </w:rPr>
        <w:tab/>
      </w:r>
      <w:r>
        <w:rPr>
          <w:rFonts w:ascii="Arial" w:cs="Arial" w:eastAsia="Arial" w:hAnsi="Arial"/>
          <w:sz w:val="13"/>
          <w:szCs w:val="13"/>
          <w:color w:val="auto"/>
        </w:rPr>
        <w:t>Logistics</w:t>
      </w:r>
    </w:p>
    <w:p>
      <w:pPr>
        <w:spacing w:after="0" w:line="200" w:lineRule="exact"/>
        <w:rPr>
          <w:sz w:val="20"/>
          <w:szCs w:val="20"/>
          <w:color w:val="auto"/>
        </w:rPr>
      </w:pPr>
    </w:p>
    <w:p>
      <w:pPr>
        <w:spacing w:after="0" w:line="314"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J5 Infrastructure Partners, LLC</w:t>
      </w:r>
      <w:r>
        <w:rPr>
          <w:sz w:val="20"/>
          <w:szCs w:val="20"/>
          <w:color w:val="auto"/>
        </w:rPr>
        <w:tab/>
      </w:r>
      <w:r>
        <w:rPr>
          <w:rFonts w:ascii="Arial" w:cs="Arial" w:eastAsia="Arial" w:hAnsi="Arial"/>
          <w:sz w:val="13"/>
          <w:szCs w:val="13"/>
          <w:color w:val="auto"/>
        </w:rPr>
        <w:t>Wireless Deployment</w:t>
      </w:r>
    </w:p>
    <w:p>
      <w:pPr>
        <w:ind w:left="2920"/>
        <w:spacing w:after="0"/>
        <w:rPr>
          <w:sz w:val="20"/>
          <w:szCs w:val="20"/>
          <w:color w:val="auto"/>
        </w:rPr>
      </w:pPr>
      <w:r>
        <w:rPr>
          <w:rFonts w:ascii="Arial" w:cs="Arial" w:eastAsia="Arial" w:hAnsi="Arial"/>
          <w:sz w:val="14"/>
          <w:szCs w:val="14"/>
          <w:color w:val="auto"/>
        </w:rPr>
        <w:t>Services</w:t>
      </w:r>
    </w:p>
    <w:p>
      <w:pPr>
        <w:spacing w:after="0" w:line="164"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J5 Infrastructure Partners, LLC</w:t>
      </w:r>
      <w:r>
        <w:rPr>
          <w:sz w:val="20"/>
          <w:szCs w:val="20"/>
          <w:color w:val="auto"/>
        </w:rPr>
        <w:tab/>
      </w:r>
      <w:r>
        <w:rPr>
          <w:rFonts w:ascii="Arial" w:cs="Arial" w:eastAsia="Arial" w:hAnsi="Arial"/>
          <w:sz w:val="13"/>
          <w:szCs w:val="13"/>
          <w:color w:val="auto"/>
        </w:rPr>
        <w:t>Wireless Deployment</w:t>
      </w:r>
    </w:p>
    <w:p>
      <w:pPr>
        <w:ind w:left="2920"/>
        <w:spacing w:after="0"/>
        <w:rPr>
          <w:sz w:val="20"/>
          <w:szCs w:val="20"/>
          <w:color w:val="auto"/>
        </w:rPr>
      </w:pPr>
      <w:r>
        <w:rPr>
          <w:rFonts w:ascii="Arial" w:cs="Arial" w:eastAsia="Arial" w:hAnsi="Arial"/>
          <w:sz w:val="14"/>
          <w:szCs w:val="14"/>
          <w:color w:val="auto"/>
        </w:rPr>
        <w:t>Services</w:t>
      </w:r>
    </w:p>
    <w:p>
      <w:pPr>
        <w:spacing w:after="0" w:line="200" w:lineRule="exact"/>
        <w:rPr>
          <w:sz w:val="20"/>
          <w:szCs w:val="20"/>
          <w:color w:val="auto"/>
        </w:rPr>
      </w:pPr>
    </w:p>
    <w:p>
      <w:pPr>
        <w:spacing w:after="0" w:line="262"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Jurassic Quest Holdings, LLC</w:t>
      </w:r>
      <w:r>
        <w:rPr>
          <w:sz w:val="20"/>
          <w:szCs w:val="20"/>
          <w:color w:val="auto"/>
        </w:rPr>
        <w:tab/>
      </w:r>
      <w:r>
        <w:rPr>
          <w:rFonts w:ascii="Arial" w:cs="Arial" w:eastAsia="Arial" w:hAnsi="Arial"/>
          <w:sz w:val="12"/>
          <w:szCs w:val="12"/>
          <w:color w:val="auto"/>
        </w:rPr>
        <w:t>Entertainment</w:t>
      </w:r>
    </w:p>
    <w:p>
      <w:pPr>
        <w:spacing w:after="0" w:line="325"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Jurassic Quest Holdings, LLC</w:t>
      </w:r>
      <w:r>
        <w:rPr>
          <w:sz w:val="20"/>
          <w:szCs w:val="20"/>
          <w:color w:val="auto"/>
        </w:rPr>
        <w:tab/>
      </w:r>
      <w:r>
        <w:rPr>
          <w:rFonts w:ascii="Arial" w:cs="Arial" w:eastAsia="Arial" w:hAnsi="Arial"/>
          <w:sz w:val="12"/>
          <w:szCs w:val="12"/>
          <w:color w:val="auto"/>
        </w:rPr>
        <w:t>Entertainment</w:t>
      </w:r>
    </w:p>
    <w:p>
      <w:pPr>
        <w:spacing w:after="0" w:line="200" w:lineRule="exact"/>
        <w:rPr>
          <w:sz w:val="20"/>
          <w:szCs w:val="20"/>
          <w:color w:val="auto"/>
        </w:rPr>
      </w:pPr>
    </w:p>
    <w:p>
      <w:pPr>
        <w:spacing w:after="0" w:line="274"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MicroHoldco, LLC</w:t>
      </w:r>
      <w:r>
        <w:rPr>
          <w:sz w:val="20"/>
          <w:szCs w:val="20"/>
          <w:color w:val="auto"/>
        </w:rPr>
        <w:tab/>
      </w:r>
      <w:r>
        <w:rPr>
          <w:rFonts w:ascii="Arial" w:cs="Arial" w:eastAsia="Arial" w:hAnsi="Arial"/>
          <w:sz w:val="13"/>
          <w:szCs w:val="13"/>
          <w:color w:val="auto"/>
        </w:rPr>
        <w:t>General Industrial</w:t>
      </w:r>
    </w:p>
    <w:p>
      <w:pPr>
        <w:spacing w:after="0" w:line="200" w:lineRule="exact"/>
        <w:rPr>
          <w:sz w:val="20"/>
          <w:szCs w:val="20"/>
          <w:color w:val="auto"/>
        </w:rPr>
      </w:pPr>
    </w:p>
    <w:p>
      <w:pPr>
        <w:spacing w:after="0" w:line="314"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Portrait Studio, LLC</w:t>
      </w:r>
      <w:r>
        <w:rPr>
          <w:sz w:val="20"/>
          <w:szCs w:val="20"/>
          <w:color w:val="auto"/>
        </w:rPr>
        <w:tab/>
      </w:r>
      <w:r>
        <w:rPr>
          <w:rFonts w:ascii="Arial" w:cs="Arial" w:eastAsia="Arial" w:hAnsi="Arial"/>
          <w:sz w:val="12"/>
          <w:szCs w:val="12"/>
          <w:color w:val="auto"/>
        </w:rPr>
        <w:t>Professional and</w:t>
      </w:r>
    </w:p>
    <w:p>
      <w:pPr>
        <w:ind w:left="2920"/>
        <w:spacing w:after="0" w:line="221" w:lineRule="auto"/>
        <w:rPr>
          <w:sz w:val="20"/>
          <w:szCs w:val="20"/>
          <w:color w:val="auto"/>
        </w:rPr>
      </w:pPr>
      <w:r>
        <w:rPr>
          <w:rFonts w:ascii="Arial" w:cs="Arial" w:eastAsia="Arial" w:hAnsi="Arial"/>
          <w:sz w:val="14"/>
          <w:szCs w:val="14"/>
          <w:color w:val="auto"/>
        </w:rPr>
        <w:t>Personal Digital</w:t>
      </w:r>
    </w:p>
    <w:p>
      <w:pPr>
        <w:ind w:left="2920"/>
        <w:spacing w:after="0"/>
        <w:rPr>
          <w:sz w:val="20"/>
          <w:szCs w:val="20"/>
          <w:color w:val="auto"/>
        </w:rPr>
      </w:pPr>
      <w:r>
        <w:rPr>
          <w:rFonts w:ascii="Arial" w:cs="Arial" w:eastAsia="Arial" w:hAnsi="Arial"/>
          <w:sz w:val="14"/>
          <w:szCs w:val="14"/>
          <w:color w:val="auto"/>
        </w:rPr>
        <w:t>Imaging</w:t>
      </w:r>
    </w:p>
    <w:p>
      <w:pPr>
        <w:spacing w:after="0" w:line="200" w:lineRule="exact"/>
        <w:rPr>
          <w:sz w:val="20"/>
          <w:szCs w:val="20"/>
          <w:color w:val="auto"/>
        </w:rPr>
      </w:pPr>
    </w:p>
    <w:p>
      <w:pPr>
        <w:spacing w:after="0" w:line="261"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Rapid Fire Protection, Inc.</w:t>
      </w:r>
      <w:r>
        <w:rPr>
          <w:sz w:val="20"/>
          <w:szCs w:val="20"/>
          <w:color w:val="auto"/>
        </w:rPr>
        <w:tab/>
      </w:r>
      <w:r>
        <w:rPr>
          <w:rFonts w:ascii="Arial" w:cs="Arial" w:eastAsia="Arial" w:hAnsi="Arial"/>
          <w:sz w:val="12"/>
          <w:szCs w:val="12"/>
          <w:color w:val="auto"/>
        </w:rPr>
        <w:t>Security System</w:t>
      </w:r>
    </w:p>
    <w:p>
      <w:pPr>
        <w:ind w:left="2920"/>
        <w:spacing w:after="0"/>
        <w:rPr>
          <w:sz w:val="20"/>
          <w:szCs w:val="20"/>
          <w:color w:val="auto"/>
        </w:rPr>
      </w:pPr>
      <w:r>
        <w:rPr>
          <w:rFonts w:ascii="Arial" w:cs="Arial" w:eastAsia="Arial" w:hAnsi="Arial"/>
          <w:sz w:val="14"/>
          <w:szCs w:val="14"/>
          <w:color w:val="auto"/>
        </w:rPr>
        <w:t>Services</w:t>
      </w:r>
    </w:p>
    <w:p>
      <w:pPr>
        <w:spacing w:after="0" w:line="178"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Rapid Fire Protection, Inc.</w:t>
      </w:r>
      <w:r>
        <w:rPr>
          <w:sz w:val="20"/>
          <w:szCs w:val="20"/>
          <w:color w:val="auto"/>
        </w:rPr>
        <w:tab/>
      </w:r>
      <w:r>
        <w:rPr>
          <w:rFonts w:ascii="Arial" w:cs="Arial" w:eastAsia="Arial" w:hAnsi="Arial"/>
          <w:sz w:val="12"/>
          <w:szCs w:val="12"/>
          <w:color w:val="auto"/>
        </w:rPr>
        <w:t>Security System</w:t>
      </w:r>
    </w:p>
    <w:p>
      <w:pPr>
        <w:ind w:left="2920"/>
        <w:spacing w:after="0"/>
        <w:rPr>
          <w:sz w:val="20"/>
          <w:szCs w:val="20"/>
          <w:color w:val="auto"/>
        </w:rPr>
      </w:pPr>
      <w:r>
        <w:rPr>
          <w:rFonts w:ascii="Arial" w:cs="Arial" w:eastAsia="Arial" w:hAnsi="Arial"/>
          <w:sz w:val="14"/>
          <w:szCs w:val="14"/>
          <w:color w:val="auto"/>
        </w:rPr>
        <w:t>Services</w:t>
      </w:r>
    </w:p>
    <w:p>
      <w:pPr>
        <w:spacing w:after="0" w:line="200" w:lineRule="exact"/>
        <w:rPr>
          <w:sz w:val="20"/>
          <w:szCs w:val="20"/>
          <w:color w:val="auto"/>
        </w:rPr>
      </w:pPr>
    </w:p>
    <w:p>
      <w:pPr>
        <w:spacing w:after="0" w:line="262"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Seitel, Inc.</w:t>
      </w:r>
      <w:r>
        <w:rPr>
          <w:sz w:val="20"/>
          <w:szCs w:val="20"/>
          <w:color w:val="auto"/>
        </w:rPr>
        <w:tab/>
      </w:r>
      <w:r>
        <w:rPr>
          <w:rFonts w:ascii="Arial" w:cs="Arial" w:eastAsia="Arial" w:hAnsi="Arial"/>
          <w:sz w:val="12"/>
          <w:szCs w:val="12"/>
          <w:color w:val="auto"/>
        </w:rPr>
        <w:t>Data Services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Sequoia Healthcare Management, LLC</w:t>
      </w:r>
      <w:r>
        <w:rPr>
          <w:sz w:val="20"/>
          <w:szCs w:val="20"/>
          <w:color w:val="auto"/>
        </w:rPr>
        <w:tab/>
      </w:r>
      <w:r>
        <w:rPr>
          <w:rFonts w:ascii="Arial" w:cs="Arial" w:eastAsia="Arial" w:hAnsi="Arial"/>
          <w:sz w:val="12"/>
          <w:szCs w:val="12"/>
          <w:color w:val="auto"/>
        </w:rPr>
        <w:t>Healthcare</w:t>
      </w:r>
    </w:p>
    <w:p>
      <w:pPr>
        <w:ind w:left="2920"/>
        <w:spacing w:after="0"/>
        <w:rPr>
          <w:sz w:val="20"/>
          <w:szCs w:val="20"/>
          <w:color w:val="auto"/>
        </w:rPr>
      </w:pPr>
      <w:r>
        <w:rPr>
          <w:rFonts w:ascii="Arial" w:cs="Arial" w:eastAsia="Arial" w:hAnsi="Arial"/>
          <w:sz w:val="14"/>
          <w:szCs w:val="14"/>
          <w:color w:val="auto"/>
        </w:rPr>
        <w:t>Management</w:t>
      </w:r>
    </w:p>
    <w:p>
      <w:pPr>
        <w:spacing w:after="0" w:line="200" w:lineRule="exact"/>
        <w:rPr>
          <w:sz w:val="20"/>
          <w:szCs w:val="20"/>
          <w:color w:val="auto"/>
        </w:rPr>
      </w:pPr>
    </w:p>
    <w:p>
      <w:pPr>
        <w:spacing w:after="0" w:line="262"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Sur La Table, Inc.</w:t>
      </w:r>
      <w:r>
        <w:rPr>
          <w:sz w:val="20"/>
          <w:szCs w:val="20"/>
          <w:color w:val="auto"/>
        </w:rPr>
        <w:tab/>
      </w:r>
      <w:r>
        <w:rPr>
          <w:rFonts w:ascii="Arial" w:cs="Arial" w:eastAsia="Arial" w:hAnsi="Arial"/>
          <w:sz w:val="13"/>
          <w:szCs w:val="13"/>
          <w:color w:val="auto"/>
        </w:rPr>
        <w:t>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3"/>
        </w:trPr>
        <w:tc>
          <w:tcPr>
            <w:tcW w:w="3080" w:type="dxa"/>
            <w:vAlign w:val="bottom"/>
          </w:tcPr>
          <w:p>
            <w:pPr>
              <w:spacing w:after="0"/>
              <w:rPr>
                <w:sz w:val="20"/>
                <w:szCs w:val="20"/>
                <w:color w:val="auto"/>
              </w:rPr>
            </w:pPr>
            <w:r>
              <w:rPr>
                <w:rFonts w:ascii="Arial" w:cs="Arial" w:eastAsia="Arial" w:hAnsi="Arial"/>
                <w:sz w:val="14"/>
                <w:szCs w:val="14"/>
                <w:color w:val="auto"/>
              </w:rPr>
              <w:t xml:space="preserve">First Lien Debt (9.3% Cash, Due 6/20/23) </w:t>
            </w:r>
            <w:r>
              <w:rPr>
                <w:rFonts w:ascii="Arial" w:cs="Arial" w:eastAsia="Arial" w:hAnsi="Arial"/>
                <w:sz w:val="23"/>
                <w:szCs w:val="23"/>
                <w:color w:val="auto"/>
                <w:vertAlign w:val="superscript"/>
              </w:rPr>
              <w:t>(6)</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2,924</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2,924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2,924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2,924</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2,924</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080" w:type="dxa"/>
            <w:vAlign w:val="bottom"/>
          </w:tcPr>
          <w:p>
            <w:pPr>
              <w:spacing w:after="0"/>
              <w:rPr>
                <w:sz w:val="20"/>
                <w:szCs w:val="20"/>
                <w:color w:val="auto"/>
              </w:rPr>
            </w:pPr>
            <w:r>
              <w:rPr>
                <w:rFonts w:ascii="Arial" w:cs="Arial" w:eastAsia="Arial" w:hAnsi="Arial"/>
                <w:sz w:val="14"/>
                <w:szCs w:val="14"/>
                <w:color w:val="auto"/>
              </w:rPr>
              <w:t>First Lien Debt (8.3% Cash (1 month LIBOR</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080" w:type="dxa"/>
            <w:vAlign w:val="bottom"/>
          </w:tcPr>
          <w:p>
            <w:pPr>
              <w:spacing w:after="0"/>
              <w:rPr>
                <w:sz w:val="20"/>
                <w:szCs w:val="20"/>
                <w:color w:val="auto"/>
              </w:rPr>
            </w:pPr>
            <w:r>
              <w:rPr>
                <w:rFonts w:ascii="Arial" w:cs="Arial" w:eastAsia="Arial" w:hAnsi="Arial"/>
                <w:sz w:val="14"/>
                <w:szCs w:val="14"/>
                <w:color w:val="auto"/>
              </w:rPr>
              <w:t xml:space="preserve">+ 6.5%, 1.8% Floor), Due 12/20/24) </w:t>
            </w:r>
            <w:r>
              <w:rPr>
                <w:rFonts w:ascii="Arial" w:cs="Arial" w:eastAsia="Arial" w:hAnsi="Arial"/>
                <w:sz w:val="23"/>
                <w:szCs w:val="23"/>
                <w:color w:val="auto"/>
                <w:vertAlign w:val="superscript"/>
              </w:rPr>
              <w:t>(13)</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20"/>
                <w:szCs w:val="20"/>
                <w:color w:val="auto"/>
              </w:rPr>
            </w:pPr>
            <w:r>
              <w:rPr>
                <w:rFonts w:ascii="Arial" w:cs="Arial" w:eastAsia="Arial" w:hAnsi="Arial"/>
                <w:sz w:val="14"/>
                <w:szCs w:val="14"/>
                <w:color w:val="auto"/>
              </w:rPr>
              <w:t>First Lien Debt (8.3% Cash (1 month LIBOR</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+ 6.5%, 1.8% Floor), Due 12/20/24)</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7,000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7,000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7,000</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080" w:type="dxa"/>
            <w:vAlign w:val="bottom"/>
          </w:tcPr>
          <w:p>
            <w:pPr>
              <w:spacing w:after="0"/>
              <w:rPr>
                <w:sz w:val="20"/>
                <w:szCs w:val="20"/>
                <w:color w:val="auto"/>
              </w:rPr>
            </w:pPr>
            <w:r>
              <w:rPr>
                <w:rFonts w:ascii="Arial" w:cs="Arial" w:eastAsia="Arial" w:hAnsi="Arial"/>
                <w:sz w:val="14"/>
                <w:szCs w:val="14"/>
                <w:color w:val="auto"/>
              </w:rPr>
              <w:t>First Lien Debt (9.5% Cash (1 month LIBOR</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080" w:type="dxa"/>
            <w:vAlign w:val="bottom"/>
          </w:tcPr>
          <w:p>
            <w:pPr>
              <w:spacing w:after="0"/>
              <w:rPr>
                <w:sz w:val="20"/>
                <w:szCs w:val="20"/>
                <w:color w:val="auto"/>
              </w:rPr>
            </w:pPr>
            <w:r>
              <w:rPr>
                <w:rFonts w:ascii="Arial" w:cs="Arial" w:eastAsia="Arial" w:hAnsi="Arial"/>
                <w:sz w:val="14"/>
                <w:szCs w:val="14"/>
                <w:color w:val="auto"/>
              </w:rPr>
              <w:t xml:space="preserve">+ 7.5%, 2.0% Floor), Due 5/1/24) </w:t>
            </w:r>
            <w:r>
              <w:rPr>
                <w:rFonts w:ascii="Arial" w:cs="Arial" w:eastAsia="Arial" w:hAnsi="Arial"/>
                <w:sz w:val="23"/>
                <w:szCs w:val="23"/>
                <w:color w:val="auto"/>
                <w:vertAlign w:val="superscript"/>
              </w:rPr>
              <w:t>(14)</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10,827</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10,827</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10,827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7"/>
        </w:trPr>
        <w:tc>
          <w:tcPr>
            <w:tcW w:w="3080" w:type="dxa"/>
            <w:vAlign w:val="bottom"/>
          </w:tcPr>
          <w:p>
            <w:pPr>
              <w:spacing w:after="0"/>
              <w:rPr>
                <w:sz w:val="20"/>
                <w:szCs w:val="20"/>
                <w:color w:val="auto"/>
              </w:rPr>
            </w:pPr>
            <w:r>
              <w:rPr>
                <w:rFonts w:ascii="Arial" w:cs="Arial" w:eastAsia="Arial" w:hAnsi="Arial"/>
                <w:sz w:val="14"/>
                <w:szCs w:val="14"/>
                <w:color w:val="auto"/>
              </w:rPr>
              <w:t>Preferred Units (375,000 units)</w:t>
            </w:r>
          </w:p>
        </w:tc>
        <w:tc>
          <w:tcPr>
            <w:tcW w:w="10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388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11,215</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10,912</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3080" w:type="dxa"/>
            <w:vAlign w:val="bottom"/>
          </w:tcPr>
          <w:p>
            <w:pPr>
              <w:spacing w:after="0"/>
              <w:rPr>
                <w:sz w:val="20"/>
                <w:szCs w:val="20"/>
                <w:color w:val="auto"/>
              </w:rPr>
            </w:pPr>
            <w:r>
              <w:rPr>
                <w:rFonts w:ascii="Arial" w:cs="Arial" w:eastAsia="Arial" w:hAnsi="Arial"/>
                <w:sz w:val="14"/>
                <w:szCs w:val="14"/>
                <w:color w:val="auto"/>
              </w:rPr>
              <w:t xml:space="preserve">Preferred Units </w:t>
            </w:r>
            <w:r>
              <w:rPr>
                <w:rFonts w:ascii="Arial" w:cs="Arial" w:eastAsia="Arial" w:hAnsi="Arial"/>
                <w:sz w:val="23"/>
                <w:szCs w:val="23"/>
                <w:color w:val="auto"/>
                <w:vertAlign w:val="superscript"/>
              </w:rPr>
              <w:t>(9)</w:t>
            </w:r>
          </w:p>
        </w:tc>
        <w:tc>
          <w:tcPr>
            <w:tcW w:w="10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838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838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838</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3080" w:type="dxa"/>
            <w:vAlign w:val="bottom"/>
          </w:tcPr>
          <w:p>
            <w:pPr>
              <w:spacing w:after="0"/>
              <w:rPr>
                <w:sz w:val="20"/>
                <w:szCs w:val="20"/>
                <w:color w:val="auto"/>
              </w:rPr>
            </w:pPr>
            <w:r>
              <w:rPr>
                <w:rFonts w:ascii="Arial" w:cs="Arial" w:eastAsia="Arial" w:hAnsi="Arial"/>
                <w:sz w:val="14"/>
                <w:szCs w:val="14"/>
                <w:color w:val="auto"/>
              </w:rPr>
              <w:t xml:space="preserve">First Lien Debt </w:t>
            </w:r>
            <w:r>
              <w:rPr>
                <w:rFonts w:ascii="Arial" w:cs="Arial" w:eastAsia="Arial" w:hAnsi="Arial"/>
                <w:sz w:val="23"/>
                <w:szCs w:val="23"/>
                <w:color w:val="auto"/>
                <w:vertAlign w:val="superscript"/>
              </w:rPr>
              <w:t>(9)</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510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510</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3080" w:type="dxa"/>
            <w:vAlign w:val="bottom"/>
          </w:tcPr>
          <w:p>
            <w:pPr>
              <w:spacing w:after="0"/>
              <w:rPr>
                <w:sz w:val="20"/>
                <w:szCs w:val="20"/>
                <w:color w:val="auto"/>
              </w:rPr>
            </w:pPr>
            <w:r>
              <w:rPr>
                <w:rFonts w:ascii="Arial" w:cs="Arial" w:eastAsia="Arial" w:hAnsi="Arial"/>
                <w:sz w:val="14"/>
                <w:szCs w:val="14"/>
                <w:color w:val="auto"/>
              </w:rPr>
              <w:t xml:space="preserve">First Lien Debt (9.2% Cash, Due 11/22/24) </w:t>
            </w:r>
            <w:r>
              <w:rPr>
                <w:rFonts w:ascii="Arial" w:cs="Arial" w:eastAsia="Arial" w:hAnsi="Arial"/>
                <w:sz w:val="23"/>
                <w:szCs w:val="23"/>
                <w:color w:val="auto"/>
                <w:vertAlign w:val="superscript"/>
              </w:rPr>
              <w:t>(6)</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2"/>
                <w:szCs w:val="12"/>
                <w:color w:val="auto"/>
              </w:rPr>
              <w:t>(15)</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6,550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6,550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6,550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14"/>
                <w:szCs w:val="14"/>
                <w:color w:val="auto"/>
              </w:rPr>
              <w:t>Common Stock (363 shares)</w:t>
            </w:r>
          </w:p>
        </w:tc>
        <w:tc>
          <w:tcPr>
            <w:tcW w:w="1020" w:type="dxa"/>
            <w:vAlign w:val="bottom"/>
          </w:tcPr>
          <w:p>
            <w:pPr>
              <w:spacing w:after="0"/>
              <w:rPr>
                <w:sz w:val="24"/>
                <w:szCs w:val="2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500</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500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7,050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7,050</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3080" w:type="dxa"/>
            <w:vAlign w:val="bottom"/>
          </w:tcPr>
          <w:p>
            <w:pPr>
              <w:spacing w:after="0"/>
              <w:rPr>
                <w:sz w:val="20"/>
                <w:szCs w:val="20"/>
                <w:color w:val="auto"/>
              </w:rPr>
            </w:pPr>
            <w:r>
              <w:rPr>
                <w:rFonts w:ascii="Arial" w:cs="Arial" w:eastAsia="Arial" w:hAnsi="Arial"/>
                <w:sz w:val="14"/>
                <w:szCs w:val="14"/>
                <w:color w:val="auto"/>
              </w:rPr>
              <w:t>First Lien Debt (10.0% Cash (1 month</w:t>
            </w: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LIBOR + 8.3%, 1.0% Floor), Due 3/15/23)</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4,749</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4,749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4,749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4,749</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4,749</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080" w:type="dxa"/>
            <w:vAlign w:val="bottom"/>
          </w:tcPr>
          <w:p>
            <w:pPr>
              <w:spacing w:after="0"/>
              <w:rPr>
                <w:sz w:val="20"/>
                <w:szCs w:val="20"/>
                <w:color w:val="auto"/>
              </w:rPr>
            </w:pPr>
            <w:r>
              <w:rPr>
                <w:rFonts w:ascii="Arial" w:cs="Arial" w:eastAsia="Arial" w:hAnsi="Arial"/>
                <w:sz w:val="14"/>
                <w:szCs w:val="14"/>
                <w:color w:val="auto"/>
              </w:rPr>
              <w:t>First Lien Debt (12.8% Cash, Due 6/26/20)</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12,744</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12,744</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12,607</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12,744</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12,607</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3080" w:type="dxa"/>
            <w:vAlign w:val="bottom"/>
          </w:tcPr>
          <w:p>
            <w:pPr>
              <w:spacing w:after="0"/>
              <w:rPr>
                <w:sz w:val="20"/>
                <w:szCs w:val="20"/>
                <w:color w:val="auto"/>
              </w:rPr>
            </w:pPr>
            <w:r>
              <w:rPr>
                <w:rFonts w:ascii="Arial" w:cs="Arial" w:eastAsia="Arial" w:hAnsi="Arial"/>
                <w:sz w:val="14"/>
                <w:szCs w:val="14"/>
                <w:color w:val="auto"/>
              </w:rPr>
              <w:t>First Lien Debt (10.9% Cash (3 month</w:t>
            </w: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line="159" w:lineRule="exact"/>
              <w:rPr>
                <w:sz w:val="20"/>
                <w:szCs w:val="20"/>
                <w:color w:val="auto"/>
              </w:rPr>
            </w:pPr>
            <w:r>
              <w:rPr>
                <w:rFonts w:ascii="Arial" w:cs="Arial" w:eastAsia="Arial" w:hAnsi="Arial"/>
                <w:sz w:val="14"/>
                <w:szCs w:val="14"/>
                <w:color w:val="auto"/>
              </w:rPr>
              <w:t>LIBOR + 9.0%, 1.0% Floor), Due 7/31/22)</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2"/>
                <w:szCs w:val="12"/>
                <w:color w:val="auto"/>
              </w:rPr>
              <w:t>(16)(17)</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10,528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10,528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10,045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10,528</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10,045</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-5280025</wp:posOffset>
            </wp:positionV>
            <wp:extent cx="713232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-5057140</wp:posOffset>
            </wp:positionV>
            <wp:extent cx="713232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-4851400</wp:posOffset>
            </wp:positionV>
            <wp:extent cx="713232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-4542790</wp:posOffset>
            </wp:positionV>
            <wp:extent cx="71323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-4251325</wp:posOffset>
            </wp:positionV>
            <wp:extent cx="71323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-4045585</wp:posOffset>
            </wp:positionV>
            <wp:extent cx="71323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-3736975</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-3539490</wp:posOffset>
            </wp:positionV>
            <wp:extent cx="71323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-3333750</wp:posOffset>
            </wp:positionV>
            <wp:extent cx="713232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-3110865</wp:posOffset>
            </wp:positionV>
            <wp:extent cx="713232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-2905125</wp:posOffset>
            </wp:positionV>
            <wp:extent cx="713232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-2519680</wp:posOffset>
            </wp:positionV>
            <wp:extent cx="713232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-2313940</wp:posOffset>
            </wp:positionV>
            <wp:extent cx="713232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-1996440</wp:posOffset>
            </wp:positionV>
            <wp:extent cx="713232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-1704975</wp:posOffset>
            </wp:positionV>
            <wp:extent cx="713232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-1499870</wp:posOffset>
            </wp:positionV>
            <wp:extent cx="71323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-1207770</wp:posOffset>
            </wp:positionV>
            <wp:extent cx="713232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-1002665</wp:posOffset>
            </wp:positionV>
            <wp:extent cx="713232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-710565</wp:posOffset>
            </wp:positionV>
            <wp:extent cx="713232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-505460</wp:posOffset>
            </wp:positionV>
            <wp:extent cx="7132320"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-110490</wp:posOffset>
            </wp:positionV>
            <wp:extent cx="713232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140"/>
            <w:col w:w="6940"/>
          </w:cols>
          <w:pgMar w:left="320" w:top="931"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20" w:type="dxa"/>
            <w:vAlign w:val="bottom"/>
          </w:tcPr>
          <w:p>
            <w:pPr>
              <w:spacing w:after="0"/>
              <w:rPr>
                <w:sz w:val="14"/>
                <w:szCs w:val="14"/>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27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Type of Investment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23"/>
        </w:trPr>
        <w:tc>
          <w:tcPr>
            <w:tcW w:w="28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Taylor Precision Products, Inc.</w:t>
            </w:r>
          </w:p>
        </w:tc>
        <w:tc>
          <w:tcPr>
            <w:tcW w:w="1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Household Product</w:t>
            </w:r>
          </w:p>
        </w:tc>
        <w:tc>
          <w:tcPr>
            <w:tcW w:w="100" w:type="dxa"/>
            <w:vAlign w:val="bottom"/>
            <w:tcBorders>
              <w:top w:val="single" w:sz="8" w:color="CCEEFF"/>
            </w:tcBorders>
            <w:shd w:val="clear" w:color="auto" w:fill="CCEEFF"/>
          </w:tcPr>
          <w:p>
            <w:pPr>
              <w:spacing w:after="0"/>
              <w:rPr>
                <w:sz w:val="10"/>
                <w:szCs w:val="10"/>
                <w:color w:val="auto"/>
              </w:rPr>
            </w:pPr>
          </w:p>
        </w:tc>
        <w:tc>
          <w:tcPr>
            <w:tcW w:w="2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Series C Preferred Stock (379 shares)</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U.S. BioTek Laboratories, LLC</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Testing laboratories</w:t>
            </w:r>
          </w:p>
        </w:tc>
        <w:tc>
          <w:tcPr>
            <w:tcW w:w="278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 xml:space="preserve">First Lien Debt (9.3% Cash, Due 12/14/23) </w:t>
            </w:r>
            <w:r>
              <w:rPr>
                <w:rFonts w:ascii="Arial" w:cs="Arial" w:eastAsia="Arial" w:hAnsi="Arial"/>
                <w:sz w:val="20"/>
                <w:szCs w:val="20"/>
                <w:color w:val="auto"/>
                <w:vertAlign w:val="superscript"/>
              </w:rPr>
              <w:t>(6)</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BioTek Laboratories, LLC</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Testing laboratories</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A Preferred Units (500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BioTek Laboratories, LLC</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Testing laboratories</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C Units (500 Units)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7,026</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U.S. Well Services, Inc.</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Oil &amp; Gas Services</w:t>
            </w:r>
          </w:p>
        </w:tc>
        <w:tc>
          <w:tcPr>
            <w:tcW w:w="278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 xml:space="preserve">Class A Common Stock (77,073 shares) </w:t>
            </w:r>
            <w:r>
              <w:rPr>
                <w:rFonts w:ascii="Arial" w:cs="Arial" w:eastAsia="Arial" w:hAnsi="Arial"/>
                <w:sz w:val="20"/>
                <w:szCs w:val="20"/>
                <w:color w:val="auto"/>
                <w:vertAlign w:val="superscript"/>
              </w:rPr>
              <w:t>(11)</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U.S. Well Services, Inc.</w:t>
            </w:r>
          </w:p>
        </w:tc>
        <w:tc>
          <w:tcPr>
            <w:tcW w:w="150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Oil &amp; Gas Services</w:t>
            </w:r>
          </w:p>
        </w:tc>
        <w:tc>
          <w:tcPr>
            <w:tcW w:w="27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Class B Common Stock (1,125,426 shares)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(11)(18)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2,273</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Information</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(600,000 units)</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EFF"/>
            </w:tcBorders>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 Total Non-control/non-affiliated investments - United States</w:t>
            </w:r>
          </w:p>
        </w:tc>
        <w:tc>
          <w:tcPr>
            <w:tcW w:w="2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250,433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241,046</w:t>
            </w: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162.8</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- 66.7%</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United States</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Debt (12.0% Cash, 3.0% PIK, Due</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3/23/21)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14,421</w:t>
            </w:r>
          </w:p>
        </w:tc>
        <w:tc>
          <w:tcPr>
            <w:tcW w:w="2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14,421</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Class B (1,085,073 shares)</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Automobile Part</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Class A (1,253,198 shares)</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Manufacturer</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16,287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15,056</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Footwear Retail</w:t>
            </w:r>
          </w:p>
        </w:tc>
        <w:tc>
          <w:tcPr>
            <w:tcW w:w="2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1"/>
                <w:szCs w:val="21"/>
                <w:color w:val="auto"/>
                <w:vertAlign w:val="superscript"/>
              </w:rPr>
              <w:t>(9)</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3,326</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Debt (14.9% Cash (3 month</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LIBOR + 13.0%, 0.5% Floor), Due 12/29/21)</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16,155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Eastport Holdings, LLC</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Membership Units (22.9% ownership)</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17,822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34,322</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20" w:type="dxa"/>
            <w:vAlign w:val="bottom"/>
          </w:tcPr>
          <w:p>
            <w:pPr>
              <w:spacing w:after="0"/>
              <w:rPr>
                <w:sz w:val="14"/>
                <w:szCs w:val="14"/>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27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Type of Investment</w:t>
            </w:r>
          </w:p>
        </w:tc>
        <w:tc>
          <w:tcPr>
            <w:tcW w:w="14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3"/>
              </w:rPr>
              <w:t>Principal Amount</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23"/>
        </w:trPr>
        <w:tc>
          <w:tcPr>
            <w:tcW w:w="28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GA Communications, Inc.</w:t>
            </w:r>
          </w:p>
        </w:tc>
        <w:tc>
          <w:tcPr>
            <w:tcW w:w="1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Advertising &amp;</w:t>
            </w:r>
          </w:p>
        </w:tc>
        <w:tc>
          <w:tcPr>
            <w:tcW w:w="100" w:type="dxa"/>
            <w:vAlign w:val="bottom"/>
            <w:tcBorders>
              <w:top w:val="single" w:sz="8" w:color="CCEEFF"/>
            </w:tcBorders>
            <w:shd w:val="clear" w:color="auto" w:fill="CCEEFF"/>
          </w:tcPr>
          <w:p>
            <w:pPr>
              <w:spacing w:after="0"/>
              <w:rPr>
                <w:sz w:val="10"/>
                <w:szCs w:val="10"/>
                <w:color w:val="auto"/>
              </w:rPr>
            </w:pPr>
          </w:p>
        </w:tc>
        <w:tc>
          <w:tcPr>
            <w:tcW w:w="2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Series A-1 Preferred Stock (1,998 shares,</w:t>
            </w: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2780" w:type="dxa"/>
            <w:vAlign w:val="bottom"/>
            <w:gridSpan w:val="2"/>
            <w:shd w:val="clear" w:color="auto" w:fill="CCEEFF"/>
          </w:tcPr>
          <w:p>
            <w:pPr>
              <w:spacing w:after="0" w:line="208" w:lineRule="exact"/>
              <w:rPr>
                <w:sz w:val="20"/>
                <w:szCs w:val="20"/>
                <w:color w:val="auto"/>
              </w:rPr>
            </w:pPr>
            <w:r>
              <w:rPr>
                <w:rFonts w:ascii="Arial" w:cs="Arial" w:eastAsia="Arial" w:hAnsi="Arial"/>
                <w:sz w:val="14"/>
                <w:szCs w:val="14"/>
                <w:color w:val="auto"/>
              </w:rPr>
              <w:t xml:space="preserve">8.0% PIK Dividend) </w:t>
            </w:r>
            <w:r>
              <w:rPr>
                <w:rFonts w:ascii="Arial" w:cs="Arial" w:eastAsia="Arial" w:hAnsi="Arial"/>
                <w:sz w:val="23"/>
                <w:szCs w:val="23"/>
                <w:color w:val="auto"/>
                <w:vertAlign w:val="superscript"/>
              </w:rPr>
              <w:t>(10)</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3,476</w:t>
            </w:r>
          </w:p>
        </w:tc>
        <w:tc>
          <w:tcPr>
            <w:tcW w:w="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5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 &amp;</w:t>
            </w: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Series B-1 Common Stock (200,000 shares)</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Marketing Services</w:t>
            </w: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4,262</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QSR Franchisor</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Units (92,924 units)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QSR Franchisor</w:t>
            </w: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Membership Units (2,593,234 units)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1,881</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MMI Holdings, LLC</w:t>
      </w:r>
      <w:r>
        <w:rPr>
          <w:sz w:val="20"/>
          <w:szCs w:val="20"/>
          <w:color w:val="auto"/>
        </w:rPr>
        <w:tab/>
      </w:r>
      <w:r>
        <w:rPr>
          <w:rFonts w:ascii="Arial" w:cs="Arial" w:eastAsia="Arial" w:hAnsi="Arial"/>
          <w:sz w:val="13"/>
          <w:szCs w:val="13"/>
          <w:color w:val="auto"/>
        </w:rPr>
        <w:t>Medical Device</w:t>
      </w:r>
    </w:p>
    <w:p>
      <w:pPr>
        <w:ind w:left="2920"/>
        <w:spacing w:after="0"/>
        <w:rPr>
          <w:sz w:val="20"/>
          <w:szCs w:val="20"/>
          <w:color w:val="auto"/>
        </w:rPr>
      </w:pPr>
      <w:r>
        <w:rPr>
          <w:rFonts w:ascii="Arial" w:cs="Arial" w:eastAsia="Arial" w:hAnsi="Arial"/>
          <w:sz w:val="14"/>
          <w:szCs w:val="14"/>
          <w:color w:val="auto"/>
        </w:rPr>
        <w:t>Distributor</w:t>
      </w:r>
    </w:p>
    <w:p>
      <w:pPr>
        <w:spacing w:after="0" w:line="137"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MMI Holdings, LLC</w:t>
      </w:r>
      <w:r>
        <w:rPr>
          <w:sz w:val="20"/>
          <w:szCs w:val="20"/>
          <w:color w:val="auto"/>
        </w:rPr>
        <w:tab/>
      </w:r>
      <w:r>
        <w:rPr>
          <w:rFonts w:ascii="Arial" w:cs="Arial" w:eastAsia="Arial" w:hAnsi="Arial"/>
          <w:sz w:val="13"/>
          <w:szCs w:val="13"/>
          <w:color w:val="auto"/>
        </w:rPr>
        <w:t>Medical Device</w:t>
      </w:r>
    </w:p>
    <w:p>
      <w:pPr>
        <w:ind w:left="2920"/>
        <w:spacing w:after="0"/>
        <w:rPr>
          <w:sz w:val="20"/>
          <w:szCs w:val="20"/>
          <w:color w:val="auto"/>
        </w:rPr>
      </w:pPr>
      <w:r>
        <w:rPr>
          <w:rFonts w:ascii="Arial" w:cs="Arial" w:eastAsia="Arial" w:hAnsi="Arial"/>
          <w:sz w:val="14"/>
          <w:szCs w:val="14"/>
          <w:color w:val="auto"/>
        </w:rPr>
        <w:t>Distributor</w:t>
      </w:r>
    </w:p>
    <w:p>
      <w:pPr>
        <w:spacing w:after="0" w:line="137"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MMI Holdings, LLC</w:t>
      </w:r>
      <w:r>
        <w:rPr>
          <w:sz w:val="20"/>
          <w:szCs w:val="20"/>
          <w:color w:val="auto"/>
        </w:rPr>
        <w:tab/>
      </w:r>
      <w:r>
        <w:rPr>
          <w:rFonts w:ascii="Arial" w:cs="Arial" w:eastAsia="Arial" w:hAnsi="Arial"/>
          <w:sz w:val="13"/>
          <w:szCs w:val="13"/>
          <w:color w:val="auto"/>
        </w:rPr>
        <w:t>Medical Device</w:t>
      </w:r>
    </w:p>
    <w:p>
      <w:pPr>
        <w:ind w:left="2920"/>
        <w:spacing w:after="0"/>
        <w:rPr>
          <w:sz w:val="20"/>
          <w:szCs w:val="20"/>
          <w:color w:val="auto"/>
        </w:rPr>
      </w:pPr>
      <w:r>
        <w:rPr>
          <w:rFonts w:ascii="Arial" w:cs="Arial" w:eastAsia="Arial" w:hAnsi="Arial"/>
          <w:sz w:val="14"/>
          <w:szCs w:val="14"/>
          <w:color w:val="auto"/>
        </w:rPr>
        <w:t>Distributor</w:t>
      </w:r>
    </w:p>
    <w:p>
      <w:pPr>
        <w:spacing w:after="0" w:line="164"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MMI Holdings, LLC</w:t>
      </w:r>
      <w:r>
        <w:rPr>
          <w:sz w:val="20"/>
          <w:szCs w:val="20"/>
          <w:color w:val="auto"/>
        </w:rPr>
        <w:tab/>
      </w:r>
      <w:r>
        <w:rPr>
          <w:rFonts w:ascii="Arial" w:cs="Arial" w:eastAsia="Arial" w:hAnsi="Arial"/>
          <w:sz w:val="13"/>
          <w:szCs w:val="13"/>
          <w:color w:val="auto"/>
        </w:rPr>
        <w:t>Medical Device</w:t>
      </w:r>
    </w:p>
    <w:p>
      <w:pPr>
        <w:ind w:left="2920"/>
        <w:spacing w:after="0"/>
        <w:rPr>
          <w:sz w:val="20"/>
          <w:szCs w:val="20"/>
          <w:color w:val="auto"/>
        </w:rPr>
      </w:pPr>
      <w:r>
        <w:rPr>
          <w:rFonts w:ascii="Arial" w:cs="Arial" w:eastAsia="Arial" w:hAnsi="Arial"/>
          <w:sz w:val="14"/>
          <w:szCs w:val="14"/>
          <w:color w:val="auto"/>
        </w:rPr>
        <w:t>Distributor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20"/>
                <w:szCs w:val="20"/>
                <w:color w:val="auto"/>
              </w:rPr>
            </w:pPr>
            <w:r>
              <w:rPr>
                <w:rFonts w:ascii="Arial" w:cs="Arial" w:eastAsia="Arial" w:hAnsi="Arial"/>
                <w:sz w:val="14"/>
                <w:szCs w:val="14"/>
                <w:color w:val="auto"/>
              </w:rPr>
              <w:t>First Lien Debt (12.0% Cash, Due 1/31/21)</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20"/>
                <w:szCs w:val="20"/>
                <w:color w:val="auto"/>
              </w:rPr>
            </w:pPr>
            <w:r>
              <w:rPr>
                <w:rFonts w:ascii="Arial" w:cs="Arial" w:eastAsia="Arial" w:hAnsi="Arial"/>
                <w:sz w:val="12"/>
                <w:szCs w:val="12"/>
                <w:color w:val="auto"/>
              </w:rPr>
              <w:t>(16)</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2,600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2,600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3"/>
        </w:trPr>
        <w:tc>
          <w:tcPr>
            <w:tcW w:w="2680" w:type="dxa"/>
            <w:vAlign w:val="bottom"/>
          </w:tcPr>
          <w:p>
            <w:pPr>
              <w:spacing w:after="0"/>
              <w:rPr>
                <w:sz w:val="20"/>
                <w:szCs w:val="20"/>
                <w:color w:val="auto"/>
              </w:rPr>
            </w:pPr>
            <w:r>
              <w:rPr>
                <w:rFonts w:ascii="Arial" w:cs="Arial" w:eastAsia="Arial" w:hAnsi="Arial"/>
                <w:sz w:val="14"/>
                <w:szCs w:val="14"/>
                <w:color w:val="auto"/>
                <w:w w:val="96"/>
              </w:rPr>
              <w:t>Second Lien Debt (6.0% Cash, Due 1/31/21)</w:t>
            </w: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20"/>
                <w:szCs w:val="20"/>
                <w:color w:val="auto"/>
              </w:rPr>
            </w:pPr>
            <w:r>
              <w:rPr>
                <w:rFonts w:ascii="Arial" w:cs="Arial" w:eastAsia="Arial" w:hAnsi="Arial"/>
                <w:sz w:val="12"/>
                <w:szCs w:val="12"/>
                <w:color w:val="auto"/>
              </w:rPr>
              <w:t>(16)</w:t>
            </w:r>
          </w:p>
        </w:tc>
        <w:tc>
          <w:tcPr>
            <w:tcW w:w="520" w:type="dxa"/>
            <w:vAlign w:val="bottom"/>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388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3"/>
        </w:trPr>
        <w:tc>
          <w:tcPr>
            <w:tcW w:w="2680" w:type="dxa"/>
            <w:vAlign w:val="bottom"/>
          </w:tcPr>
          <w:p>
            <w:pPr>
              <w:spacing w:after="0"/>
              <w:rPr>
                <w:sz w:val="20"/>
                <w:szCs w:val="20"/>
                <w:color w:val="auto"/>
              </w:rPr>
            </w:pPr>
            <w:r>
              <w:rPr>
                <w:rFonts w:ascii="Arial" w:cs="Arial" w:eastAsia="Arial" w:hAnsi="Arial"/>
                <w:sz w:val="14"/>
                <w:szCs w:val="14"/>
                <w:color w:val="auto"/>
              </w:rPr>
              <w:t>Preferred Units (1,000 units, 6.0% PIK</w:t>
            </w: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2680" w:type="dxa"/>
            <w:vAlign w:val="bottom"/>
          </w:tcPr>
          <w:p>
            <w:pPr>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(10)</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1,572</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1,710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20"/>
                <w:szCs w:val="20"/>
                <w:color w:val="auto"/>
              </w:rPr>
            </w:pPr>
            <w:r>
              <w:rPr>
                <w:rFonts w:ascii="Arial" w:cs="Arial" w:eastAsia="Arial" w:hAnsi="Arial"/>
                <w:sz w:val="14"/>
                <w:szCs w:val="14"/>
                <w:color w:val="auto"/>
              </w:rPr>
              <w:t>Common Membership Units (45 units)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194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4,560</w:t>
            </w:r>
          </w:p>
        </w:tc>
        <w:tc>
          <w:tcPr>
            <w:tcW w:w="2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4,904</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-1293495</wp:posOffset>
            </wp:positionV>
            <wp:extent cx="713232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-1002665</wp:posOffset>
            </wp:positionV>
            <wp:extent cx="7132320"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-710565</wp:posOffset>
            </wp:positionV>
            <wp:extent cx="71323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-402590</wp:posOffset>
            </wp:positionV>
            <wp:extent cx="713232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-110490</wp:posOffset>
            </wp:positionV>
            <wp:extent cx="713232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820" w:space="480"/>
            <w:col w:w="694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Textile Equipment</w:t>
            </w: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First Lien Debt (11.0% Cash, Due 6/30/23)</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1"/>
        </w:trPr>
        <w:tc>
          <w:tcPr>
            <w:tcW w:w="2560" w:type="dxa"/>
            <w:vAlign w:val="bottom"/>
            <w:shd w:val="clear" w:color="auto" w:fill="CCEEFF"/>
          </w:tcPr>
          <w:p>
            <w:pPr>
              <w:spacing w:after="0"/>
              <w:rPr>
                <w:sz w:val="15"/>
                <w:szCs w:val="15"/>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Manufacturer</w:t>
            </w:r>
          </w:p>
        </w:tc>
        <w:tc>
          <w:tcPr>
            <w:tcW w:w="3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(16)</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10,100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48"/>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Textile Equipment</w:t>
            </w:r>
          </w:p>
        </w:tc>
        <w:tc>
          <w:tcPr>
            <w:tcW w:w="3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Stock (1,000 shares, 10.0%</w:t>
            </w:r>
          </w:p>
        </w:tc>
        <w:tc>
          <w:tcPr>
            <w:tcW w:w="10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08"/>
        </w:trPr>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Manufacturer</w:t>
            </w:r>
          </w:p>
        </w:tc>
        <w:tc>
          <w:tcPr>
            <w:tcW w:w="3180" w:type="dxa"/>
            <w:vAlign w:val="bottom"/>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Cash Dividend) </w:t>
            </w:r>
            <w:r>
              <w:rPr>
                <w:rFonts w:ascii="Arial" w:cs="Arial" w:eastAsia="Arial" w:hAnsi="Arial"/>
                <w:sz w:val="23"/>
                <w:szCs w:val="23"/>
                <w:color w:val="auto"/>
                <w:vertAlign w:val="superscript"/>
              </w:rPr>
              <w:t>(10)</w:t>
            </w:r>
          </w:p>
        </w:tc>
        <w:tc>
          <w:tcPr>
            <w:tcW w:w="10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48"/>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6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Textile Equipment</w:t>
            </w:r>
          </w:p>
        </w:tc>
        <w:tc>
          <w:tcPr>
            <w:tcW w:w="3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(60,000 shares)</w:t>
            </w:r>
          </w:p>
        </w:tc>
        <w:tc>
          <w:tcPr>
            <w:tcW w:w="10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2560" w:type="dxa"/>
            <w:vAlign w:val="bottom"/>
            <w:shd w:val="clear" w:color="auto" w:fill="CCEEFF"/>
          </w:tcPr>
          <w:p>
            <w:pPr>
              <w:spacing w:after="0"/>
              <w:rPr>
                <w:sz w:val="14"/>
                <w:szCs w:val="14"/>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Manufacturer</w:t>
            </w:r>
          </w:p>
        </w:tc>
        <w:tc>
          <w:tcPr>
            <w:tcW w:w="3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62"/>
        </w:trPr>
        <w:tc>
          <w:tcPr>
            <w:tcW w:w="25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2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11,100</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11,564</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Nth Degree Investment Group, LLC</w:t>
            </w:r>
          </w:p>
        </w:tc>
        <w:tc>
          <w:tcPr>
            <w:tcW w:w="16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Business Services</w:t>
            </w:r>
          </w:p>
        </w:tc>
        <w:tc>
          <w:tcPr>
            <w:tcW w:w="3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(6,088,000 Units)</w:t>
            </w:r>
          </w:p>
        </w:tc>
        <w:tc>
          <w:tcPr>
            <w:tcW w:w="10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6,088</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6,088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62"/>
        </w:trPr>
        <w:tc>
          <w:tcPr>
            <w:tcW w:w="25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2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6,088</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6,088</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Financial Services</w:t>
            </w:r>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3"/>
                <w:szCs w:val="13"/>
                <w:color w:val="auto"/>
              </w:rPr>
              <w:t xml:space="preserve">First Lien Debt (10.0% Cash, Due 1/4/24) </w:t>
            </w:r>
            <w:r>
              <w:rPr>
                <w:rFonts w:ascii="Arial" w:cs="Arial" w:eastAsia="Arial" w:hAnsi="Arial"/>
                <w:sz w:val="21"/>
                <w:szCs w:val="21"/>
                <w:color w:val="auto"/>
                <w:vertAlign w:val="superscript"/>
              </w:rPr>
              <w:t>(6)</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9,019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48"/>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25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620" w:type="dxa"/>
            <w:vAlign w:val="bottom"/>
            <w:shd w:val="clear" w:color="auto" w:fill="CCEEFF"/>
          </w:tcPr>
          <w:p>
            <w:pPr>
              <w:ind w:left="360"/>
              <w:spacing w:after="0" w:line="140" w:lineRule="exact"/>
              <w:rPr>
                <w:sz w:val="20"/>
                <w:szCs w:val="20"/>
                <w:color w:val="auto"/>
              </w:rPr>
            </w:pPr>
            <w:r>
              <w:rPr>
                <w:rFonts w:ascii="Arial" w:cs="Arial" w:eastAsia="Arial" w:hAnsi="Arial"/>
                <w:sz w:val="14"/>
                <w:szCs w:val="14"/>
                <w:color w:val="auto"/>
              </w:rPr>
              <w:t>Financial Services</w:t>
            </w:r>
          </w:p>
        </w:tc>
        <w:tc>
          <w:tcPr>
            <w:tcW w:w="318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Preferred Units (86,000 units, 8.0% PIK</w:t>
            </w:r>
          </w:p>
        </w:tc>
        <w:tc>
          <w:tcPr>
            <w:tcW w:w="1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98"/>
        </w:trPr>
        <w:tc>
          <w:tcPr>
            <w:tcW w:w="25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180" w:type="dxa"/>
            <w:vAlign w:val="bottom"/>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(10)</w:t>
            </w:r>
          </w:p>
        </w:tc>
        <w:tc>
          <w:tcPr>
            <w:tcW w:w="10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62"/>
        </w:trPr>
        <w:tc>
          <w:tcPr>
            <w:tcW w:w="25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2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9,947</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10,744</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Oil &amp; Gas</w:t>
            </w:r>
          </w:p>
        </w:tc>
        <w:tc>
          <w:tcPr>
            <w:tcW w:w="3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(15.0% PIK, Due 9/12/23)</w:t>
            </w:r>
          </w:p>
        </w:tc>
        <w:tc>
          <w:tcPr>
            <w:tcW w:w="10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2560" w:type="dxa"/>
            <w:vAlign w:val="bottom"/>
            <w:shd w:val="clear" w:color="auto" w:fill="CCEEFF"/>
          </w:tcPr>
          <w:p>
            <w:pPr>
              <w:spacing w:after="0"/>
              <w:rPr>
                <w:sz w:val="12"/>
                <w:szCs w:val="12"/>
                <w:color w:val="auto"/>
              </w:rPr>
            </w:pPr>
          </w:p>
        </w:tc>
        <w:tc>
          <w:tcPr>
            <w:tcW w:w="16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Engineering and</w:t>
            </w:r>
          </w:p>
        </w:tc>
        <w:tc>
          <w:tcPr>
            <w:tcW w:w="3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560" w:type="dxa"/>
            <w:vAlign w:val="bottom"/>
            <w:shd w:val="clear" w:color="auto" w:fill="CCEEFF"/>
          </w:tcPr>
          <w:p>
            <w:pPr>
              <w:spacing w:after="0"/>
              <w:rPr>
                <w:sz w:val="14"/>
                <w:szCs w:val="14"/>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Services</w:t>
            </w:r>
          </w:p>
        </w:tc>
        <w:tc>
          <w:tcPr>
            <w:tcW w:w="3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49"/>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16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Oil &amp; Gas</w:t>
            </w:r>
          </w:p>
        </w:tc>
        <w:tc>
          <w:tcPr>
            <w:tcW w:w="31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(15,068,000 shares)</w:t>
            </w:r>
          </w:p>
        </w:tc>
        <w:tc>
          <w:tcPr>
            <w:tcW w:w="10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2560" w:type="dxa"/>
            <w:vAlign w:val="bottom"/>
            <w:shd w:val="clear" w:color="auto" w:fill="CCEEFF"/>
          </w:tcPr>
          <w:p>
            <w:pPr>
              <w:spacing w:after="0"/>
              <w:rPr>
                <w:sz w:val="12"/>
                <w:szCs w:val="12"/>
                <w:color w:val="auto"/>
              </w:rPr>
            </w:pPr>
          </w:p>
        </w:tc>
        <w:tc>
          <w:tcPr>
            <w:tcW w:w="16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Engineering and</w:t>
            </w:r>
          </w:p>
        </w:tc>
        <w:tc>
          <w:tcPr>
            <w:tcW w:w="3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560" w:type="dxa"/>
            <w:vAlign w:val="bottom"/>
            <w:shd w:val="clear" w:color="auto" w:fill="CCEEFF"/>
          </w:tcPr>
          <w:p>
            <w:pPr>
              <w:spacing w:after="0"/>
              <w:rPr>
                <w:sz w:val="14"/>
                <w:szCs w:val="14"/>
                <w:color w:val="auto"/>
              </w:rPr>
            </w:pPr>
          </w:p>
        </w:tc>
        <w:tc>
          <w:tcPr>
            <w:tcW w:w="1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Services</w:t>
            </w:r>
          </w:p>
        </w:tc>
        <w:tc>
          <w:tcPr>
            <w:tcW w:w="3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62"/>
        </w:trPr>
        <w:tc>
          <w:tcPr>
            <w:tcW w:w="25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25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7,706</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5,908</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 xml:space="preserve">Portfolio Company, Country </w:t>
            </w:r>
            <w:r>
              <w:rPr>
                <w:rFonts w:ascii="Arial" w:cs="Arial" w:eastAsia="Arial" w:hAnsi="Arial"/>
                <w:sz w:val="23"/>
                <w:szCs w:val="23"/>
                <w:b w:val="1"/>
                <w:bCs w:val="1"/>
                <w:color w:val="auto"/>
                <w:w w:val="86"/>
                <w:vertAlign w:val="superscript"/>
              </w:rPr>
              <w:t>(1)</w:t>
            </w:r>
            <w:r>
              <w:rPr>
                <w:rFonts w:ascii="Arial" w:cs="Arial" w:eastAsia="Arial" w:hAnsi="Arial"/>
                <w:sz w:val="23"/>
                <w:szCs w:val="23"/>
                <w:b w:val="1"/>
                <w:bCs w:val="1"/>
                <w:u w:val="single" w:color="auto"/>
                <w:color w:val="auto"/>
                <w:w w:val="86"/>
                <w:vertAlign w:val="superscript"/>
              </w:rPr>
              <w:t>,</w:t>
            </w:r>
            <w:r>
              <w:rPr>
                <w:rFonts w:ascii="Arial" w:cs="Arial" w:eastAsia="Arial" w:hAnsi="Arial"/>
                <w:sz w:val="14"/>
                <w:szCs w:val="14"/>
                <w:b w:val="1"/>
                <w:bCs w:val="1"/>
                <w:color w:val="auto"/>
                <w:w w:val="86"/>
              </w:rPr>
              <w:t xml:space="preserve"> </w:t>
            </w:r>
            <w:r>
              <w:rPr>
                <w:rFonts w:ascii="Arial" w:cs="Arial" w:eastAsia="Arial" w:hAnsi="Arial"/>
                <w:sz w:val="23"/>
                <w:szCs w:val="23"/>
                <w:b w:val="1"/>
                <w:bCs w:val="1"/>
                <w:color w:val="auto"/>
                <w:w w:val="86"/>
                <w:vertAlign w:val="superscript"/>
              </w:rPr>
              <w:t>(2), (3), (4), (5)</w:t>
            </w:r>
          </w:p>
        </w:tc>
        <w:tc>
          <w:tcPr>
            <w:tcW w:w="120" w:type="dxa"/>
            <w:vAlign w:val="bottom"/>
            <w:vMerge w:val="restart"/>
          </w:tcPr>
          <w:p>
            <w:pPr>
              <w:spacing w:after="0"/>
              <w:rPr>
                <w:sz w:val="14"/>
                <w:szCs w:val="14"/>
                <w:color w:val="auto"/>
              </w:rPr>
            </w:pPr>
          </w:p>
        </w:tc>
        <w:tc>
          <w:tcPr>
            <w:tcW w:w="12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26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4"/>
                <w:szCs w:val="14"/>
                <w:color w:val="auto"/>
              </w:rPr>
            </w:pPr>
          </w:p>
        </w:tc>
        <w:tc>
          <w:tcPr>
            <w:tcW w:w="1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V12 Holdings, Inc.</w:t>
            </w: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12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Data Processing &amp;</w:t>
            </w:r>
          </w:p>
        </w:tc>
        <w:tc>
          <w:tcPr>
            <w:tcW w:w="100" w:type="dxa"/>
            <w:vAlign w:val="bottom"/>
            <w:vMerge w:val="continue"/>
            <w:shd w:val="clear" w:color="auto" w:fill="CCEEFF"/>
          </w:tcPr>
          <w:p>
            <w:pPr>
              <w:spacing w:after="0"/>
              <w:rPr>
                <w:sz w:val="13"/>
                <w:szCs w:val="13"/>
                <w:color w:val="auto"/>
              </w:rPr>
            </w:pPr>
          </w:p>
        </w:tc>
        <w:tc>
          <w:tcPr>
            <w:tcW w:w="26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8"/>
                <w:szCs w:val="18"/>
                <w:color w:val="auto"/>
                <w:vertAlign w:val="superscript"/>
              </w:rPr>
              <w:t>(9)</w:t>
            </w:r>
          </w:p>
        </w:tc>
        <w:tc>
          <w:tcPr>
            <w:tcW w:w="12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spacing w:after="0"/>
              <w:rPr>
                <w:sz w:val="13"/>
                <w:szCs w:val="13"/>
                <w:color w:val="auto"/>
              </w:rPr>
            </w:pPr>
          </w:p>
        </w:tc>
        <w:tc>
          <w:tcPr>
            <w:tcW w:w="220" w:type="dxa"/>
            <w:vAlign w:val="bottom"/>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655</w:t>
            </w:r>
          </w:p>
        </w:tc>
        <w:tc>
          <w:tcPr>
            <w:tcW w:w="320" w:type="dxa"/>
            <w:vAlign w:val="bottom"/>
            <w:gridSpan w:val="2"/>
            <w:vMerge w:val="restart"/>
            <w:shd w:val="clear" w:color="auto" w:fill="CCEEFF"/>
          </w:tcPr>
          <w:p>
            <w:pPr>
              <w:jc w:val="right"/>
              <w:ind w:right="42"/>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708</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Digital Marketing</w:t>
            </w:r>
          </w:p>
        </w:tc>
        <w:tc>
          <w:tcPr>
            <w:tcW w:w="10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20" w:type="dxa"/>
            <w:vAlign w:val="bottom"/>
            <w:tcBorders>
              <w:bottom w:val="single" w:sz="8" w:color="CCEEFF"/>
              <w:right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3"/>
              </w:rPr>
              <w:t>Sub Total Affiliate investments - United States</w:t>
            </w:r>
          </w:p>
        </w:tc>
        <w:tc>
          <w:tcPr>
            <w:tcW w:w="1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80,756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98,763</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66.7</w:t>
            </w:r>
          </w:p>
        </w:tc>
        <w:tc>
          <w:tcPr>
            <w:tcW w:w="1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- 15.3%</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United States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Borders>
              <w:right w:val="single" w:sz="8" w:color="CCEEFF"/>
            </w:tcBorders>
            <w:gridSpan w:val="2"/>
            <w:shd w:val="clear" w:color="auto" w:fill="CCEEFF"/>
          </w:tcPr>
          <w:p>
            <w:pPr>
              <w:spacing w:after="0" w:line="140" w:lineRule="exact"/>
              <w:rPr>
                <w:sz w:val="20"/>
                <w:szCs w:val="20"/>
                <w:color w:val="auto"/>
              </w:rPr>
            </w:pPr>
            <w:r>
              <w:rPr>
                <w:rFonts w:ascii="Arial" w:cs="Arial" w:eastAsia="Arial" w:hAnsi="Arial"/>
                <w:sz w:val="14"/>
                <w:szCs w:val="14"/>
                <w:color w:val="auto"/>
              </w:rPr>
              <w:t>Capitala Senior Loan Fund II, LLC</w:t>
            </w:r>
          </w:p>
        </w:tc>
        <w:tc>
          <w:tcPr>
            <w:tcW w:w="12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Investment Funds</w:t>
            </w:r>
          </w:p>
        </w:tc>
        <w:tc>
          <w:tcPr>
            <w:tcW w:w="288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Second Lien Debt (6.7% Cash (1 month</w:t>
            </w: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LIBOR + 5.0%), Due 9/3/24) </w:t>
            </w:r>
            <w:r>
              <w:rPr>
                <w:rFonts w:ascii="Arial" w:cs="Arial" w:eastAsia="Arial" w:hAnsi="Arial"/>
                <w:sz w:val="22"/>
                <w:szCs w:val="22"/>
                <w:color w:val="auto"/>
                <w:vertAlign w:val="superscript"/>
              </w:rPr>
              <w:t>(11)(19)</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Capitala Senior Loan Fund II, LLC</w:t>
            </w: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Investment Funds</w:t>
            </w:r>
          </w:p>
        </w:tc>
        <w:tc>
          <w:tcPr>
            <w:tcW w:w="2880" w:type="dxa"/>
            <w:vAlign w:val="bottom"/>
            <w:gridSpan w:val="3"/>
            <w:shd w:val="clear" w:color="auto" w:fill="CCEEFF"/>
          </w:tcPr>
          <w:p>
            <w:pPr>
              <w:ind w:left="100"/>
              <w:spacing w:after="0" w:line="181" w:lineRule="exact"/>
              <w:rPr>
                <w:sz w:val="20"/>
                <w:szCs w:val="20"/>
                <w:color w:val="auto"/>
              </w:rPr>
            </w:pPr>
            <w:r>
              <w:rPr>
                <w:rFonts w:ascii="Arial" w:cs="Arial" w:eastAsia="Arial" w:hAnsi="Arial"/>
                <w:sz w:val="13"/>
                <w:szCs w:val="13"/>
                <w:color w:val="auto"/>
              </w:rPr>
              <w:t xml:space="preserve">Membership Units (80.0% ownership) </w:t>
            </w:r>
            <w:r>
              <w:rPr>
                <w:rFonts w:ascii="Arial" w:cs="Arial" w:eastAsia="Arial" w:hAnsi="Arial"/>
                <w:sz w:val="20"/>
                <w:szCs w:val="20"/>
                <w:color w:val="auto"/>
                <w:vertAlign w:val="superscript"/>
              </w:rPr>
              <w:t>(11)(20)</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13,600</w:t>
            </w: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13,631</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(10.5% Cash (1 month</w:t>
            </w: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28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LIBOR + 8.5%, 2.0% Floor), Due 12/31/21)</w:t>
            </w: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3,877</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Preferred Units (9,041,810 Units)</w:t>
            </w: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5,215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Borders>
              <w:right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8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Units (5,363,982 Units)</w:t>
            </w: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9,092</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20" w:type="dxa"/>
            <w:vAlign w:val="bottom"/>
            <w:tcBorders>
              <w:bottom w:val="single" w:sz="8" w:color="CCEEFF"/>
              <w:right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4"/>
              </w:rPr>
              <w:t>Sub Total Control investments - United States</w:t>
            </w:r>
          </w:p>
        </w:tc>
        <w:tc>
          <w:tcPr>
            <w:tcW w:w="1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22,692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22,723</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w:t>
            </w:r>
          </w:p>
        </w:tc>
        <w:tc>
          <w:tcPr>
            <w:tcW w:w="1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- 244.8%</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353,881</w:t>
            </w: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362,532</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244.8</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investments valued using unobservable inputs (Level 3), unless otherwise noted.</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investments valued by Capital Finance Corp.'s (the "Company") board of directors.</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Percentages are based on net assets of $148,113 as of December 31, 2019.</w:t>
      </w:r>
    </w:p>
    <w:p>
      <w:pPr>
        <w:ind w:right="180" w:firstLine="8"/>
        <w:spacing w:after="0" w:line="221"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cash rate equals the approximate current yield on our last-out portion of the unitranche facility.</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is convertible to preferred equity.</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$2.6 million unfunded commitment.</w:t>
      </w:r>
    </w:p>
    <w:p>
      <w:pPr>
        <w:ind w:left="220" w:hanging="212"/>
        <w:spacing w:after="0" w:line="22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been exited or sold. The residual value reflects estimated earnout, escrow, or other proceeds expected post-closing.</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ind w:right="60" w:firstLine="8"/>
        <w:spacing w:after="0" w:line="221" w:lineRule="auto"/>
        <w:tabs>
          <w:tab w:leader="none" w:pos="27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2019, 8.1% of the Company's total assets were non-qualifying assets.</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$1.0 million unfunded commitment.</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$3.5 million unfunded commitment.</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$0.5 million unfunded commitment.</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$4.5 million unfunded commitment.</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maturity date of the original investment has been extended.</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may elect to have 1.5% of its cash interest capitalized as paid-in-kind interest.</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is valued using observable inputs (Level 1). The stock of the company is traded on the NASDAQ Capital Market under the ticker "USWS."</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$5.0 million unfunded commitment.</w:t>
      </w:r>
    </w:p>
    <w:p>
      <w:pPr>
        <w:ind w:left="280" w:hanging="272"/>
        <w:spacing w:after="0" w:line="221"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has a $6.4 million unfunded commitment.</w:t>
      </w:r>
    </w:p>
    <w:p>
      <w:pPr>
        <w:ind w:left="280" w:hanging="272"/>
        <w:spacing w:after="0"/>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is valued based on the net asset value of the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right"/>
        <w:ind w:right="5120"/>
        <w:spacing w:after="0"/>
        <w:rPr>
          <w:sz w:val="20"/>
          <w:szCs w:val="20"/>
          <w:color w:val="auto"/>
        </w:rPr>
      </w:pPr>
      <w:r>
        <w:rPr>
          <w:rFonts w:ascii="Arial" w:cs="Arial" w:eastAsia="Arial" w:hAnsi="Arial"/>
          <w:sz w:val="18"/>
          <w:szCs w:val="18"/>
          <w:b w:val="1"/>
          <w:bCs w:val="1"/>
          <w:color w:val="auto"/>
        </w:rPr>
        <w:t>June 30, 2020</w:t>
      </w:r>
    </w:p>
    <w:p>
      <w:pPr>
        <w:spacing w:after="0" w:line="27" w:lineRule="exact"/>
        <w:rPr>
          <w:sz w:val="20"/>
          <w:szCs w:val="20"/>
          <w:color w:val="auto"/>
        </w:rPr>
      </w:pPr>
    </w:p>
    <w:p>
      <w:pPr>
        <w:jc w:val="right"/>
        <w:ind w:righ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companies and traditional middle-market companies.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52" w:lineRule="auto"/>
        <w:tabs>
          <w:tab w:leader="none" w:pos="199"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and the Taxable Subsidiaries.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2020 and December 31, 2019 and for the periods ended June 30, 2020 and 2019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2019, filed with the U.S. Securities and Exchange Commission (“SEC”) on March 2,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902"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Non-accrual investments: </w:t>
      </w:r>
      <w:r>
        <w:rPr>
          <w:rFonts w:ascii="Arial" w:cs="Arial" w:eastAsia="Arial" w:hAnsi="Arial"/>
          <w:sz w:val="18"/>
          <w:szCs w:val="18"/>
          <w:color w:val="auto"/>
        </w:rPr>
        <w:t>Management reviews all loans that become 90 days or more past due, or when there is reasonable doubt that principal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common stock assuming all potentially dilutive shares had been issued. Diluted EPS reflects the potential dilution, using the as-if-converted method for convertible debt, which could occur if all potentially dilutive securities were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2020, the Company had outstanding unfunded commitments related to debt investments in existing portfolio companies of $8.2 million (Bluestem Brands, Inc.), $6.3 million (Rapid Fire Protection, Inc), $3.5 million (J5 Infrastructure Partners, LLC), $1.0 million (U.S. BioTek Laboratories, LLC), and $0.5 million (Freedom Electronics,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management’s opinion, no direct losses with respect to litigation contingencies were probable as of June 30, 2020 and December 31, 2019.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2017, the Company elected to amend its tax year end from August 31 to December 31 and filed a tax return for the four months ended December 31, 2017. The tax periods ended December 31, 2019, December 31, 2018, December 31, 2017, and August 31, 2017 remain subject to examination by U.S. federal, state, and local tax authorities. No interest expense or penalties have been assessed for the three and six months ended June 30, 2020 and 2019. If the Company was required to recognize interest and penalties, if any, related to unrecognized tax benefits this would be recognized as income tax expense in the consolidated statements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June 30, 2020, the aggregate net unrealized depreciation for all securities was $(34.9) million. As of June 30, 2020, gross unrealized appreciation was $5.0 million and gross unrealized depreciation was $(39.9) million. The aggregate cost of securities for U.S. federal income tax purposes was $322.2 million as of June 30, 2020. For U.S. federal income tax purposes, as of December 31, 2019, the aggregate net unrealized depreciation for all securities was $(9.2) million. As of December 31, 2019, gross unrealized appreciation was $7.7 million and gross unrealized depreciation was $(16.9) million. The aggregate cost of securities for U.S. federal income tax purposes was $371.7 million as of December 31, 2019.</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Taxable Subsidiaries record deferred tax assets or liabilities related to temporary book versus tax differences on the income or loss generated by the underlying equity investments held by the Taxable Subsidiaries. As of June 30, 2020 and December 31, 2019, the Company recorded a net deferred tax asset of $0.0. For the three and six months ended June 30, 2020, the Company recorded a tax provision of $0.0. For the three and six months ended June 30, 2019, the Company recorded a tax provision of $(0.7) million and $(0.6) million, respectively. As of June 30, 2020 and December 31, 2019, the valuation allowance on the Company’s deferred tax asset was $4.0 million and $3.2 million, respectively. During the three and six months ended June 30, 2020, the Company recognized an increase (decrease) in the valuation allowance of $(27) thousand and $0.8 million, respectively. During the three and six months ended June 30, 2019, the Company recognized an increase in the valuation allowance of $2.0 million.</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(which has been temporarily reduced to 10% for distributions declared on or after April 1, 2020, and on or before December 31, 2020)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2020 and December 31, 2019, there were no uncertain tax positions.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6) indirect tax measures, including workplace tax credits and deferral of social security payroll tax. Management has considered the impact of the CARES Act on the Company, its Taxable Subsidiaries, and the underlying portfolio companies, and the Company has reflected these potential impacts in the financial statements, related tax disclosures, and the value of the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Distributions to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Liquidity Risk, and COVID-19 Risk</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operating results and portfolio companies may be negatively impacted by the recent outbreak of COVID-19. On March 11, 2020, the World Health Organization declared COVID-19 a pandemic, and on March 13, 2020, a national emergency was declared in the U.S. The ongoing spread of COVID-19 has had, and will continue to have, a material adverse impact on the U.S. and global economy as commercial activity and public perception have been negatively impacted by the outbreak. The ultimate extent to which the COVID-19 crisis will impact the Company’s financial condition and results of operations will depend on future developments affecting not only the Company, but also the entire U.S. and global economy, which are inherently uncertain, including, among others, new information that may emerge concerning the severity and rate of spread of the disease.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2018-13, Disclosure Framework — Changes to the Disclosure Requirement for Fair Value Measurement. The FASB issued the amendments as part of the disclosure framework project which is intended to improve the effectiveness of fair value disclosures in the notes to the financial statements by facilitating clear communication of the information required by U.S. GAAP that is most important to users of the financial statements. The standard is effective for interim and annual reporting periods in fiscal years that begin after December 15, 2019. Management has evaluated the impact of adoption of ASU 2018-13 and determined that these changes did not have a significant impact on the Company’s consolidated financial statements and disclosures.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In March 2020, the FASB issued ASU 2020-04, Reference Rate Reform. The amendments in ASU 2020-04 provide optional expedients and exceptions for applying U.S. GAAP to contracts, hedging relationships, and other transactions affected by reference rate reform if certain criteria are met. The standard is effective as of March 12, 2020 through December 31, 2022. Management is currently evaluating the impact of the optional guidance on the Company’s consolidated financial statements and disclosures. The Company did not utilize the optional expedients and exceptions provided by ASU 2020-04 during the quarter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companies and traditional middle-market companies. As of June 30, 2020, our portfolio consisted of investments in 37 portfolio companies with a fair value of approximately $287.3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2020, 14.2%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2020, the Company made approximately $12.5 million of investments and had approximately $51.1 million in repayments and sales, resulting in net repayments and sales of approximately $38.6 million for the period. During the three months ended June 30, 2019, the Company made approximately $13.8 million of investments and had approximately $46.6 million in repayments and sales, resulting in net repayments and sales of approximately $32.8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2020, the Company made approximately $20.8 million of investments and had approximately $58.9 million in repayments and sales, resulting in net repayments and sales of approximately $38.1 million for the period. During the six months ended June 30, 2019, the Company made approximately $34.9 million of investments and had approximately $58.1 million in repayments and sales, resulting in net repayments and sales of approximately $23.2 million for the period.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three and six months ended June 30, 2020, the Company funded $1.2 million and $4.5 million, respectively, of previously committed capital to existing portfolio companies. During the three and six months ended June 30, 2020, the Company funded $11.3 million and $16.3 million, respectively, of investments in portfolio companies for which it was not previously committed to fund. During the three and six months ended June 30, 2019, the Company funded $2.8 million and $4.9 million, respectively, of previously committed capital to existing portfolio companies. During the three and six months ended June 30, 2019, the Company funded $11.0 million and $30.0 million, respectively, of investments in portfolio companies for which it was not previously committed to fund. During the three and six months ended June 30, 2020 and 2019, the Company did not lead any syndicates.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2020, the Company’s Board approved the fair value of the Company’s investment portfolio of approximately $287.3 million in good faith in accordance with the Company’s valuation procedures. The Company’s Board approved the fair value of the Company’s investment portfolio as of June 30, 2020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June 30, 2020 by circumstances and events that are not yet known.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The COVID-19 pandemic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the COVID-19 pandemic. The Company is working with each of its portfolio companies to help them access short-term liquidity through interest deferrals, funding on unused lines of credit, and other sources of liquidity.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June 30, 2020,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193,610</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42,457</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38,285</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13.3</w:t>
            </w: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59,372</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55,371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305,016</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287,266</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2019,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5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235,646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54,079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53,857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50,556</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63,841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13,600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13,631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June 30, 2020, according to the fair value hierarchy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Second Lien Debt</w:t>
            </w:r>
          </w:p>
        </w:tc>
        <w:tc>
          <w:tcPr>
            <w:tcW w:w="9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38,285</w:t>
            </w: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589</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55,371</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589</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286,677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2019, according to the fair value hierarchy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Second Lien Debt</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53,857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53,857</w:t>
            </w: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61,568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63,841</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Company’s $13.6 million investment in CSLF II, measured at NAV.</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2020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Second Lien</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and Warrants</w:t>
            </w: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7,141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(31,513)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(45,772)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19,230</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dividends accrued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(14,092)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(11,833)</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(15,603)</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(24,686)</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2019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First Lien</w:t>
            </w: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Second Lien</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vMerge w:val="restart"/>
          </w:tcPr>
          <w:p>
            <w:pPr>
              <w:jc w:val="right"/>
              <w:ind w:right="420"/>
              <w:spacing w:after="0"/>
              <w:rPr>
                <w:sz w:val="20"/>
                <w:szCs w:val="20"/>
                <w:color w:val="auto"/>
              </w:rPr>
            </w:pPr>
            <w:r>
              <w:rPr>
                <w:rFonts w:ascii="Arial" w:cs="Arial" w:eastAsia="Arial" w:hAnsi="Arial"/>
                <w:sz w:val="18"/>
                <w:szCs w:val="18"/>
                <w:b w:val="1"/>
                <w:bCs w:val="1"/>
                <w:color w:val="auto"/>
                <w:w w:val="97"/>
              </w:rPr>
              <w:t xml:space="preserve">Total </w:t>
            </w:r>
            <w:r>
              <w:rPr>
                <w:rFonts w:ascii="Arial" w:cs="Arial" w:eastAsia="Arial" w:hAnsi="Arial"/>
                <w:sz w:val="29"/>
                <w:szCs w:val="29"/>
                <w:b w:val="1"/>
                <w:bCs w:val="1"/>
                <w:color w:val="auto"/>
                <w:w w:val="97"/>
                <w:vertAlign w:val="superscript"/>
              </w:rPr>
              <w:t>(1)</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and Warrants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237,570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(26,104)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(21,538)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(58,131)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29,636</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34,924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dividends accrued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(21,029)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(20,924)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6,720</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(18,203)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Transfers out of Level 3 </w:t>
            </w:r>
            <w:r>
              <w:rPr>
                <w:rFonts w:ascii="Arial" w:cs="Arial" w:eastAsia="Arial" w:hAnsi="Arial"/>
                <w:sz w:val="29"/>
                <w:szCs w:val="29"/>
                <w:color w:val="auto"/>
                <w:vertAlign w:val="superscript"/>
              </w:rPr>
              <w:t>(2)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(9,861)</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235,010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67,583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the Company’s $13.8 million investment in CSLF II, measured at NAV.</w:t>
      </w:r>
    </w:p>
    <w:p>
      <w:pPr>
        <w:spacing w:after="0" w:line="225" w:lineRule="exact"/>
        <w:rPr>
          <w:rFonts w:ascii="Arial" w:cs="Arial" w:eastAsia="Arial" w:hAnsi="Arial"/>
          <w:sz w:val="18"/>
          <w:szCs w:val="18"/>
          <w:color w:val="auto"/>
        </w:rPr>
      </w:pPr>
    </w:p>
    <w:p>
      <w:pPr>
        <w:jc w:val="both"/>
        <w:ind w:left="240" w:hanging="232"/>
        <w:spacing w:after="0" w:line="279"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Company’s investment in U.S. Well Services, Inc. is traded on the NASDAQ Capital Market under the ticker “USWS”. Because the Company’s investment is now traded in an active market, the Company has reclassified its investment in U.S. Well Services, Inc. from Level 3 to Level 1 of the fair value hierarchy. Transfers between levels, if any, are recognized at the beginning of the period in which transfers occur. The unrealized depreciation on the Company’s investment in U.S. Well Services, Inc. for the six months ended June 30, 2019 was $(4.1)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right="20" w:firstLine="648"/>
        <w:spacing w:after="0" w:line="342" w:lineRule="auto"/>
        <w:rPr>
          <w:sz w:val="20"/>
          <w:szCs w:val="20"/>
          <w:color w:val="auto"/>
        </w:rPr>
      </w:pPr>
      <w:r>
        <w:rPr>
          <w:rFonts w:ascii="Arial" w:cs="Arial" w:eastAsia="Arial" w:hAnsi="Arial"/>
          <w:sz w:val="16"/>
          <w:szCs w:val="16"/>
          <w:color w:val="auto"/>
        </w:rPr>
        <w:t>The net change in unrealized depreciation on investments held was ($29.5) million and ($19.4) million for the six months ended June 30, 2020 and 2019, respectively, and is included in net unrealized appreciation (depreciation) on investments in the consolidated statements of operations.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June 30,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3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Valuation</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3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Approach</w:t>
            </w:r>
          </w:p>
        </w:tc>
        <w:tc>
          <w:tcPr>
            <w:tcW w:w="234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2800" w:type="dxa"/>
            <w:vAlign w:val="bottom"/>
          </w:tcPr>
          <w:p>
            <w:pPr>
              <w:ind w:left="220"/>
              <w:spacing w:after="0"/>
              <w:rPr>
                <w:sz w:val="20"/>
                <w:szCs w:val="20"/>
                <w:color w:val="auto"/>
              </w:rPr>
            </w:pPr>
            <w:r>
              <w:rPr>
                <w:rFonts w:ascii="Arial" w:cs="Arial" w:eastAsia="Arial" w:hAnsi="Arial"/>
                <w:sz w:val="18"/>
                <w:szCs w:val="18"/>
                <w:b w:val="1"/>
                <w:bCs w:val="1"/>
                <w:color w:val="auto"/>
              </w:rPr>
              <w:t>Range (Weighted Average)</w:t>
            </w:r>
          </w:p>
        </w:tc>
        <w:tc>
          <w:tcPr>
            <w:tcW w:w="0" w:type="dxa"/>
            <w:vAlign w:val="bottom"/>
          </w:tcPr>
          <w:p>
            <w:pPr>
              <w:spacing w:after="0"/>
              <w:rPr>
                <w:sz w:val="1"/>
                <w:szCs w:val="1"/>
                <w:color w:val="auto"/>
              </w:rPr>
            </w:pPr>
          </w:p>
        </w:tc>
      </w:tr>
      <w:tr>
        <w:trPr>
          <w:trHeight w:val="209"/>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7.0% – 19.5% (12.5%)</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1.2x</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6.8x (3.4x)</w:t>
            </w: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($0.7) million – $103.5 million ($10.3</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line="206" w:lineRule="exact"/>
              <w:rPr>
                <w:sz w:val="20"/>
                <w:szCs w:val="20"/>
                <w:color w:val="auto"/>
              </w:rPr>
            </w:pPr>
            <w:r>
              <w:rPr>
                <w:rFonts w:ascii="Arial" w:cs="Arial" w:eastAsia="Arial" w:hAnsi="Arial"/>
                <w:sz w:val="18"/>
                <w:szCs w:val="18"/>
                <w:color w:val="auto"/>
              </w:rPr>
              <w:t>First lien debt</w:t>
            </w:r>
          </w:p>
        </w:tc>
        <w:tc>
          <w:tcPr>
            <w:tcW w:w="120" w:type="dxa"/>
            <w:vAlign w:val="bottom"/>
          </w:tcPr>
          <w:p>
            <w:pPr>
              <w:spacing w:after="0"/>
              <w:rPr>
                <w:sz w:val="17"/>
                <w:szCs w:val="17"/>
                <w:color w:val="auto"/>
              </w:rPr>
            </w:pPr>
          </w:p>
        </w:tc>
        <w:tc>
          <w:tcPr>
            <w:tcW w:w="100" w:type="dxa"/>
            <w:vAlign w:val="bottom"/>
          </w:tcPr>
          <w:p>
            <w:pPr>
              <w:spacing w:after="0" w:line="20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35.4</w:t>
            </w:r>
          </w:p>
        </w:tc>
        <w:tc>
          <w:tcPr>
            <w:tcW w:w="3020" w:type="dxa"/>
            <w:vAlign w:val="bottom"/>
            <w:gridSpan w:val="2"/>
          </w:tcPr>
          <w:p>
            <w:pPr>
              <w:spacing w:after="0" w:line="206" w:lineRule="exact"/>
              <w:rPr>
                <w:sz w:val="20"/>
                <w:szCs w:val="20"/>
                <w:color w:val="auto"/>
              </w:rPr>
            </w:pPr>
            <w:r>
              <w:rPr>
                <w:rFonts w:ascii="Arial" w:cs="Arial" w:eastAsia="Arial" w:hAnsi="Arial"/>
                <w:sz w:val="18"/>
                <w:szCs w:val="18"/>
                <w:color w:val="auto"/>
              </w:rPr>
              <w:t>Enterprise Value Waterfall and</w:t>
            </w:r>
          </w:p>
        </w:tc>
        <w:tc>
          <w:tcPr>
            <w:tcW w:w="2340" w:type="dxa"/>
            <w:vAlign w:val="bottom"/>
            <w:gridSpan w:val="2"/>
          </w:tcPr>
          <w:p>
            <w:pPr>
              <w:spacing w:after="0" w:line="206"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6" w:lineRule="exact"/>
              <w:rPr>
                <w:sz w:val="20"/>
                <w:szCs w:val="20"/>
                <w:color w:val="auto"/>
              </w:rPr>
            </w:pPr>
            <w:r>
              <w:rPr>
                <w:rFonts w:ascii="Arial" w:cs="Arial" w:eastAsia="Arial" w:hAnsi="Arial"/>
                <w:sz w:val="18"/>
                <w:szCs w:val="18"/>
                <w:color w:val="auto"/>
                <w:w w:val="93"/>
              </w:rPr>
              <w:t>2.0x</w:t>
            </w:r>
          </w:p>
        </w:tc>
        <w:tc>
          <w:tcPr>
            <w:tcW w:w="2800" w:type="dxa"/>
            <w:vAlign w:val="bottom"/>
          </w:tcPr>
          <w:p>
            <w:pPr>
              <w:ind w:left="20"/>
              <w:spacing w:after="0" w:line="206" w:lineRule="exact"/>
              <w:rPr>
                <w:sz w:val="20"/>
                <w:szCs w:val="20"/>
                <w:color w:val="auto"/>
              </w:rPr>
            </w:pPr>
            <w:r>
              <w:rPr>
                <w:rFonts w:ascii="Arial" w:cs="Arial" w:eastAsia="Arial" w:hAnsi="Arial"/>
                <w:sz w:val="18"/>
                <w:szCs w:val="18"/>
                <w:color w:val="auto"/>
              </w:rPr>
              <w:t>– 6.3x (4.4x)</w:t>
            </w:r>
          </w:p>
        </w:tc>
        <w:tc>
          <w:tcPr>
            <w:tcW w:w="0" w:type="dxa"/>
            <w:vAlign w:val="bottom"/>
          </w:tcPr>
          <w:p>
            <w:pPr>
              <w:spacing w:after="0"/>
              <w:rPr>
                <w:sz w:val="1"/>
                <w:szCs w:val="1"/>
                <w:color w:val="auto"/>
              </w:rPr>
            </w:pPr>
          </w:p>
        </w:tc>
      </w:tr>
      <w:tr>
        <w:trPr>
          <w:trHeight w:val="390"/>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$0.8 million – $103.5 million</w:t>
            </w:r>
          </w:p>
        </w:tc>
        <w:tc>
          <w:tcPr>
            <w:tcW w:w="0" w:type="dxa"/>
            <w:vAlign w:val="bottom"/>
          </w:tcPr>
          <w:p>
            <w:pPr>
              <w:spacing w:after="0"/>
              <w:rPr>
                <w:sz w:val="1"/>
                <w:szCs w:val="1"/>
                <w:color w:val="auto"/>
              </w:rPr>
            </w:pPr>
          </w:p>
        </w:tc>
      </w:tr>
      <w:tr>
        <w:trPr>
          <w:trHeight w:val="79"/>
        </w:trPr>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gridSpan w:val="2"/>
            <w:vMerge w:val="continue"/>
          </w:tcPr>
          <w:p>
            <w:pPr>
              <w:spacing w:after="0"/>
              <w:rPr>
                <w:sz w:val="6"/>
                <w:szCs w:val="6"/>
                <w:color w:val="auto"/>
              </w:rPr>
            </w:pPr>
          </w:p>
        </w:tc>
        <w:tc>
          <w:tcPr>
            <w:tcW w:w="3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($18.8 million)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0.9x</w:t>
            </w:r>
          </w:p>
        </w:tc>
        <w:tc>
          <w:tcPr>
            <w:tcW w:w="2800" w:type="dxa"/>
            <w:vAlign w:val="bottom"/>
          </w:tcPr>
          <w:p>
            <w:pPr>
              <w:ind w:left="20"/>
              <w:spacing w:after="0"/>
              <w:rPr>
                <w:sz w:val="20"/>
                <w:szCs w:val="20"/>
                <w:color w:val="auto"/>
              </w:rPr>
            </w:pPr>
            <w:r>
              <w:rPr>
                <w:rFonts w:ascii="Arial" w:cs="Arial" w:eastAsia="Arial" w:hAnsi="Arial"/>
                <w:sz w:val="18"/>
                <w:szCs w:val="18"/>
                <w:color w:val="auto"/>
              </w:rPr>
              <w:t>– 0.9x (0.9x)</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40" w:type="dxa"/>
            <w:vAlign w:val="bottom"/>
            <w:gridSpan w:val="2"/>
          </w:tcPr>
          <w:p>
            <w:pPr>
              <w:spacing w:after="0"/>
              <w:rPr>
                <w:sz w:val="20"/>
                <w:szCs w:val="20"/>
                <w:color w:val="auto"/>
              </w:rPr>
            </w:pPr>
            <w:r>
              <w:rPr>
                <w:rFonts w:ascii="Arial" w:cs="Arial" w:eastAsia="Arial" w:hAnsi="Arial"/>
                <w:sz w:val="18"/>
                <w:szCs w:val="18"/>
                <w:color w:val="auto"/>
              </w:rPr>
              <w:t>$30.5 million – $30.5 million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($30.5 million)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12.8% – 15.0% (13.8%)</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4.3x</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5.2x (4.8x)</w:t>
            </w: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$12.2 million – $20.3 million ($16.0</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2.9</w:t>
            </w:r>
          </w:p>
        </w:tc>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Enterprise Value Waterfall and</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1" w:lineRule="exact"/>
              <w:rPr>
                <w:sz w:val="20"/>
                <w:szCs w:val="20"/>
                <w:color w:val="auto"/>
              </w:rPr>
            </w:pPr>
            <w:r>
              <w:rPr>
                <w:rFonts w:ascii="Arial" w:cs="Arial" w:eastAsia="Arial" w:hAnsi="Arial"/>
                <w:sz w:val="18"/>
                <w:szCs w:val="18"/>
                <w:color w:val="auto"/>
                <w:w w:val="93"/>
              </w:rPr>
              <w:t>6.0x</w:t>
            </w:r>
          </w:p>
        </w:tc>
        <w:tc>
          <w:tcPr>
            <w:tcW w:w="2800" w:type="dxa"/>
            <w:vAlign w:val="bottom"/>
          </w:tcPr>
          <w:p>
            <w:pPr>
              <w:ind w:left="20"/>
              <w:spacing w:after="0" w:line="201" w:lineRule="exact"/>
              <w:rPr>
                <w:sz w:val="20"/>
                <w:szCs w:val="20"/>
                <w:color w:val="auto"/>
              </w:rPr>
            </w:pPr>
            <w:r>
              <w:rPr>
                <w:rFonts w:ascii="Arial" w:cs="Arial" w:eastAsia="Arial" w:hAnsi="Arial"/>
                <w:sz w:val="18"/>
                <w:szCs w:val="18"/>
                <w:color w:val="auto"/>
              </w:rPr>
              <w:t>– 6.0x (6.0x)</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20" w:type="dxa"/>
            <w:vAlign w:val="bottom"/>
            <w:gridSpan w:val="2"/>
          </w:tcPr>
          <w:p>
            <w:pPr>
              <w:spacing w:after="0" w:line="256"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23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140" w:type="dxa"/>
            <w:vAlign w:val="bottom"/>
            <w:gridSpan w:val="2"/>
          </w:tcPr>
          <w:p>
            <w:pPr>
              <w:spacing w:after="0"/>
              <w:rPr>
                <w:sz w:val="20"/>
                <w:szCs w:val="20"/>
                <w:color w:val="auto"/>
              </w:rPr>
            </w:pPr>
            <w:r>
              <w:rPr>
                <w:rFonts w:ascii="Arial" w:cs="Arial" w:eastAsia="Arial" w:hAnsi="Arial"/>
                <w:sz w:val="18"/>
                <w:szCs w:val="18"/>
                <w:color w:val="auto"/>
              </w:rPr>
              <w:t>$1.8 million – $1.8 million ($1.8 million)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0.6x</w:t>
            </w:r>
          </w:p>
        </w:tc>
        <w:tc>
          <w:tcPr>
            <w:tcW w:w="2800" w:type="dxa"/>
            <w:vAlign w:val="bottom"/>
          </w:tcPr>
          <w:p>
            <w:pPr>
              <w:ind w:left="20"/>
              <w:spacing w:after="0"/>
              <w:rPr>
                <w:sz w:val="20"/>
                <w:szCs w:val="20"/>
                <w:color w:val="auto"/>
              </w:rPr>
            </w:pPr>
            <w:r>
              <w:rPr>
                <w:rFonts w:ascii="Arial" w:cs="Arial" w:eastAsia="Arial" w:hAnsi="Arial"/>
                <w:sz w:val="18"/>
                <w:szCs w:val="18"/>
                <w:color w:val="auto"/>
              </w:rPr>
              <w:t>– 0.6x (0.6x)</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40" w:type="dxa"/>
            <w:vAlign w:val="bottom"/>
            <w:gridSpan w:val="2"/>
          </w:tcPr>
          <w:p>
            <w:pPr>
              <w:spacing w:after="0"/>
              <w:rPr>
                <w:sz w:val="20"/>
                <w:szCs w:val="20"/>
                <w:color w:val="auto"/>
              </w:rPr>
            </w:pPr>
            <w:r>
              <w:rPr>
                <w:rFonts w:ascii="Arial" w:cs="Arial" w:eastAsia="Arial" w:hAnsi="Arial"/>
                <w:sz w:val="18"/>
                <w:szCs w:val="18"/>
                <w:color w:val="auto"/>
              </w:rPr>
              <w:t>$503.4 million - $503.4 million ($503.4</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1"/>
              </w:rPr>
              <w:t>Equity and warrants</w:t>
            </w:r>
          </w:p>
        </w:tc>
        <w:tc>
          <w:tcPr>
            <w:tcW w:w="22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54.8</w:t>
            </w:r>
          </w:p>
        </w:tc>
        <w:tc>
          <w:tcPr>
            <w:tcW w:w="30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Enterprise Value Waterfall and</w:t>
            </w:r>
          </w:p>
        </w:tc>
        <w:tc>
          <w:tcPr>
            <w:tcW w:w="23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3"/>
              </w:rPr>
              <w:t>5.0x</w:t>
            </w:r>
          </w:p>
        </w:tc>
        <w:tc>
          <w:tcPr>
            <w:tcW w:w="28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 10.0x (6.8x)</w:t>
            </w:r>
          </w:p>
        </w:tc>
        <w:tc>
          <w:tcPr>
            <w:tcW w:w="0" w:type="dxa"/>
            <w:vAlign w:val="bottom"/>
          </w:tcPr>
          <w:p>
            <w:pPr>
              <w:spacing w:after="0"/>
              <w:rPr>
                <w:sz w:val="1"/>
                <w:szCs w:val="1"/>
                <w:color w:val="auto"/>
              </w:rPr>
            </w:pPr>
          </w:p>
        </w:tc>
      </w:tr>
      <w:tr>
        <w:trPr>
          <w:trHeight w:val="267"/>
        </w:trPr>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2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$0.8 million – $19.3 million ($8.4 million)</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vMerge w:val="continue"/>
            <w:shd w:val="clear" w:color="auto" w:fill="CCEEFF"/>
          </w:tcPr>
          <w:p>
            <w:pPr>
              <w:spacing w:after="0"/>
              <w:rPr>
                <w:sz w:val="18"/>
                <w:szCs w:val="18"/>
                <w:color w:val="auto"/>
              </w:rPr>
            </w:pPr>
          </w:p>
        </w:tc>
        <w:tc>
          <w:tcPr>
            <w:tcW w:w="3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0.4x</w:t>
            </w: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3.6x (0.8x)</w:t>
            </w: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$12.2 million – $521.3 million ($317.2</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780" w:hanging="5532"/>
        <w:spacing w:after="0" w:line="778" w:lineRule="auto"/>
        <w:tabs>
          <w:tab w:leader="none" w:pos="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$14.1 million in first lien debt, $1.5 million in second lien debt, and $4.2 million in equity and warrants were valued using the asset approach.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2019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460" w:type="dxa"/>
            <w:vAlign w:val="bottom"/>
          </w:tcPr>
          <w:p>
            <w:pPr>
              <w:spacing w:after="0"/>
              <w:rPr>
                <w:sz w:val="24"/>
                <w:szCs w:val="24"/>
                <w:color w:val="auto"/>
              </w:rPr>
            </w:pP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Fair Value</w:t>
            </w:r>
            <w:r>
              <w:rPr>
                <w:rFonts w:ascii="Arial" w:cs="Arial" w:eastAsia="Arial" w:hAnsi="Arial"/>
                <w:sz w:val="29"/>
                <w:szCs w:val="29"/>
                <w:b w:val="1"/>
                <w:bCs w:val="1"/>
                <w:color w:val="auto"/>
                <w:w w:val="96"/>
                <w:vertAlign w:val="superscript"/>
              </w:rPr>
              <w:t>(2)</w:t>
            </w:r>
          </w:p>
        </w:tc>
        <w:tc>
          <w:tcPr>
            <w:tcW w:w="100" w:type="dxa"/>
            <w:vAlign w:val="bottom"/>
          </w:tcPr>
          <w:p>
            <w:pPr>
              <w:spacing w:after="0"/>
              <w:rPr>
                <w:sz w:val="24"/>
                <w:szCs w:val="24"/>
                <w:color w:val="auto"/>
              </w:rPr>
            </w:pPr>
          </w:p>
        </w:tc>
        <w:tc>
          <w:tcPr>
            <w:tcW w:w="3020" w:type="dxa"/>
            <w:vAlign w:val="bottom"/>
            <w:gridSpan w:val="2"/>
          </w:tcPr>
          <w:p>
            <w:pPr>
              <w:ind w:left="1040"/>
              <w:spacing w:after="0"/>
              <w:rPr>
                <w:sz w:val="20"/>
                <w:szCs w:val="20"/>
                <w:color w:val="auto"/>
              </w:rPr>
            </w:pPr>
            <w:r>
              <w:rPr>
                <w:rFonts w:ascii="Arial" w:cs="Arial" w:eastAsia="Arial" w:hAnsi="Arial"/>
                <w:sz w:val="18"/>
                <w:szCs w:val="18"/>
                <w:b w:val="1"/>
                <w:bCs w:val="1"/>
                <w:color w:val="auto"/>
              </w:rPr>
              <w:t>Valuation</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3020" w:type="dxa"/>
            <w:vAlign w:val="bottom"/>
            <w:gridSpan w:val="2"/>
          </w:tcPr>
          <w:p>
            <w:pPr>
              <w:ind w:left="1020"/>
              <w:spacing w:after="0"/>
              <w:rPr>
                <w:sz w:val="20"/>
                <w:szCs w:val="20"/>
                <w:color w:val="auto"/>
              </w:rPr>
            </w:pPr>
            <w:r>
              <w:rPr>
                <w:rFonts w:ascii="Arial" w:cs="Arial" w:eastAsia="Arial" w:hAnsi="Arial"/>
                <w:sz w:val="18"/>
                <w:szCs w:val="18"/>
                <w:b w:val="1"/>
                <w:bCs w:val="1"/>
                <w:color w:val="auto"/>
              </w:rPr>
              <w:t>Approach</w:t>
            </w:r>
          </w:p>
        </w:tc>
        <w:tc>
          <w:tcPr>
            <w:tcW w:w="234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140" w:type="dxa"/>
            <w:vAlign w:val="bottom"/>
          </w:tcPr>
          <w:p>
            <w:pPr>
              <w:ind w:left="560"/>
              <w:spacing w:after="0"/>
              <w:rPr>
                <w:sz w:val="20"/>
                <w:szCs w:val="20"/>
                <w:color w:val="auto"/>
              </w:rPr>
            </w:pPr>
            <w:r>
              <w:rPr>
                <w:rFonts w:ascii="Arial" w:cs="Arial" w:eastAsia="Arial" w:hAnsi="Arial"/>
                <w:sz w:val="18"/>
                <w:szCs w:val="18"/>
                <w:b w:val="1"/>
                <w:bCs w:val="1"/>
                <w:color w:val="auto"/>
              </w:rPr>
              <w:t>Range (Weighted Average)</w:t>
            </w:r>
          </w:p>
        </w:tc>
        <w:tc>
          <w:tcPr>
            <w:tcW w:w="0" w:type="dxa"/>
            <w:vAlign w:val="bottom"/>
          </w:tcPr>
          <w:p>
            <w:pPr>
              <w:spacing w:after="0"/>
              <w:rPr>
                <w:sz w:val="1"/>
                <w:szCs w:val="1"/>
                <w:color w:val="auto"/>
              </w:rPr>
            </w:pPr>
          </w:p>
        </w:tc>
      </w:tr>
      <w:tr>
        <w:trPr>
          <w:trHeight w:val="210"/>
        </w:trPr>
        <w:tc>
          <w:tcPr>
            <w:tcW w:w="1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7.0% – 20.0% (12.0%)</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1.5x – 7.9x (3.8x)</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$0.8 million – $114.0 million ($13.6</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60" w:type="dxa"/>
            <w:vAlign w:val="bottom"/>
          </w:tcPr>
          <w:p>
            <w:pPr>
              <w:spacing w:after="0" w:line="206" w:lineRule="exact"/>
              <w:rPr>
                <w:sz w:val="20"/>
                <w:szCs w:val="20"/>
                <w:color w:val="auto"/>
              </w:rPr>
            </w:pPr>
            <w:r>
              <w:rPr>
                <w:rFonts w:ascii="Arial" w:cs="Arial" w:eastAsia="Arial" w:hAnsi="Arial"/>
                <w:sz w:val="18"/>
                <w:szCs w:val="18"/>
                <w:color w:val="auto"/>
              </w:rPr>
              <w:t>First lien debt</w:t>
            </w:r>
          </w:p>
        </w:tc>
        <w:tc>
          <w:tcPr>
            <w:tcW w:w="100" w:type="dxa"/>
            <w:vAlign w:val="bottom"/>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20.0</w:t>
            </w:r>
          </w:p>
        </w:tc>
        <w:tc>
          <w:tcPr>
            <w:tcW w:w="312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Enterprise Value Waterfall and Asset</w:t>
            </w:r>
          </w:p>
        </w:tc>
        <w:tc>
          <w:tcPr>
            <w:tcW w:w="2340" w:type="dxa"/>
            <w:vAlign w:val="bottom"/>
            <w:gridSpan w:val="2"/>
          </w:tcPr>
          <w:p>
            <w:pPr>
              <w:spacing w:after="0" w:line="206" w:lineRule="exact"/>
              <w:rPr>
                <w:sz w:val="20"/>
                <w:szCs w:val="20"/>
                <w:color w:val="auto"/>
              </w:rPr>
            </w:pPr>
            <w:r>
              <w:rPr>
                <w:rFonts w:ascii="Arial" w:cs="Arial" w:eastAsia="Arial" w:hAnsi="Arial"/>
                <w:sz w:val="18"/>
                <w:szCs w:val="18"/>
                <w:color w:val="auto"/>
              </w:rPr>
              <w:t>EBITDA Multiple</w:t>
            </w:r>
          </w:p>
        </w:tc>
        <w:tc>
          <w:tcPr>
            <w:tcW w:w="3140" w:type="dxa"/>
            <w:vAlign w:val="bottom"/>
          </w:tcPr>
          <w:p>
            <w:pPr>
              <w:spacing w:after="0" w:line="206" w:lineRule="exact"/>
              <w:rPr>
                <w:sz w:val="20"/>
                <w:szCs w:val="20"/>
                <w:color w:val="auto"/>
              </w:rPr>
            </w:pPr>
            <w:r>
              <w:rPr>
                <w:rFonts w:ascii="Arial" w:cs="Arial" w:eastAsia="Arial" w:hAnsi="Arial"/>
                <w:sz w:val="18"/>
                <w:szCs w:val="18"/>
                <w:color w:val="auto"/>
              </w:rPr>
              <w:t>6.0x – 6.0x (6.0x)</w:t>
            </w: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2"/>
          </w:tcPr>
          <w:p>
            <w:pPr>
              <w:ind w:left="100"/>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140" w:type="dxa"/>
            <w:vAlign w:val="bottom"/>
          </w:tcPr>
          <w:p>
            <w:pPr>
              <w:spacing w:after="0"/>
              <w:rPr>
                <w:sz w:val="20"/>
                <w:szCs w:val="20"/>
                <w:color w:val="auto"/>
              </w:rPr>
            </w:pPr>
            <w:r>
              <w:rPr>
                <w:rFonts w:ascii="Arial" w:cs="Arial" w:eastAsia="Arial" w:hAnsi="Arial"/>
                <w:sz w:val="18"/>
                <w:szCs w:val="18"/>
                <w:color w:val="auto"/>
              </w:rPr>
              <w:t>$2.9 million – $2.9 million ($2.9 million)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140" w:type="dxa"/>
            <w:vAlign w:val="bottom"/>
          </w:tcPr>
          <w:p>
            <w:pPr>
              <w:spacing w:after="0"/>
              <w:rPr>
                <w:sz w:val="20"/>
                <w:szCs w:val="20"/>
                <w:color w:val="auto"/>
              </w:rPr>
            </w:pPr>
            <w:r>
              <w:rPr>
                <w:rFonts w:ascii="Arial" w:cs="Arial" w:eastAsia="Arial" w:hAnsi="Arial"/>
                <w:sz w:val="18"/>
                <w:szCs w:val="18"/>
                <w:color w:val="auto"/>
              </w:rPr>
              <w:t>1.0x – 1.1x (1.1x)</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40" w:type="dxa"/>
            <w:vAlign w:val="bottom"/>
          </w:tcPr>
          <w:p>
            <w:pPr>
              <w:spacing w:after="0"/>
              <w:rPr>
                <w:sz w:val="20"/>
                <w:szCs w:val="20"/>
                <w:color w:val="auto"/>
              </w:rPr>
            </w:pPr>
            <w:r>
              <w:rPr>
                <w:rFonts w:ascii="Arial" w:cs="Arial" w:eastAsia="Arial" w:hAnsi="Arial"/>
                <w:sz w:val="18"/>
                <w:szCs w:val="18"/>
                <w:color w:val="auto"/>
              </w:rPr>
              <w:t>$13.3 million – $21.6 million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($19.5 million)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3120" w:type="dxa"/>
            <w:vAlign w:val="bottom"/>
            <w:gridSpan w:val="3"/>
            <w:shd w:val="clear" w:color="auto" w:fill="CCEEFF"/>
          </w:tcPr>
          <w:p>
            <w:pPr>
              <w:ind w:left="100"/>
              <w:spacing w:after="0" w:line="256" w:lineRule="exact"/>
              <w:rPr>
                <w:sz w:val="20"/>
                <w:szCs w:val="20"/>
                <w:color w:val="auto"/>
              </w:rPr>
            </w:pPr>
            <w:r>
              <w:rPr>
                <w:rFonts w:ascii="Arial" w:cs="Arial" w:eastAsia="Arial" w:hAnsi="Arial"/>
                <w:sz w:val="18"/>
                <w:szCs w:val="18"/>
                <w:color w:val="auto"/>
              </w:rPr>
              <w:t>Income and Asset</w:t>
            </w:r>
            <w:r>
              <w:rPr>
                <w:rFonts w:ascii="Arial" w:cs="Arial" w:eastAsia="Arial" w:hAnsi="Arial"/>
                <w:sz w:val="29"/>
                <w:szCs w:val="29"/>
                <w:color w:val="auto"/>
                <w:vertAlign w:val="superscript"/>
              </w:rPr>
              <w:t>(1)</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6.0% – 15.0% (13.5%)</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3.0x – 7.0x (5.3x)</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$1.8 million – $74.5 million ($32.7</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Equity and</w:t>
            </w:r>
          </w:p>
        </w:tc>
        <w:tc>
          <w:tcPr>
            <w:tcW w:w="10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61.6</w:t>
            </w:r>
          </w:p>
        </w:tc>
        <w:tc>
          <w:tcPr>
            <w:tcW w:w="31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Enterprise Value Waterfall and</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w:t>
            </w: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3.9x – 10.0x (7.3x)</w:t>
            </w:r>
          </w:p>
        </w:tc>
        <w:tc>
          <w:tcPr>
            <w:tcW w:w="0" w:type="dxa"/>
            <w:vAlign w:val="bottom"/>
          </w:tcPr>
          <w:p>
            <w:pPr>
              <w:spacing w:after="0"/>
              <w:rPr>
                <w:sz w:val="1"/>
                <w:szCs w:val="1"/>
                <w:color w:val="auto"/>
              </w:rPr>
            </w:pPr>
          </w:p>
        </w:tc>
      </w:tr>
      <w:tr>
        <w:trPr>
          <w:trHeight w:val="394"/>
        </w:trPr>
        <w:tc>
          <w:tcPr>
            <w:tcW w:w="146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3140" w:type="dxa"/>
            <w:vAlign w:val="bottom"/>
            <w:vMerge w:val="restart"/>
          </w:tcPr>
          <w:p>
            <w:pPr>
              <w:spacing w:after="0"/>
              <w:rPr>
                <w:sz w:val="20"/>
                <w:szCs w:val="20"/>
                <w:color w:val="auto"/>
              </w:rPr>
            </w:pPr>
            <w:r>
              <w:rPr>
                <w:rFonts w:ascii="Arial" w:cs="Arial" w:eastAsia="Arial" w:hAnsi="Arial"/>
                <w:sz w:val="18"/>
                <w:szCs w:val="18"/>
                <w:color w:val="auto"/>
                <w:w w:val="95"/>
              </w:rPr>
              <w:t>$1.8 million - $25.1 million ($11.7 million)</w:t>
            </w:r>
          </w:p>
        </w:tc>
        <w:tc>
          <w:tcPr>
            <w:tcW w:w="0" w:type="dxa"/>
            <w:vAlign w:val="bottom"/>
          </w:tcPr>
          <w:p>
            <w:pPr>
              <w:spacing w:after="0"/>
              <w:rPr>
                <w:sz w:val="1"/>
                <w:szCs w:val="1"/>
                <w:color w:val="auto"/>
              </w:rPr>
            </w:pPr>
          </w:p>
        </w:tc>
      </w:tr>
      <w:tr>
        <w:trPr>
          <w:trHeight w:val="79"/>
        </w:trPr>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gridSpan w:val="2"/>
            <w:vMerge w:val="continue"/>
          </w:tcPr>
          <w:p>
            <w:pPr>
              <w:spacing w:after="0"/>
              <w:rPr>
                <w:sz w:val="6"/>
                <w:szCs w:val="6"/>
                <w:color w:val="auto"/>
              </w:rPr>
            </w:pPr>
          </w:p>
        </w:tc>
        <w:tc>
          <w:tcPr>
            <w:tcW w:w="3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140" w:type="dxa"/>
            <w:vAlign w:val="bottom"/>
          </w:tcPr>
          <w:p>
            <w:pPr>
              <w:spacing w:after="0"/>
              <w:rPr>
                <w:sz w:val="20"/>
                <w:szCs w:val="20"/>
                <w:color w:val="auto"/>
              </w:rPr>
            </w:pPr>
            <w:r>
              <w:rPr>
                <w:rFonts w:ascii="Arial" w:cs="Arial" w:eastAsia="Arial" w:hAnsi="Arial"/>
                <w:sz w:val="18"/>
                <w:szCs w:val="18"/>
                <w:color w:val="auto"/>
              </w:rPr>
              <w:t>0.4x – 4.7x (0.8x)</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40" w:type="dxa"/>
            <w:vAlign w:val="bottom"/>
          </w:tcPr>
          <w:p>
            <w:pPr>
              <w:spacing w:after="0"/>
              <w:rPr>
                <w:sz w:val="20"/>
                <w:szCs w:val="20"/>
                <w:color w:val="auto"/>
              </w:rPr>
            </w:pPr>
            <w:r>
              <w:rPr>
                <w:rFonts w:ascii="Arial" w:cs="Arial" w:eastAsia="Arial" w:hAnsi="Arial"/>
                <w:sz w:val="18"/>
                <w:szCs w:val="18"/>
                <w:color w:val="auto"/>
              </w:rPr>
              <w:t>$17.1 million - $566.2 million ($406.6</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 million in first lien debt, $0.7 million in second lien debt, and $4.9 million in equity and warrants were valued using the asset approach.</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Company’s $13.6 million investment in CSLF II, measured at NAV.</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jc w:val="both"/>
        <w:ind w:firstLine="648"/>
        <w:spacing w:after="0" w:line="275" w:lineRule="auto"/>
        <w:rPr>
          <w:sz w:val="20"/>
          <w:szCs w:val="20"/>
          <w:color w:val="auto"/>
        </w:rPr>
      </w:pPr>
      <w:r>
        <w:rPr>
          <w:rFonts w:ascii="Arial" w:cs="Arial" w:eastAsia="Arial" w:hAnsi="Arial"/>
          <w:sz w:val="17"/>
          <w:szCs w:val="17"/>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1-month LIBOR + 2.25%. During the quarter ended June 30, 2020,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$12.7 million was outstanding under the CSLF II Credit Facility. For the three and six months ended June 30, 2020, CSLF II incurred interest and financing expenses of $1.0 million and $1.1 million, respectively. For the three and six months ended June 30, 2019, CSLF II did not incur interest and financing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$0.0 was outstanding on the Subordinated Notes. As of December 31, 2019, the Company and Trinity had $5.0 million and $20.0 million of unfunded commitments related to the Subordinated Notes, respectively. For the three and six months ended June 30, 2020 and 2019, CSLF II did not incur any interest and financing expenses related to the Subordinated Notes.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December 31, 2019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8"/>
              </w:rPr>
              <w:t>December 31, 2019</w:t>
            </w:r>
          </w:p>
        </w:tc>
        <w:tc>
          <w:tcPr>
            <w:tcW w:w="160" w:type="dxa"/>
            <w:vAlign w:val="bottom"/>
            <w:tcBorders>
              <w:bottom w:val="single" w:sz="8" w:color="CCEEFF"/>
            </w:tcBorders>
            <w:gridSpan w:val="2"/>
          </w:tcPr>
          <w:p>
            <w:pPr>
              <w:spacing w:after="0"/>
              <w:rPr>
                <w:sz w:val="20"/>
                <w:szCs w:val="20"/>
                <w:color w:val="auto"/>
              </w:rPr>
            </w:pPr>
          </w:p>
        </w:tc>
      </w:tr>
      <w:tr>
        <w:trPr>
          <w:trHeight w:val="236"/>
        </w:trPr>
        <w:tc>
          <w:tcPr>
            <w:tcW w:w="23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First lien loans </w:t>
            </w:r>
            <w:r>
              <w:rPr>
                <w:rFonts w:ascii="Arial" w:cs="Arial" w:eastAsia="Arial" w:hAnsi="Arial"/>
                <w:sz w:val="27"/>
                <w:szCs w:val="27"/>
                <w:color w:val="auto"/>
                <w:vertAlign w:val="superscript"/>
              </w:rPr>
              <w:t>(1)</w:t>
            </w: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28,396</w:t>
            </w:r>
          </w:p>
        </w:tc>
        <w:tc>
          <w:tcPr>
            <w:tcW w:w="100" w:type="dxa"/>
            <w:vAlign w:val="bottom"/>
            <w:shd w:val="clear" w:color="auto" w:fill="CCEEFF"/>
          </w:tcPr>
          <w:p>
            <w:pPr>
              <w:spacing w:after="0"/>
              <w:rPr>
                <w:sz w:val="20"/>
                <w:szCs w:val="20"/>
                <w:color w:val="auto"/>
              </w:rPr>
            </w:pPr>
          </w:p>
        </w:tc>
      </w:tr>
      <w:tr>
        <w:trPr>
          <w:trHeight w:val="216"/>
        </w:trPr>
        <w:tc>
          <w:tcPr>
            <w:tcW w:w="4300" w:type="dxa"/>
            <w:vAlign w:val="bottom"/>
            <w:gridSpan w:val="4"/>
          </w:tcPr>
          <w:p>
            <w:pPr>
              <w:spacing w:after="0"/>
              <w:rPr>
                <w:sz w:val="20"/>
                <w:szCs w:val="20"/>
                <w:color w:val="auto"/>
              </w:rPr>
            </w:pPr>
            <w:r>
              <w:rPr>
                <w:rFonts w:ascii="Arial" w:cs="Arial" w:eastAsia="Arial" w:hAnsi="Arial"/>
                <w:sz w:val="18"/>
                <w:szCs w:val="18"/>
                <w:color w:val="auto"/>
                <w:w w:val="95"/>
              </w:rPr>
              <w:t>Weighted average current interest rate on first lien loans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Number of portfolio companies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56"/>
        </w:trPr>
        <w:tc>
          <w:tcPr>
            <w:tcW w:w="4300" w:type="dxa"/>
            <w:vAlign w:val="bottom"/>
            <w:gridSpan w:val="4"/>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2"/>
                <w:szCs w:val="22"/>
                <w:color w:val="auto"/>
              </w:rPr>
            </w:pPr>
          </w:p>
        </w:tc>
      </w:tr>
      <w:tr>
        <w:trPr>
          <w:trHeight w:val="257"/>
        </w:trPr>
        <w:tc>
          <w:tcPr>
            <w:tcW w:w="430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w w:val="99"/>
              </w:rPr>
              <w:t xml:space="preserve">Total of five largest portfolio company investments </w:t>
            </w:r>
            <w:r>
              <w:rPr>
                <w:rFonts w:ascii="Arial" w:cs="Arial" w:eastAsia="Arial" w:hAnsi="Arial"/>
                <w:sz w:val="29"/>
                <w:szCs w:val="29"/>
                <w:color w:val="auto"/>
                <w:w w:val="99"/>
                <w:vertAlign w:val="superscript"/>
              </w:rPr>
              <w:t>(1)</w:t>
            </w:r>
          </w:p>
        </w:tc>
        <w:tc>
          <w:tcPr>
            <w:tcW w:w="2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28,396</w:t>
            </w:r>
          </w:p>
        </w:tc>
        <w:tc>
          <w:tcPr>
            <w:tcW w:w="100" w:type="dxa"/>
            <w:vAlign w:val="bottom"/>
            <w:shd w:val="clear" w:color="auto" w:fill="CCEEFF"/>
          </w:tcPr>
          <w:p>
            <w:pPr>
              <w:spacing w:after="0"/>
              <w:rPr>
                <w:sz w:val="22"/>
                <w:szCs w:val="22"/>
                <w:color w:val="auto"/>
              </w:rPr>
            </w:pPr>
          </w:p>
        </w:tc>
      </w:tr>
      <w:tr>
        <w:trPr>
          <w:trHeight w:val="432"/>
        </w:trPr>
        <w:tc>
          <w:tcPr>
            <w:tcW w:w="4300" w:type="dxa"/>
            <w:vAlign w:val="bottom"/>
            <w:gridSpan w:val="4"/>
          </w:tcPr>
          <w:p>
            <w:pPr>
              <w:spacing w:after="0"/>
              <w:rPr>
                <w:sz w:val="20"/>
                <w:szCs w:val="20"/>
                <w:color w:val="auto"/>
              </w:rPr>
            </w:pPr>
            <w:r>
              <w:rPr>
                <w:rFonts w:ascii="Arial" w:cs="Arial" w:eastAsia="Arial" w:hAnsi="Arial"/>
                <w:sz w:val="18"/>
                <w:szCs w:val="18"/>
                <w:color w:val="auto"/>
                <w:w w:val="93"/>
              </w:rPr>
              <w:t>(1)  Based on principal amount outstanding at period end.</w:t>
            </w: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6"/>
          </w:tcPr>
          <w:p>
            <w:pPr>
              <w:ind w:left="660"/>
              <w:spacing w:after="0"/>
              <w:rPr>
                <w:sz w:val="20"/>
                <w:szCs w:val="20"/>
                <w:color w:val="auto"/>
              </w:rPr>
            </w:pPr>
            <w:r>
              <w:rPr>
                <w:rFonts w:ascii="Arial" w:cs="Arial" w:eastAsia="Arial" w:hAnsi="Arial"/>
                <w:sz w:val="18"/>
                <w:szCs w:val="18"/>
                <w:color w:val="auto"/>
                <w:w w:val="91"/>
              </w:rPr>
              <w:t>Below is CSLF II’s schedule of investments as of December 31, 2019 (dollars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Principal</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Portfolio Company</w:t>
            </w:r>
          </w:p>
        </w:tc>
        <w:tc>
          <w:tcPr>
            <w:tcW w:w="1920" w:type="dxa"/>
            <w:vAlign w:val="bottom"/>
            <w:gridSpan w:val="2"/>
          </w:tcPr>
          <w:p>
            <w:pPr>
              <w:ind w:left="520"/>
              <w:spacing w:after="0"/>
              <w:rPr>
                <w:sz w:val="20"/>
                <w:szCs w:val="20"/>
                <w:color w:val="auto"/>
              </w:rPr>
            </w:pPr>
            <w:r>
              <w:rPr>
                <w:rFonts w:ascii="Arial" w:cs="Arial" w:eastAsia="Arial" w:hAnsi="Arial"/>
                <w:sz w:val="18"/>
                <w:szCs w:val="18"/>
                <w:b w:val="1"/>
                <w:bCs w:val="1"/>
                <w:color w:val="auto"/>
              </w:rPr>
              <w:t>Industry</w:t>
            </w:r>
          </w:p>
        </w:tc>
        <w:tc>
          <w:tcPr>
            <w:tcW w:w="3060" w:type="dxa"/>
            <w:vAlign w:val="bottom"/>
            <w:gridSpan w:val="2"/>
          </w:tcPr>
          <w:p>
            <w:pPr>
              <w:ind w:left="680"/>
              <w:spacing w:after="0"/>
              <w:rPr>
                <w:sz w:val="20"/>
                <w:szCs w:val="20"/>
                <w:color w:val="auto"/>
              </w:rPr>
            </w:pPr>
            <w:r>
              <w:rPr>
                <w:rFonts w:ascii="Arial" w:cs="Arial" w:eastAsia="Arial" w:hAnsi="Arial"/>
                <w:sz w:val="18"/>
                <w:szCs w:val="18"/>
                <w:b w:val="1"/>
                <w:bCs w:val="1"/>
                <w:color w:val="auto"/>
              </w:rPr>
              <w:t>Type of Investment</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Investments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Freedom Electronics,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Electronic Machine</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(7.0% Cash (1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Repair</w:t>
            </w: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2.0%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12/20/23)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5,445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5,445</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Installs, LLC</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Logistics</w:t>
            </w: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Debt (5.8% Cash (1 month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+ 4.0%, 1.8% Floor), Due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6/20/23)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2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7,443</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RAM Payment,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Financial Services</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(6.7% Cash (1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1.5%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24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6,653</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6,653</w:t>
            </w: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Rapid Fire Protection, Inc.</w:t>
            </w:r>
            <w:r>
              <w:rPr>
                <w:rFonts w:ascii="Arial" w:cs="Arial" w:eastAsia="Arial" w:hAnsi="Arial"/>
                <w:sz w:val="23"/>
                <w:szCs w:val="23"/>
                <w:color w:val="auto"/>
                <w:vertAlign w:val="superscript"/>
              </w:rPr>
              <w:t>(1)</w:t>
            </w:r>
          </w:p>
        </w:tc>
        <w:tc>
          <w:tcPr>
            <w:tcW w:w="1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 System</w:t>
            </w: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 Debt (5.5% Cash (1 month</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+ 3.8%, 1.8% Floor), Due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11/22/24)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2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U.S. BioTek Laboratories,</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Testing Laboratories</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First Lien Debt (7.0% Cash (3 month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LLC</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LIBOR + 5.0%, 2.0% Floor),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12/14/23)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2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4,455</w:t>
            </w:r>
          </w:p>
        </w:tc>
      </w:tr>
      <w:tr>
        <w:trPr>
          <w:trHeight w:val="223"/>
        </w:trPr>
        <w:tc>
          <w:tcPr>
            <w:tcW w:w="2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had a $3.0 million unfunded commitment.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Below are the statements of assets and liabilities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100" w:type="dxa"/>
            <w:vAlign w:val="bottom"/>
            <w:gridSpan w:val="2"/>
          </w:tcPr>
          <w:p>
            <w:pPr>
              <w:spacing w:after="0"/>
              <w:rPr>
                <w:sz w:val="19"/>
                <w:szCs w:val="19"/>
                <w:color w:val="auto"/>
              </w:rPr>
            </w:pPr>
          </w:p>
        </w:tc>
      </w:tr>
      <w:tr>
        <w:trPr>
          <w:trHeight w:val="209"/>
        </w:trPr>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Investments at fair value (amortized cost of $0 and $28,396, respectively)</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28,396</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receivable</w:t>
            </w: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r>
      <w:tr>
        <w:trPr>
          <w:trHeight w:val="22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r>
      <w:tr>
        <w:trPr>
          <w:trHeight w:val="263"/>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Credit facility (net of deferred financing costs of $0 and $621, respectively)</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12,079</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10"/>
        </w:trPr>
        <w:tc>
          <w:tcPr>
            <w:tcW w:w="6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NET ASSETS</w:t>
            </w: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17,039</w:t>
            </w:r>
          </w:p>
        </w:tc>
        <w:tc>
          <w:tcPr>
            <w:tcW w:w="80" w:type="dxa"/>
            <w:vAlign w:val="bottom"/>
            <w:shd w:val="clear" w:color="auto" w:fill="CCEEFF"/>
          </w:tcPr>
          <w:p>
            <w:pPr>
              <w:spacing w:after="0"/>
              <w:rPr>
                <w:sz w:val="19"/>
                <w:szCs w:val="19"/>
                <w:color w:val="auto"/>
              </w:rPr>
            </w:pPr>
          </w:p>
        </w:tc>
      </w:tr>
      <w:tr>
        <w:trPr>
          <w:trHeight w:val="223"/>
        </w:trPr>
        <w:tc>
          <w:tcPr>
            <w:tcW w:w="6620" w:type="dxa"/>
            <w:vAlign w:val="bottom"/>
          </w:tcPr>
          <w:p>
            <w:pPr>
              <w:ind w:left="180"/>
              <w:spacing w:after="0"/>
              <w:rPr>
                <w:sz w:val="20"/>
                <w:szCs w:val="20"/>
                <w:color w:val="auto"/>
              </w:rPr>
            </w:pPr>
            <w:r>
              <w:rPr>
                <w:rFonts w:ascii="Arial" w:cs="Arial" w:eastAsia="Arial" w:hAnsi="Arial"/>
                <w:sz w:val="18"/>
                <w:szCs w:val="18"/>
                <w:color w:val="auto"/>
              </w:rPr>
              <w:t>Total net assets</w:t>
            </w:r>
          </w:p>
        </w:tc>
        <w:tc>
          <w:tcPr>
            <w:tcW w:w="1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5"/>
          </w:tcPr>
          <w:p>
            <w:pPr>
              <w:ind w:left="660"/>
              <w:spacing w:after="0"/>
              <w:rPr>
                <w:sz w:val="20"/>
                <w:szCs w:val="20"/>
                <w:color w:val="auto"/>
              </w:rPr>
            </w:pPr>
            <w:r>
              <w:rPr>
                <w:rFonts w:ascii="Arial" w:cs="Arial" w:eastAsia="Arial" w:hAnsi="Arial"/>
                <w:sz w:val="18"/>
                <w:szCs w:val="18"/>
                <w:color w:val="auto"/>
                <w:w w:val="93"/>
              </w:rPr>
              <w:t>Below are the unaudited statements of operations for CSLF II (dollars in 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24"/>
                <w:szCs w:val="24"/>
                <w:color w:val="auto"/>
              </w:rPr>
            </w:pPr>
          </w:p>
        </w:tc>
        <w:tc>
          <w:tcPr>
            <w:tcW w:w="268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w w:val="97"/>
              </w:rPr>
              <w:t>June 30, 2020</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41"/>
              <w:spacing w:after="0"/>
              <w:rPr>
                <w:sz w:val="20"/>
                <w:szCs w:val="20"/>
                <w:color w:val="auto"/>
              </w:rPr>
            </w:pPr>
            <w:r>
              <w:rPr>
                <w:rFonts w:ascii="Arial" w:cs="Arial" w:eastAsia="Arial" w:hAnsi="Arial"/>
                <w:sz w:val="18"/>
                <w:szCs w:val="18"/>
                <w:b w:val="1"/>
                <w:bCs w:val="1"/>
                <w:color w:val="auto"/>
                <w:w w:val="87"/>
              </w:rPr>
              <w:t>June 30, 2020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00" w:type="dxa"/>
            <w:vAlign w:val="bottom"/>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650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(LOSS)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182"/>
        </w:trPr>
        <w:tc>
          <w:tcPr>
            <w:tcW w:w="5400" w:type="dxa"/>
            <w:vAlign w:val="bottom"/>
          </w:tcPr>
          <w:p>
            <w:pPr>
              <w:spacing w:after="0" w:line="182" w:lineRule="exact"/>
              <w:rPr>
                <w:sz w:val="20"/>
                <w:szCs w:val="20"/>
                <w:color w:val="auto"/>
              </w:rPr>
            </w:pPr>
            <w:r>
              <w:rPr>
                <w:rFonts w:ascii="Arial" w:cs="Arial" w:eastAsia="Arial" w:hAnsi="Arial"/>
                <w:sz w:val="18"/>
                <w:szCs w:val="18"/>
                <w:color w:val="auto"/>
                <w:w w:val="96"/>
              </w:rPr>
              <w:t>NET INCREASE (DECREASE) IN NET ASSETS RESULTING FROM</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OPERATIONS</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(837)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(644)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9"/>
              </w:rPr>
              <w:t>32</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2" w:name="page33"/>
    <w:bookmarkEnd w:id="3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2020,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 of</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Interest, Fees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or Dividends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8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w w:val="90"/>
              </w:rPr>
              <w:t xml:space="preserve">Company </w:t>
            </w:r>
            <w:r>
              <w:rPr>
                <w:rFonts w:ascii="Arial" w:cs="Arial" w:eastAsia="Arial" w:hAnsi="Arial"/>
                <w:sz w:val="20"/>
                <w:szCs w:val="20"/>
                <w:b w:val="1"/>
                <w:bCs w:val="1"/>
                <w:color w:val="auto"/>
                <w:w w:val="90"/>
                <w:vertAlign w:val="superscript"/>
              </w:rPr>
              <w:t>(4)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11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3"/>
              </w:rPr>
              <w:t>December 31, 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1"/>
                <w:szCs w:val="11"/>
                <w:color w:val="auto"/>
              </w:rPr>
            </w:pPr>
          </w:p>
        </w:tc>
        <w:tc>
          <w:tcPr>
            <w:tcW w:w="740" w:type="dxa"/>
            <w:vAlign w:val="bottom"/>
            <w:gridSpan w:val="2"/>
          </w:tcPr>
          <w:p>
            <w:pPr>
              <w:jc w:val="right"/>
              <w:ind w:right="318"/>
              <w:spacing w:after="0" w:line="135"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8"/>
              </w:rPr>
              <w:t>Realized</w:t>
            </w:r>
          </w:p>
        </w:tc>
        <w:tc>
          <w:tcPr>
            <w:tcW w:w="900" w:type="dxa"/>
            <w:vAlign w:val="bottom"/>
            <w:gridSpan w:val="3"/>
          </w:tcPr>
          <w:p>
            <w:pPr>
              <w:jc w:val="right"/>
              <w:ind w:right="11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June 30, 2020</w:t>
            </w:r>
          </w:p>
        </w:tc>
        <w:tc>
          <w:tcPr>
            <w:tcW w:w="0" w:type="dxa"/>
            <w:vAlign w:val="bottom"/>
          </w:tcPr>
          <w:p>
            <w:pPr>
              <w:spacing w:after="0"/>
              <w:rPr>
                <w:sz w:val="1"/>
                <w:szCs w:val="1"/>
                <w:color w:val="auto"/>
              </w:rPr>
            </w:pPr>
          </w:p>
        </w:tc>
      </w:tr>
      <w:tr>
        <w:trPr>
          <w:trHeight w:val="162"/>
        </w:trPr>
        <w:tc>
          <w:tcPr>
            <w:tcW w:w="10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32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89"/>
              </w:rPr>
              <w:t xml:space="preserve">Income </w:t>
            </w:r>
            <w:r>
              <w:rPr>
                <w:rFonts w:ascii="Arial" w:cs="Arial" w:eastAsia="Arial" w:hAnsi="Arial"/>
                <w:sz w:val="18"/>
                <w:szCs w:val="18"/>
                <w:b w:val="1"/>
                <w:bCs w:val="1"/>
                <w:color w:val="auto"/>
                <w:w w:val="89"/>
                <w:vertAlign w:val="superscript"/>
              </w:rPr>
              <w:t>(1)</w:t>
            </w: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9"/>
              </w:rPr>
              <w:t>Fair Value</w:t>
            </w:r>
          </w:p>
        </w:tc>
        <w:tc>
          <w:tcPr>
            <w:tcW w:w="100" w:type="dxa"/>
            <w:vAlign w:val="bottom"/>
          </w:tcPr>
          <w:p>
            <w:pPr>
              <w:spacing w:after="0"/>
              <w:rPr>
                <w:sz w:val="14"/>
                <w:szCs w:val="14"/>
                <w:color w:val="auto"/>
              </w:rPr>
            </w:pPr>
          </w:p>
        </w:tc>
        <w:tc>
          <w:tcPr>
            <w:tcW w:w="980" w:type="dxa"/>
            <w:vAlign w:val="bottom"/>
            <w:gridSpan w:val="3"/>
          </w:tcPr>
          <w:p>
            <w:pPr>
              <w:jc w:val="right"/>
              <w:ind w:right="260"/>
              <w:spacing w:after="0" w:line="162" w:lineRule="exact"/>
              <w:rPr>
                <w:sz w:val="20"/>
                <w:szCs w:val="20"/>
                <w:color w:val="auto"/>
              </w:rPr>
            </w:pPr>
            <w:r>
              <w:rPr>
                <w:rFonts w:ascii="Arial" w:cs="Arial" w:eastAsia="Arial" w:hAnsi="Arial"/>
                <w:sz w:val="12"/>
                <w:szCs w:val="12"/>
                <w:b w:val="1"/>
                <w:bCs w:val="1"/>
                <w:color w:val="auto"/>
                <w:w w:val="95"/>
              </w:rPr>
              <w:t xml:space="preserve">Additions </w:t>
            </w:r>
            <w:r>
              <w:rPr>
                <w:rFonts w:ascii="Arial" w:cs="Arial" w:eastAsia="Arial" w:hAnsi="Arial"/>
                <w:sz w:val="18"/>
                <w:szCs w:val="18"/>
                <w:b w:val="1"/>
                <w:bCs w:val="1"/>
                <w:color w:val="auto"/>
                <w:w w:val="95"/>
                <w:vertAlign w:val="superscript"/>
              </w:rPr>
              <w:t>(2)</w:t>
            </w:r>
          </w:p>
        </w:tc>
        <w:tc>
          <w:tcPr>
            <w:tcW w:w="90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Reductions </w:t>
            </w:r>
            <w:r>
              <w:rPr>
                <w:rFonts w:ascii="Arial" w:cs="Arial" w:eastAsia="Arial" w:hAnsi="Arial"/>
                <w:sz w:val="18"/>
                <w:szCs w:val="18"/>
                <w:b w:val="1"/>
                <w:bCs w:val="1"/>
                <w:color w:val="auto"/>
                <w:vertAlign w:val="superscript"/>
              </w:rPr>
              <w:t>(3)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Gain/(Loss)</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(Depreciation)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gridSpan w:val="4"/>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w w:val="83"/>
              </w:rPr>
              <w:t>Affiliate investments</w:t>
            </w: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3.0% PIK, Due 3/23/21)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14,135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858</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14,421</w:t>
            </w:r>
          </w:p>
        </w:tc>
        <w:tc>
          <w:tcPr>
            <w:tcW w:w="2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214</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14,016</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B</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(1,085,073 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A</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(1,253,198 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858</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14,016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Membership Unit Warrants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(1,341)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1,341</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(1,516)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148"/>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1,341</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(1,516</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Second Lien Debt (13.5% Cash</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6"/>
              </w:rPr>
              <w:t>(3 month LIBOR + 13.0%, 0.5%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12/29/21)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1,273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16,395</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(22.9%</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ownership)</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(2,277)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15,545</w:t>
            </w:r>
          </w:p>
        </w:tc>
        <w:tc>
          <w:tcPr>
            <w:tcW w:w="0" w:type="dxa"/>
            <w:vAlign w:val="bottom"/>
          </w:tcPr>
          <w:p>
            <w:pPr>
              <w:spacing w:after="0"/>
              <w:rPr>
                <w:sz w:val="1"/>
                <w:szCs w:val="1"/>
                <w:color w:val="auto"/>
              </w:rPr>
            </w:pPr>
          </w:p>
        </w:tc>
      </w:tr>
      <w:tr>
        <w:trPr>
          <w:trHeight w:val="148"/>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1,273</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(2,468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31,940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GA Communications,</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(1,998 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3,761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3,908</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GA Communications,</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B-1 Common Stock</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Inc.</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(200,000 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9"/>
              </w:rPr>
              <w:t>LJS Partners, LLC</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Preferred Units (175,867 units)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9"/>
              </w:rPr>
              <w:t>LJS Partners, LLC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Membership Units</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(2,593,234 units)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848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2,357</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1/31/21)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Second Lien Debt (6.0% Cash,</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1/31/21)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95"/>
              </w:rPr>
              <w:t>MMI Holdings, LLC</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97"/>
              </w:rPr>
              <w:t>(5)</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(1,000 units,</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gridSpan w:val="4"/>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6.0% PIK Dividend)</w:t>
            </w: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1,710</w:t>
            </w: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1,762</w:t>
            </w:r>
          </w:p>
        </w:tc>
        <w:tc>
          <w:tcPr>
            <w:tcW w:w="0" w:type="dxa"/>
            <w:vAlign w:val="bottom"/>
          </w:tcPr>
          <w:p>
            <w:pPr>
              <w:spacing w:after="0"/>
              <w:rPr>
                <w:sz w:val="1"/>
                <w:szCs w:val="1"/>
                <w:color w:val="auto"/>
              </w:rPr>
            </w:pPr>
          </w:p>
        </w:tc>
      </w:tr>
      <w:tr>
        <w:trPr>
          <w:trHeight w:val="83"/>
        </w:trPr>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5"/>
              </w:rPr>
              <w:t>Common Membership Units (45</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(9.0% Cash,</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 PIK, Due 6/30/23)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1,507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10,963</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Class A Preferred Stock (1,000</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2"/>
              </w:rPr>
              <w:t>Navis Holdings, Inc.</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5"/>
              </w:rPr>
              <w:t>Common Stock (60,000 shares)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1,507</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(970</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11,922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Nth Degree Investment</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(6,088,000</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Group, LLC</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(6,088)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2"/>
              </w:rPr>
              <w:t>RAM Payment, LLC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(6.5% Cash (1</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month LIBOR + 5.0%, 1.5%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1/4/24)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3,029</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2"/>
              </w:rPr>
              <w:t>RAM Payment, LLC</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First Lien Debt (9.8% Cash, Due</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1/4/24)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8,212</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92"/>
              </w:rPr>
              <w:t>RAM Payment, LLC</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97"/>
              </w:rPr>
              <w:t>(5)</w:t>
            </w:r>
          </w:p>
        </w:tc>
        <w:tc>
          <w:tcPr>
            <w:tcW w:w="100" w:type="dxa"/>
            <w:vAlign w:val="bottom"/>
            <w:shd w:val="clear" w:color="auto" w:fill="CCEEFF"/>
          </w:tcPr>
          <w:p>
            <w:pPr>
              <w:spacing w:after="0"/>
              <w:rPr>
                <w:sz w:val="10"/>
                <w:szCs w:val="10"/>
                <w:color w:val="auto"/>
              </w:rPr>
            </w:pP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(86,000 units,</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gridSpan w:val="4"/>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8.0% PIK Dividend)</w:t>
            </w: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1,725</w:t>
            </w: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572</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2,331</w:t>
            </w:r>
          </w:p>
        </w:tc>
        <w:tc>
          <w:tcPr>
            <w:tcW w:w="0" w:type="dxa"/>
            <w:vAlign w:val="bottom"/>
          </w:tcPr>
          <w:p>
            <w:pPr>
              <w:spacing w:after="0"/>
              <w:rPr>
                <w:sz w:val="1"/>
                <w:szCs w:val="1"/>
                <w:color w:val="auto"/>
              </w:rPr>
            </w:pPr>
          </w:p>
        </w:tc>
      </w:tr>
      <w:tr>
        <w:trPr>
          <w:trHeight w:val="84"/>
        </w:trPr>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452</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3,104</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(848</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w w:val="98"/>
              </w:rPr>
              <w:t>Sierra Hamilton Holdings</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Second Lien Debt (15.0% PIK,</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Corporation</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9/12/23)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813</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w w:val="98"/>
              </w:rPr>
              <w:t>Sierra Hamilton Holdings</w:t>
            </w:r>
          </w:p>
        </w:tc>
        <w:tc>
          <w:tcPr>
            <w:tcW w:w="17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(15,068,000</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Corporation</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(4,232)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(4,233</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V12 Holdings, Inc.</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Second Lien Debt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49"/>
        </w:trPr>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Total Affiliate</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(2,868)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(14,731)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0"/>
                <w:szCs w:val="10"/>
                <w:b w:val="1"/>
                <w:bCs w:val="1"/>
                <w:i w:val="1"/>
                <w:iCs w:val="1"/>
                <w:color w:val="auto"/>
              </w:rPr>
              <w:t>investments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2"/>
            <w:shd w:val="clear" w:color="auto" w:fill="CCEEFF"/>
          </w:tcPr>
          <w:p>
            <w:pPr>
              <w:ind w:left="100"/>
              <w:spacing w:after="0" w:line="115"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CCEEFF"/>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3,336</w:t>
            </w:r>
          </w:p>
        </w:tc>
        <w:tc>
          <w:tcPr>
            <w:tcW w:w="1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CCEEFF"/>
              <w:bottom w:val="single" w:sz="8" w:color="CCEEFF"/>
            </w:tcBorders>
            <w:gridSpan w:val="2"/>
            <w:shd w:val="clear" w:color="auto" w:fill="CCEEFF"/>
          </w:tcPr>
          <w:p>
            <w:pPr>
              <w:jc w:val="right"/>
              <w:ind w:right="120"/>
              <w:spacing w:after="0" w:line="115" w:lineRule="exact"/>
              <w:rPr>
                <w:sz w:val="20"/>
                <w:szCs w:val="20"/>
                <w:color w:val="auto"/>
              </w:rPr>
            </w:pPr>
            <w:r>
              <w:rPr>
                <w:rFonts w:ascii="Arial" w:cs="Arial" w:eastAsia="Arial" w:hAnsi="Arial"/>
                <w:sz w:val="13"/>
                <w:szCs w:val="13"/>
                <w:color w:val="auto"/>
              </w:rPr>
              <w:t>98,763</w:t>
            </w:r>
          </w:p>
        </w:tc>
        <w:tc>
          <w:tcPr>
            <w:tcW w:w="240" w:type="dxa"/>
            <w:vAlign w:val="bottom"/>
            <w:tcBorders>
              <w:top w:val="single" w:sz="8" w:color="CCEEFF"/>
              <w:bottom w:val="single" w:sz="8" w:color="CCEEFF"/>
            </w:tcBorders>
            <w:gridSpan w:val="2"/>
            <w:shd w:val="clear" w:color="auto" w:fill="CCEEFF"/>
          </w:tcPr>
          <w:p>
            <w:pPr>
              <w:jc w:val="right"/>
              <w:ind w:right="22"/>
              <w:spacing w:after="0" w:line="115"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CCEEFF"/>
              <w:bottom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3"/>
                <w:szCs w:val="13"/>
                <w:color w:val="auto"/>
              </w:rPr>
              <w:t>5,174</w:t>
            </w:r>
          </w:p>
        </w:tc>
        <w:tc>
          <w:tcPr>
            <w:tcW w:w="1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CCEEFF"/>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1,341</w:t>
            </w:r>
          </w:p>
        </w:tc>
        <w:tc>
          <w:tcPr>
            <w:tcW w:w="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CCEEFF"/>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87,679</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w w:val="84"/>
              </w:rPr>
              <w:t>Control investments</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w w:val="87"/>
              </w:rPr>
              <w:t>Capitala Senior Loan</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w w:val="92"/>
              </w:rPr>
              <w:t>Second Lien Debt (7.0% Cash (1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2"/>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78"/>
              <w:spacing w:after="0" w:line="144"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900" w:orient="portrait"/>
          <w:cols w:equalWidth="0" w:num="1">
            <w:col w:w="11240"/>
          </w:cols>
          <w:pgMar w:left="320" w:top="904"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Fund II, LLC</w:t>
            </w:r>
          </w:p>
        </w:tc>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month LIBOR + 6.0%), Due</w:t>
            </w:r>
          </w:p>
        </w:tc>
        <w:tc>
          <w:tcPr>
            <w:tcW w:w="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9/3/24)</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Capitala Senior Loan</w:t>
            </w:r>
          </w:p>
        </w:tc>
        <w:tc>
          <w:tcPr>
            <w:tcW w:w="21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Membership Units (80.0%</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Fund II, LLC</w:t>
            </w:r>
          </w:p>
        </w:tc>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ownership)</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13,631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(13,116)</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(484)</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(13,116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(484</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21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First Lien Debt (10.5% Cash (1</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month LIBOR + 8.5%, 2.0%</w:t>
            </w: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Floor), Due 12/31/21)</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3,829</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206</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3,877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(48)</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3,829</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21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Class A Preferred Units</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(9,041,810 Units)</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5,215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(107)</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5,108</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21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Membership Units (5,363,982</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Units)</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2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rPr>
              <w:t>Total Control</w:t>
            </w:r>
          </w:p>
        </w:tc>
        <w:tc>
          <w:tcPr>
            <w:tcW w:w="2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(13,164)   $</w:t>
            </w:r>
          </w:p>
        </w:tc>
        <w:tc>
          <w:tcPr>
            <w:tcW w:w="9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(484)   $</w:t>
            </w:r>
          </w:p>
        </w:tc>
        <w:tc>
          <w:tcPr>
            <w:tcW w:w="9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(138)   $</w:t>
            </w: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0"/>
                <w:szCs w:val="10"/>
                <w:b w:val="1"/>
                <w:bCs w:val="1"/>
                <w:i w:val="1"/>
                <w:iCs w:val="1"/>
                <w:color w:val="auto"/>
              </w:rPr>
              <w:t>investments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210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gridSpan w:val="2"/>
            <w:shd w:val="clear" w:color="auto" w:fill="CCEEFF"/>
          </w:tcPr>
          <w:p>
            <w:pPr>
              <w:jc w:val="right"/>
              <w:ind w:right="260"/>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CCEEFF"/>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206</w:t>
            </w:r>
          </w:p>
        </w:tc>
        <w:tc>
          <w:tcPr>
            <w:tcW w:w="360" w:type="dxa"/>
            <w:vAlign w:val="bottom"/>
            <w:tcBorders>
              <w:top w:val="single" w:sz="8" w:color="CCEEFF"/>
              <w:bottom w:val="single" w:sz="8" w:color="CCEEFF"/>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CCEEFF"/>
              <w:bottom w:val="single" w:sz="8" w:color="CCEEFF"/>
            </w:tcBorders>
            <w:gridSpan w:val="2"/>
            <w:shd w:val="clear" w:color="auto" w:fill="CCEEFF"/>
          </w:tcPr>
          <w:p>
            <w:pPr>
              <w:jc w:val="right"/>
              <w:ind w:right="120"/>
              <w:spacing w:after="0" w:line="115" w:lineRule="exact"/>
              <w:rPr>
                <w:sz w:val="20"/>
                <w:szCs w:val="20"/>
                <w:color w:val="auto"/>
              </w:rPr>
            </w:pPr>
            <w:r>
              <w:rPr>
                <w:rFonts w:ascii="Arial" w:cs="Arial" w:eastAsia="Arial" w:hAnsi="Arial"/>
                <w:sz w:val="13"/>
                <w:szCs w:val="13"/>
                <w:color w:val="auto"/>
              </w:rPr>
              <w:t>22,723</w:t>
            </w:r>
          </w:p>
        </w:tc>
        <w:tc>
          <w:tcPr>
            <w:tcW w:w="500" w:type="dxa"/>
            <w:vAlign w:val="bottom"/>
            <w:tcBorders>
              <w:top w:val="single" w:sz="8" w:color="CCEEFF"/>
              <w:bottom w:val="single" w:sz="8" w:color="CCEEFF"/>
            </w:tcBorders>
            <w:gridSpan w:val="2"/>
            <w:shd w:val="clear" w:color="auto" w:fill="CCEEFF"/>
          </w:tcPr>
          <w:p>
            <w:pPr>
              <w:jc w:val="right"/>
              <w:ind w:right="340"/>
              <w:spacing w:after="0" w:line="115"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CCEEFF"/>
              <w:bottom w:val="single" w:sz="8" w:color="CCEEFF"/>
            </w:tcBorders>
            <w:gridSpan w:val="2"/>
            <w:shd w:val="clear" w:color="auto" w:fill="CCEEFF"/>
          </w:tcPr>
          <w:p>
            <w:pPr>
              <w:ind w:left="320"/>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98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96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600" w:type="dxa"/>
            <w:vAlign w:val="bottom"/>
            <w:tcBorders>
              <w:top w:val="single" w:sz="8" w:color="CCEEFF"/>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8,937</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7" w:lineRule="exact"/>
        <w:rPr>
          <w:rFonts w:ascii="Arial" w:cs="Arial" w:eastAsia="Arial" w:hAnsi="Arial"/>
          <w:sz w:val="12"/>
          <w:szCs w:val="12"/>
          <w:color w:val="auto"/>
        </w:rPr>
      </w:pPr>
    </w:p>
    <w:p>
      <w:pPr>
        <w:ind w:left="340" w:hanging="332"/>
        <w:spacing w:after="0" w:line="216"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hanging="332"/>
        <w:spacing w:after="0" w:line="234"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line="216"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All debt investments are income producing. Equity and warrant investments are non-income producing, unless otherwise noted.</w:t>
      </w: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equity investment is income producing, based on rate disclosed.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2019,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or Dividends</w:t>
            </w: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35"/>
        </w:trPr>
        <w:tc>
          <w:tcPr>
            <w:tcW w:w="110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w w:val="83"/>
              </w:rPr>
              <w:t xml:space="preserve">Company </w:t>
            </w:r>
            <w:r>
              <w:rPr>
                <w:rFonts w:ascii="Arial" w:cs="Arial" w:eastAsia="Arial" w:hAnsi="Arial"/>
                <w:sz w:val="20"/>
                <w:szCs w:val="20"/>
                <w:b w:val="1"/>
                <w:bCs w:val="1"/>
                <w:color w:val="auto"/>
                <w:w w:val="83"/>
                <w:vertAlign w:val="superscript"/>
              </w:rPr>
              <w:t>(4)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Principal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Credited to</w:t>
            </w:r>
          </w:p>
        </w:tc>
        <w:tc>
          <w:tcPr>
            <w:tcW w:w="8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2"/>
              </w:rPr>
              <w:t>2018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1"/>
                <w:szCs w:val="11"/>
                <w:color w:val="auto"/>
              </w:rPr>
            </w:pPr>
          </w:p>
        </w:tc>
        <w:tc>
          <w:tcPr>
            <w:tcW w:w="740" w:type="dxa"/>
            <w:vAlign w:val="bottom"/>
            <w:gridSpan w:val="2"/>
          </w:tcPr>
          <w:p>
            <w:pPr>
              <w:jc w:val="right"/>
              <w:ind w:right="318"/>
              <w:spacing w:after="0" w:line="135"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338"/>
              <w:spacing w:after="0" w:line="135" w:lineRule="exact"/>
              <w:rPr>
                <w:sz w:val="20"/>
                <w:szCs w:val="20"/>
                <w:color w:val="auto"/>
              </w:rPr>
            </w:pPr>
            <w:r>
              <w:rPr>
                <w:rFonts w:ascii="Arial" w:cs="Arial" w:eastAsia="Arial" w:hAnsi="Arial"/>
                <w:sz w:val="13"/>
                <w:szCs w:val="13"/>
                <w:b w:val="1"/>
                <w:bCs w:val="1"/>
                <w:color w:val="auto"/>
                <w:w w:val="98"/>
              </w:rPr>
              <w:t>Realized</w:t>
            </w:r>
          </w:p>
        </w:tc>
        <w:tc>
          <w:tcPr>
            <w:tcW w:w="900" w:type="dxa"/>
            <w:vAlign w:val="bottom"/>
            <w:gridSpan w:val="3"/>
          </w:tcPr>
          <w:p>
            <w:pPr>
              <w:jc w:val="center"/>
              <w:ind w:right="9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Fair Value</w:t>
            </w:r>
          </w:p>
        </w:tc>
        <w:tc>
          <w:tcPr>
            <w:tcW w:w="100" w:type="dxa"/>
            <w:vAlign w:val="bottom"/>
          </w:tcPr>
          <w:p>
            <w:pPr>
              <w:spacing w:after="0"/>
              <w:rPr>
                <w:sz w:val="14"/>
                <w:szCs w:val="14"/>
                <w:color w:val="auto"/>
              </w:rPr>
            </w:pPr>
          </w:p>
        </w:tc>
        <w:tc>
          <w:tcPr>
            <w:tcW w:w="980" w:type="dxa"/>
            <w:vAlign w:val="bottom"/>
            <w:gridSpan w:val="3"/>
          </w:tcPr>
          <w:p>
            <w:pPr>
              <w:jc w:val="right"/>
              <w:ind w:right="260"/>
              <w:spacing w:after="0" w:line="162" w:lineRule="exact"/>
              <w:rPr>
                <w:sz w:val="20"/>
                <w:szCs w:val="20"/>
                <w:color w:val="auto"/>
              </w:rPr>
            </w:pPr>
            <w:r>
              <w:rPr>
                <w:rFonts w:ascii="Arial" w:cs="Arial" w:eastAsia="Arial" w:hAnsi="Arial"/>
                <w:sz w:val="12"/>
                <w:szCs w:val="12"/>
                <w:b w:val="1"/>
                <w:bCs w:val="1"/>
                <w:color w:val="auto"/>
                <w:w w:val="95"/>
              </w:rPr>
              <w:t xml:space="preserve">Additions </w:t>
            </w:r>
            <w:r>
              <w:rPr>
                <w:rFonts w:ascii="Arial" w:cs="Arial" w:eastAsia="Arial" w:hAnsi="Arial"/>
                <w:sz w:val="18"/>
                <w:szCs w:val="18"/>
                <w:b w:val="1"/>
                <w:bCs w:val="1"/>
                <w:color w:val="auto"/>
                <w:w w:val="95"/>
                <w:vertAlign w:val="superscript"/>
              </w:rPr>
              <w:t>(2)</w:t>
            </w:r>
          </w:p>
        </w:tc>
        <w:tc>
          <w:tcPr>
            <w:tcW w:w="90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Reductions </w:t>
            </w:r>
            <w:r>
              <w:rPr>
                <w:rFonts w:ascii="Arial" w:cs="Arial" w:eastAsia="Arial" w:hAnsi="Arial"/>
                <w:sz w:val="18"/>
                <w:szCs w:val="18"/>
                <w:b w:val="1"/>
                <w:bCs w:val="1"/>
                <w:color w:val="auto"/>
                <w:vertAlign w:val="superscript"/>
              </w:rPr>
              <w:t>(3)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w w:val="86"/>
              </w:rPr>
              <w:t>Gain/(Loss)</w:t>
            </w:r>
          </w:p>
        </w:tc>
        <w:tc>
          <w:tcPr>
            <w:tcW w:w="900" w:type="dxa"/>
            <w:vAlign w:val="bottom"/>
            <w:gridSpan w:val="3"/>
          </w:tcPr>
          <w:p>
            <w:pPr>
              <w:jc w:val="center"/>
              <w:ind w:right="78"/>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w w:val="83"/>
              </w:rPr>
              <w:t>Affiliate investments</w:t>
            </w:r>
          </w:p>
        </w:tc>
        <w:tc>
          <w:tcPr>
            <w:tcW w:w="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5"/>
              </w:rPr>
              <w:t>Burgaflex Holdings, LLC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3.0% PIK, Due 3/23/21)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14,384</w:t>
            </w:r>
          </w:p>
        </w:tc>
        <w:tc>
          <w:tcPr>
            <w:tcW w:w="2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370</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(750)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417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135"/>
        </w:trPr>
        <w:tc>
          <w:tcPr>
            <w:tcW w:w="1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5"/>
              </w:rPr>
              <w:t>Burgaflex Holdings, LLC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B</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(1,085,073 shares)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573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35"/>
        </w:trPr>
        <w:tc>
          <w:tcPr>
            <w:tcW w:w="1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5"/>
              </w:rPr>
              <w:t>Burgaflex Holdings, LLC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Class A</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(1,253,198 shares)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432</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Membership Unit Warrants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3,326</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Second Lien Debt (14.9%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(3 month LIBOR + 13.0%, 0.5%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12/29/21)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1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(22.9%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ownership)</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17,610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17,822</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659</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(447</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34,322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90"/>
              </w:rPr>
              <w:t>GA Communications, Inc.</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(5)</w:t>
            </w: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36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gridSpan w:val="2"/>
            <w:vMerge w:val="restart"/>
            <w:shd w:val="clear" w:color="auto" w:fill="CCEEFF"/>
          </w:tcPr>
          <w:p>
            <w:pPr>
              <w:spacing w:after="0" w:line="135" w:lineRule="exact"/>
              <w:rPr>
                <w:sz w:val="20"/>
                <w:szCs w:val="20"/>
                <w:color w:val="auto"/>
              </w:rPr>
            </w:pPr>
            <w:r>
              <w:rPr>
                <w:rFonts w:ascii="Arial" w:cs="Arial" w:eastAsia="Arial" w:hAnsi="Arial"/>
                <w:sz w:val="13"/>
                <w:szCs w:val="13"/>
                <w:color w:val="auto"/>
              </w:rPr>
              <w:t>(1,998 shares, 8.0% PIK</w:t>
            </w: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0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3,761</w:t>
            </w:r>
          </w:p>
        </w:tc>
        <w:tc>
          <w:tcPr>
            <w:tcW w:w="0" w:type="dxa"/>
            <w:vAlign w:val="bottom"/>
          </w:tcPr>
          <w:p>
            <w:pPr>
              <w:spacing w:after="0"/>
              <w:rPr>
                <w:sz w:val="1"/>
                <w:szCs w:val="1"/>
                <w:color w:val="auto"/>
              </w:rPr>
            </w:pPr>
          </w:p>
        </w:tc>
      </w:tr>
      <w:tr>
        <w:trPr>
          <w:trHeight w:val="135"/>
        </w:trPr>
        <w:tc>
          <w:tcPr>
            <w:tcW w:w="1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0"/>
              </w:rPr>
              <w:t>GA Communications, Inc.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Series B-1 Common Stock</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(200,000 shares)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299</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 Inc.</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Second Lien Debt (13.0%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6/16/19)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(5,788)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J&amp;J Produce Holdings, Inc.</w:t>
            </w: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Common Stock (8,182 shares)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(818)</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818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0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J&amp;J Produce Holdings, Inc.</w:t>
            </w: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Common Stock Warrants (6,369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(5,788</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LJS Partners, LLC</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Preferred Units (92,924 units)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LJS Partners,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Membership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(2,593,234 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1,509</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620</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(1,464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(12.0%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1/31/21)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(6.0%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1/31/21)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5"/>
              </w:rPr>
              <w:t>MMI Holdings,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81"/>
              </w:rPr>
              <w:t>(5)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(1,000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6.0% PIK Dividend)</w:t>
            </w: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1,612</w:t>
            </w: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98</w:t>
            </w: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1,710</w:t>
            </w:r>
          </w:p>
        </w:tc>
        <w:tc>
          <w:tcPr>
            <w:tcW w:w="0" w:type="dxa"/>
            <w:vAlign w:val="bottom"/>
          </w:tcPr>
          <w:p>
            <w:pPr>
              <w:spacing w:after="0"/>
              <w:rPr>
                <w:sz w:val="1"/>
                <w:szCs w:val="1"/>
                <w:color w:val="auto"/>
              </w:rPr>
            </w:pPr>
          </w:p>
        </w:tc>
      </w:tr>
      <w:tr>
        <w:trPr>
          <w:trHeight w:val="83"/>
        </w:trPr>
        <w:tc>
          <w:tcPr>
            <w:tcW w:w="10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8"/>
              </w:rPr>
              <w:t>Common Membership Units (45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4,797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(11.0%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6/30/23)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10,100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10,100</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2"/>
              </w:rPr>
              <w:t>Navis Holdings, Inc.</w:t>
            </w:r>
          </w:p>
        </w:tc>
        <w:tc>
          <w:tcPr>
            <w:tcW w:w="280" w:type="dxa"/>
            <w:vAlign w:val="bottom"/>
            <w:gridSpan w:val="2"/>
            <w:shd w:val="clear" w:color="auto" w:fill="CCEEFF"/>
          </w:tcPr>
          <w:p>
            <w:pPr>
              <w:jc w:val="right"/>
              <w:ind w:right="108"/>
              <w:spacing w:after="0"/>
              <w:rPr>
                <w:sz w:val="20"/>
                <w:szCs w:val="20"/>
                <w:color w:val="auto"/>
              </w:rPr>
            </w:pPr>
            <w:r>
              <w:rPr>
                <w:rFonts w:ascii="Arial" w:cs="Arial" w:eastAsia="Arial" w:hAnsi="Arial"/>
                <w:sz w:val="10"/>
                <w:szCs w:val="10"/>
                <w:color w:val="auto"/>
                <w:w w:val="81"/>
              </w:rPr>
              <w:t>(5)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Class A Preferred Stock (1,000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shares, 10.0% Cash Dividend)</w:t>
            </w: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84"/>
        </w:trPr>
        <w:tc>
          <w:tcPr>
            <w:tcW w:w="10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Navis Holdings, Inc.</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Common Stock (60,000 shares)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464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618</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Nth Degree Investment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(6,088,000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Group, LLC</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6,088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6,088</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RAM Payment,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(10.0% Cash,</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1/4/24)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1,212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9,489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9,019</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2"/>
              </w:rPr>
              <w:t>RAM Payment, LLC</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81"/>
              </w:rPr>
              <w:t>(5)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Preferred Units (86,000 Units,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8.0% PIK Dividend)</w:t>
            </w: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928</w:t>
            </w:r>
          </w:p>
        </w:tc>
        <w:tc>
          <w:tcPr>
            <w:tcW w:w="1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797</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1,725</w:t>
            </w:r>
          </w:p>
        </w:tc>
        <w:tc>
          <w:tcPr>
            <w:tcW w:w="0" w:type="dxa"/>
            <w:vAlign w:val="bottom"/>
          </w:tcPr>
          <w:p>
            <w:pPr>
              <w:spacing w:after="0"/>
              <w:rPr>
                <w:sz w:val="1"/>
                <w:szCs w:val="1"/>
                <w:color w:val="auto"/>
              </w:rPr>
            </w:pPr>
          </w:p>
        </w:tc>
      </w:tr>
      <w:tr>
        <w:trPr>
          <w:trHeight w:val="83"/>
        </w:trPr>
        <w:tc>
          <w:tcPr>
            <w:tcW w:w="10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1,212</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10,417</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3"/>
              </w:rPr>
              <w:t>Sierra Hamilton Holdings</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Second Lien Debt (15.0% PIK,</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Corporation</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9/12/23)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35"/>
        </w:trPr>
        <w:tc>
          <w:tcPr>
            <w:tcW w:w="13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3"/>
              </w:rPr>
              <w:t>Sierra Hamilton Holdings</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Common Stock (15,068,000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Corporation</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(1,694)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5,160</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6,854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748</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US Bath Group, LLC</w:t>
            </w: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First Lien Debt (11.5% Cash (1</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month LIBOR + 9.0%, 1.0%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Due 1/2/23)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(12,750)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US Bath Group, LLC</w:t>
            </w: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(500,000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(4,323)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3,823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(1,583)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877" w:orient="portrait"/>
          <w:cols w:equalWidth="0" w:num="1">
            <w:col w:w="11240"/>
          </w:cols>
          <w:pgMar w:left="320" w:top="908" w:right="3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(17,073</w:t>
            </w:r>
          </w:p>
        </w:tc>
        <w:tc>
          <w:tcPr>
            <w:tcW w:w="12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3,823</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(1,583</w:t>
            </w:r>
          </w:p>
        </w:tc>
        <w:tc>
          <w:tcPr>
            <w:tcW w:w="140" w:type="dxa"/>
            <w:vAlign w:val="bottom"/>
            <w:tcBorders>
              <w:top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V12 Holdings, Inc.</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Second Lien Debt</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60" w:type="dxa"/>
            <w:vAlign w:val="bottom"/>
            <w:tcBorders>
              <w:bottom w:val="single" w:sz="8" w:color="auto"/>
            </w:tcBorders>
            <w:gridSpan w:val="4"/>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Affiliate investments</w:t>
            </w:r>
          </w:p>
        </w:tc>
        <w:tc>
          <w:tcPr>
            <w:tcW w:w="18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48"/>
              <w:spacing w:after="0" w:line="102"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8,401</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92,939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30,572</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(24,404</w:t>
            </w:r>
          </w:p>
        </w:tc>
        <w:tc>
          <w:tcPr>
            <w:tcW w:w="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2,288</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48"/>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(2,632</w:t>
            </w:r>
          </w:p>
        </w:tc>
        <w:tc>
          <w:tcPr>
            <w:tcW w:w="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98,763</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i w:val="1"/>
                <w:iCs w:val="1"/>
                <w:color w:val="auto"/>
                <w:w w:val="82"/>
              </w:rPr>
              <w:t>Control investments</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gridSpan w:val="2"/>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82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Second Lien Debt (6.0% PIK,</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Due 8/24/19)</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16,327</w:t>
            </w:r>
          </w:p>
        </w:tc>
        <w:tc>
          <w:tcPr>
            <w:tcW w:w="3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4,084</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(20,411)</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AAE Acquisition, LLC</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Membership Units (2.2% fully</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diluted)</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AAE Acquisition, LLC</w:t>
            </w: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Warrants (58.9% fully diluted)</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16,327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4,084</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(20,428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4"/>
              </w:rPr>
              <w:t>CableOrganizer Acquisition,</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1"/>
              </w:rPr>
              <w:t>First Lien Debt (8.0% Cash, Due</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6/30/21)</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72</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1,842</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(3,550)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4"/>
              </w:rPr>
              <w:t>CableOrganizer Acquisition,</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1"/>
              </w:rPr>
              <w:t>First Lien Debt (8.0% Cash, Due</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6/30/21)</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8,889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(3,424)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(5,465)</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4"/>
              </w:rPr>
              <w:t>CableOrganizer Acquisition,</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Preferred Units - Series A1</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(7,200,000 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5,373</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(5,373)</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4"/>
              </w:rPr>
              <w:t>CableOrganizer Acquisition,</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Preferred Units - Series A</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(4,000,000 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(2,354)</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2,354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4"/>
              </w:rPr>
              <w:t>CableOrganizer Acquisition,</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Common Stock (14.9% fully</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diluted)</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(1,394)</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1,394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4"/>
              </w:rPr>
              <w:t>CableOrganizer Acquisition,</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0"/>
              </w:rPr>
              <w:t>Common Stock Warrants (40.0%</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fully diluted)</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10,597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7,215</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(6,974</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(14,586</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3,748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8"/>
              </w:rPr>
              <w:t>Capitala Senior Loan Fund</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0"/>
              </w:rPr>
              <w:t>Second Lien Debt (6.7% Cash (1</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II, LLC</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month LIBOR + 5.0%), Due</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9/3/24)</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w w:val="98"/>
              </w:rPr>
              <w:t>Capitala Senior Loan Fund</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Membership Units (80.0%</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II, LLC</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ownership)</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1,040</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13,695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13,631</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1,040</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2"/>
              </w:rPr>
              <w:t>Second Lien Debt (10.0% Cash,</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Due 3/31/20)</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(1,862)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2"/>
              </w:rPr>
              <w:t>Second Lien Debt (14.0% Cash,</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4.0% PIK, Due 3/31/20)</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350</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4,325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88</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(4,413)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gridSpan w:val="5"/>
            <w:shd w:val="clear" w:color="auto" w:fill="CCEEFF"/>
          </w:tcPr>
          <w:p>
            <w:pPr>
              <w:spacing w:after="0" w:line="121" w:lineRule="exact"/>
              <w:rPr>
                <w:sz w:val="20"/>
                <w:szCs w:val="20"/>
                <w:color w:val="auto"/>
              </w:rPr>
            </w:pPr>
            <w:r>
              <w:rPr>
                <w:rFonts w:ascii="Arial" w:cs="Arial" w:eastAsia="Arial" w:hAnsi="Arial"/>
                <w:sz w:val="13"/>
                <w:szCs w:val="13"/>
                <w:color w:val="auto"/>
              </w:rPr>
              <w:t>Micro Precision, LLC</w:t>
            </w: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Series A Preferred Units (47</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(1,629)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1,270</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(7,904</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(1,188</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Navis Holdings, Inc.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(11.0% Cash,</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Due 6/30/23)</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90"/>
              </w:rPr>
              <w:t>Navis Holdings, Inc.</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97"/>
              </w:rPr>
              <w:t>(5)</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5"/>
              </w:rPr>
              <w:t>Class A Preferred Stock (1,000</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6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w w:val="97"/>
              </w:rPr>
              <w:t>shares, 10.0% Cash Dividend)</w:t>
            </w: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50</w:t>
            </w:r>
          </w:p>
        </w:tc>
        <w:tc>
          <w:tcPr>
            <w:tcW w:w="24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5"/>
                <w:szCs w:val="5"/>
                <w:color w:val="auto"/>
              </w:rPr>
            </w:pPr>
          </w:p>
        </w:tc>
        <w:tc>
          <w:tcPr>
            <w:tcW w:w="68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10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0"/>
              </w:rPr>
              <w:t>Navis Holdings, Inc.</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3"/>
              </w:rPr>
              <w:t>Common Stock (60,000 shares)</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4,348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2,599</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(4,347)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616</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(11,100</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2,599</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(4,347</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1"/>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(9.0% Cash (1</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month LIBOR + 7.0%, 1.0%</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Floor, 2.0% Ceiling), Due</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12/31/22)</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3,540</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(3,540)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1"/>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First Lien Debt (9.1% Cash (1</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month LIBOR + 7.0%, 1.0%</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Floor, 5.0% Ceiling), Due</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12/31/22)</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107</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(3,708)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1"/>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Preferred Units (4,350,000</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2,174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(2,450)</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276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1"/>
              </w:rPr>
              <w:t>Portrait Studio, LLC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Membership Units (150,000</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6,674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3,540</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(4,332</w:t>
            </w:r>
          </w:p>
        </w:tc>
        <w:tc>
          <w:tcPr>
            <w:tcW w:w="1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(6,158</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6"/>
              </w:rPr>
              <w:t>First Lien Debt (10.5% Cash (1</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month LIBOR + 8.5%, 2.0%</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Floor), Due 12/31/21)</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3,877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119</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3,877</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3,877</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Class A Preferred Units</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(9,041,810 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5,215</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5,215</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2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Membership Units (5,363,982</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Units)</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40" w:type="dxa"/>
            <w:vAlign w:val="bottom"/>
            <w:tcBorders>
              <w:bottom w:val="single" w:sz="8" w:color="auto"/>
            </w:tcBorders>
            <w:gridSpan w:val="3"/>
            <w:shd w:val="clear" w:color="auto" w:fill="CCEEFF"/>
          </w:tcPr>
          <w:p>
            <w:pPr>
              <w:spacing w:after="0" w:line="82" w:lineRule="exact"/>
              <w:rPr>
                <w:sz w:val="20"/>
                <w:szCs w:val="20"/>
                <w:color w:val="auto"/>
              </w:rPr>
            </w:pPr>
            <w:r>
              <w:rPr>
                <w:rFonts w:ascii="Arial" w:cs="Arial" w:eastAsia="Arial" w:hAnsi="Arial"/>
                <w:sz w:val="9"/>
                <w:szCs w:val="9"/>
                <w:b w:val="1"/>
                <w:bCs w:val="1"/>
                <w:i w:val="1"/>
                <w:iCs w:val="1"/>
                <w:color w:val="auto"/>
              </w:rPr>
              <w:t>Total Control investments</w:t>
            </w: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48"/>
              <w:spacing w:after="0" w:line="102"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3,470</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69,145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24,019</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(30,310</w:t>
            </w:r>
          </w:p>
        </w:tc>
        <w:tc>
          <w:tcPr>
            <w:tcW w:w="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(38,573</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CCEEFF"/>
            </w:tcBorders>
            <w:shd w:val="clear" w:color="auto" w:fill="CCEEFF"/>
          </w:tcPr>
          <w:p>
            <w:pPr>
              <w:jc w:val="right"/>
              <w:ind w:right="148"/>
              <w:spacing w:after="0" w:line="102"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(1,558</w:t>
            </w:r>
          </w:p>
        </w:tc>
        <w:tc>
          <w:tcPr>
            <w:tcW w:w="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line="102"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22,723</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7" w:lineRule="exact"/>
        <w:rPr>
          <w:rFonts w:ascii="Arial" w:cs="Arial" w:eastAsia="Arial" w:hAnsi="Arial"/>
          <w:sz w:val="12"/>
          <w:szCs w:val="12"/>
          <w:color w:val="auto"/>
        </w:rPr>
      </w:pPr>
    </w:p>
    <w:p>
      <w:pPr>
        <w:ind w:left="340" w:hanging="332"/>
        <w:spacing w:after="0" w:line="216"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hanging="332"/>
        <w:spacing w:after="0" w:line="234"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Gross reductions include decreases in the cost basis of investments resulting from principal repayments and sales. Gross reductions also includes transfers out of Affiliate or Control classification.</w:t>
      </w:r>
    </w:p>
    <w:p>
      <w:pPr>
        <w:ind w:left="340" w:hanging="332"/>
        <w:spacing w:after="0" w:line="216"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debt investments are income producing. Equity and warrant investments are non-income producing, unless otherwise noted.</w:t>
      </w: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equity investment is income producing, based on rate disclosed.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4" w:right="339" w:bottom="214"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a majority of our non-interested directors, at a meeting on July 30, 2020.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determines the composition of our portfolio, the nature and timing of the changes to our portfolio, and the manner of implementing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11" w:lineRule="exact"/>
        <w:rPr>
          <w:sz w:val="20"/>
          <w:szCs w:val="20"/>
          <w:color w:val="auto"/>
        </w:rPr>
      </w:pPr>
    </w:p>
    <w:p>
      <w:pPr>
        <w:ind w:firstLine="656"/>
        <w:spacing w:after="0" w:line="277" w:lineRule="auto"/>
        <w:tabs>
          <w:tab w:leader="none" w:pos="7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8"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301" w:lineRule="auto"/>
        <w:tabs>
          <w:tab w:leader="none" w:pos="7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57" w:lineRule="exact"/>
        <w:rPr>
          <w:rFonts w:ascii="Arial" w:cs="Arial" w:eastAsia="Arial" w:hAnsi="Arial"/>
          <w:sz w:val="16"/>
          <w:szCs w:val="16"/>
          <w:color w:val="auto"/>
        </w:rPr>
      </w:pPr>
    </w:p>
    <w:p>
      <w:pPr>
        <w:jc w:val="both"/>
        <w:ind w:firstLine="656"/>
        <w:spacing w:after="0" w:line="263" w:lineRule="auto"/>
        <w:tabs>
          <w:tab w:leader="none" w:pos="7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June 30, 2020 and December 31, 2019, the Company had incentive fees payable to the Investment Advisor of $3.7 million related to fees earned in prior years but deferred under the incentive fee deferral mechanism.</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June 30, 2020 and 2019, the Company incurred $1.7 million and $2.0 million in base management fees, respectively. The Company incurred $0.0 and $0.5 million in incentive fees related to pre-incentive fee net investment income for the three months ended June 30, 2020 and 2019, respectively. For the three months ended June 30, 2020 and 2019, our Investment Advisor waived $0.0 and $0.3 million, respectively, in incentive fees.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2020 and 2019, the Company incurred $3.4 million and $4.1 million in base management fees, respectively. The Company incurred $0.0 and $1.5 million in incentive fees related to pre-incentive fee net investment income for the six months ended June 30, 2020 and 2019, respectively. For the six months ended June 30, 2020 and 2019, our Investment Advisor waived $0.0 and $0.3 million, respectively, in incentive fees.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30, 2020.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2020, the Company paid the Administrator $0.4 million and $0.7 million, respectively, for the Company’s allocable portion of the Administrator’s overhead. For the three and six months ended June 30, 2019, the Company paid the Administrator $0.4 million and $0.7 million, respectively, for the Company’s allocable portion of the Administrator’s overhead.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2020 and December 31, 2019, the Company had $3.6 million and $3.7 million, respectively, of management and incentive fees payable to the Investment Advisor. These amounts are reflected in the accompanying consolidated statements of assets and liabilities under the caption “Management and incentive fees payable.”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 2020, the Company purchased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through its wholly owned subsidiary Fund III, uses debenture leverage provided through the SBA to fund a portion of its investment portfolio. As of June 30, 2020 and December 31, 2019, the Company had $150.0 million of SBA-guaranteed debentures outstanding. The Company has issued all SBA-guaranteed debentures that were permitted under each of the Legacy Funds’ respective SBIC licenses (as applicable), and there are no unused SBA debenture commitments remaining. On March 1, 2019, Fund II repaid its outstanding SBA debentures and relinquished its SBIC license. SBA-guaranteed debentures are secured by a lien on all assets of Fund III and were secured by a lien on all assets of Fund II prior to March 1, 2019. As of June 30, 2020, Fund III had total assets of $238.5 million. As of December 31, 2019, Fund III had total assets of $266.3 million.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outstanding balance, and average stated interest and annual charge rate on the SBA-guaranteed debentures for the three and six months ended June 30, 2020 and 2019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7"/>
              </w:rPr>
              <w:t>For the Three Months Ended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5"/>
              </w:rPr>
              <w:t>June 30, 2020</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2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155,118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and annual charge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648"/>
        </w:trPr>
        <w:tc>
          <w:tcPr>
            <w:tcW w:w="5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color w:val="auto"/>
        </w:rPr>
        <w:t>As of June 30, 2020 and December 31, 2019,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SBA Annual</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19,000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gridSpan w:val="2"/>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200" w:type="dxa"/>
            <w:vAlign w:val="bottom"/>
          </w:tcPr>
          <w:p>
            <w:pPr>
              <w:spacing w:after="0"/>
              <w:rPr>
                <w:sz w:val="18"/>
                <w:szCs w:val="18"/>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46,000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200" w:type="dxa"/>
            <w:vAlign w:val="bottom"/>
          </w:tcPr>
          <w:p>
            <w:pPr>
              <w:spacing w:after="0"/>
              <w:rPr>
                <w:sz w:val="18"/>
                <w:szCs w:val="18"/>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29"/>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6"/>
              </w:rPr>
              <w:t>150,000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six months ended June 30, 2020 and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6"/>
              </w:rPr>
              <w:t>For the Three Months Ended</w:t>
            </w:r>
          </w:p>
        </w:tc>
        <w:tc>
          <w:tcPr>
            <w:tcW w:w="220" w:type="dxa"/>
            <w:vAlign w:val="bottom"/>
          </w:tcPr>
          <w:p>
            <w:pPr>
              <w:spacing w:after="0"/>
              <w:rPr>
                <w:sz w:val="20"/>
                <w:szCs w:val="20"/>
                <w:color w:val="auto"/>
              </w:rPr>
            </w:pPr>
          </w:p>
        </w:tc>
        <w:tc>
          <w:tcPr>
            <w:tcW w:w="26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June 30, 2019</w:t>
            </w:r>
          </w:p>
        </w:tc>
        <w:tc>
          <w:tcPr>
            <w:tcW w:w="280" w:type="dxa"/>
            <w:vAlign w:val="bottom"/>
          </w:tcPr>
          <w:p>
            <w:pPr>
              <w:spacing w:after="0"/>
              <w:rPr>
                <w:sz w:val="19"/>
                <w:szCs w:val="19"/>
                <w:color w:val="auto"/>
              </w:rPr>
            </w:pPr>
          </w:p>
        </w:tc>
        <w:tc>
          <w:tcPr>
            <w:tcW w:w="14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3"/>
              </w:rPr>
              <w:t>June 30, 2020</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June 30,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80" w:type="dxa"/>
            <w:vAlign w:val="bottom"/>
            <w:vMerge w:val="continue"/>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260" w:type="dxa"/>
            <w:vAlign w:val="bottom"/>
            <w:vMerge w:val="continue"/>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six months ended June 30, 2020 and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6"/>
              </w:rPr>
              <w:t>For the Three Months Ended</w:t>
            </w:r>
          </w:p>
        </w:tc>
        <w:tc>
          <w:tcPr>
            <w:tcW w:w="220" w:type="dxa"/>
            <w:vAlign w:val="bottom"/>
          </w:tcPr>
          <w:p>
            <w:pPr>
              <w:spacing w:after="0"/>
              <w:rPr>
                <w:sz w:val="20"/>
                <w:szCs w:val="20"/>
                <w:color w:val="auto"/>
              </w:rPr>
            </w:pPr>
          </w:p>
        </w:tc>
        <w:tc>
          <w:tcPr>
            <w:tcW w:w="26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June 30, 2019</w:t>
            </w:r>
          </w:p>
        </w:tc>
        <w:tc>
          <w:tcPr>
            <w:tcW w:w="280" w:type="dxa"/>
            <w:vAlign w:val="bottom"/>
          </w:tcPr>
          <w:p>
            <w:pPr>
              <w:spacing w:after="0"/>
              <w:rPr>
                <w:sz w:val="19"/>
                <w:szCs w:val="19"/>
                <w:color w:val="auto"/>
              </w:rPr>
            </w:pPr>
          </w:p>
        </w:tc>
        <w:tc>
          <w:tcPr>
            <w:tcW w:w="14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3"/>
              </w:rPr>
              <w:t>June 30, 2020</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June 30,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60" w:type="dxa"/>
            <w:vAlign w:val="bottom"/>
            <w:vMerge w:val="continue"/>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648"/>
        </w:trPr>
        <w:tc>
          <w:tcPr>
            <w:tcW w:w="5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“Credit Facility”) with ING Capital, LLC, as administrative agent, arranger, and bookrunner, and the lenders party thereto. The Credit Facility was set to mature on April 30, 2022. On June 19, 2020, the Company unilaterally terminated the Credit Facility.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Borrowings under the Credit Facility bore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Credit Facility, the Company elected what it believed to be an appropriate LIBOR taking into account the Company’s needs at the time as well as the Company’s view of future interest rate movements. The Credit Facility provided for the ability to step-down the pricing of the Credit Facility from LIBOR plus 3.50% to LIBOR plus 3.00% when certain conditions were met. The Company also paid an unused commitment fee at a rate of 0.75% per annum on the unutilized portion of the aggregate commitments under the Credit Facility on each day when the utilized portion of the aggregate commitments was less than 35% for such day and 0.50% per annum on the unutilized portion of the aggregate commitments under the Credit Facility when the utilized portion was greater than 35% for such day.</w:t>
      </w:r>
    </w:p>
    <w:p>
      <w:pPr>
        <w:spacing w:after="0" w:line="18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Credit Facility for the three and six months ended June 30, 2020 and 2019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20"/>
                <w:szCs w:val="20"/>
                <w:color w:val="auto"/>
              </w:rPr>
            </w:pPr>
          </w:p>
        </w:tc>
        <w:tc>
          <w:tcPr>
            <w:tcW w:w="26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For the Six Months Ended</w:t>
            </w:r>
          </w:p>
        </w:tc>
      </w:tr>
      <w:tr>
        <w:trPr>
          <w:trHeight w:val="223"/>
        </w:trPr>
        <w:tc>
          <w:tcPr>
            <w:tcW w:w="5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June 30, 2019</w:t>
            </w:r>
          </w:p>
        </w:tc>
        <w:tc>
          <w:tcPr>
            <w:tcW w:w="280" w:type="dxa"/>
            <w:vAlign w:val="bottom"/>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June 30, 2020</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June 30, 2019</w:t>
            </w:r>
          </w:p>
        </w:tc>
        <w:tc>
          <w:tcPr>
            <w:tcW w:w="160" w:type="dxa"/>
            <w:vAlign w:val="bottom"/>
          </w:tcPr>
          <w:p>
            <w:pPr>
              <w:spacing w:after="0"/>
              <w:rPr>
                <w:sz w:val="19"/>
                <w:szCs w:val="19"/>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307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1,379</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r>
      <w:tr>
        <w:trPr>
          <w:trHeight w:val="26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4"/>
              </w:rPr>
              <w:t>1,322</w:t>
            </w:r>
          </w:p>
        </w:tc>
        <w:tc>
          <w:tcPr>
            <w:tcW w:w="2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79"/>
              </w:rPr>
              <w:t>665</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60" w:type="dxa"/>
            <w:vAlign w:val="bottom"/>
            <w:tcBorders>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w w:val="83"/>
              </w:rPr>
              <w:t>22,252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18,977</w:t>
            </w:r>
          </w:p>
        </w:tc>
        <w:tc>
          <w:tcPr>
            <w:tcW w:w="160" w:type="dxa"/>
            <w:vAlign w:val="bottom"/>
            <w:shd w:val="clear" w:color="auto" w:fill="CCEEFF"/>
          </w:tcPr>
          <w:p>
            <w:pPr>
              <w:spacing w:after="0"/>
              <w:rPr>
                <w:sz w:val="17"/>
                <w:szCs w:val="17"/>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tcPr>
          <w:p>
            <w:pPr>
              <w:spacing w:after="0"/>
              <w:rPr>
                <w:sz w:val="20"/>
                <w:szCs w:val="20"/>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the Company had $0.0 outstanding under the Credit Facility. The Credit Facility was secured by investments and cash held by the Company, exclusive of assets pledged as collateral for the Company’s SBA debentures. Assets pledged to secure the Credit Facility had a carrying value of $159.8 million at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1"/>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540"/>
              <w:spacing w:after="0" w:line="271" w:lineRule="exact"/>
              <w:rPr>
                <w:sz w:val="20"/>
                <w:szCs w:val="20"/>
                <w:color w:val="auto"/>
              </w:rPr>
            </w:pPr>
            <w:r>
              <w:rPr>
                <w:rFonts w:ascii="Arial" w:cs="Arial" w:eastAsia="Arial" w:hAnsi="Arial"/>
                <w:sz w:val="18"/>
                <w:szCs w:val="18"/>
                <w:b w:val="1"/>
                <w:bCs w:val="1"/>
                <w:color w:val="auto"/>
                <w:w w:val="96"/>
              </w:rPr>
              <w:t xml:space="preserve">Value </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60,300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60,300</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540"/>
              <w:spacing w:after="0" w:line="271" w:lineRule="exact"/>
              <w:rPr>
                <w:sz w:val="20"/>
                <w:szCs w:val="20"/>
                <w:color w:val="auto"/>
              </w:rPr>
            </w:pPr>
            <w:r>
              <w:rPr>
                <w:rFonts w:ascii="Arial" w:cs="Arial" w:eastAsia="Arial" w:hAnsi="Arial"/>
                <w:sz w:val="18"/>
                <w:szCs w:val="18"/>
                <w:b w:val="1"/>
                <w:bCs w:val="1"/>
                <w:color w:val="auto"/>
                <w:w w:val="96"/>
              </w:rPr>
              <w:t xml:space="preserve">Value </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74,970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74,970</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51,498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929" w:gutter="0" w:footer="0" w:header="0"/>
        </w:sectPr>
      </w:pPr>
    </w:p>
    <w:bookmarkStart w:id="41" w:name="page42"/>
    <w:bookmarkEnd w:id="41"/>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fair value of the Credit Facility was based on future contractual cash payments discounted at estimated market interest rates for similar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2020, the Company recognized directors’ fees expense of $0.1 million and $0.2 million, respectively. For the three and six months ended June 30, 2019, the Company recognized directors’ fees expense of $0.1 million and $0.2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accordance with the provisions of ASC Topic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diluted earnings per share. For the three and six months ended June 30, 2020 and 2019, 3.3 million in convertible shares related to the 2022 Convertible Notes were considered anti-dilutive.</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and six months ended June 30, 2020 and 2019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0"/>
                <w:szCs w:val="20"/>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June 30, 2020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00" w:type="dxa"/>
            <w:vAlign w:val="bottom"/>
          </w:tcPr>
          <w:p>
            <w:pPr>
              <w:spacing w:after="0"/>
              <w:rPr>
                <w:sz w:val="19"/>
                <w:szCs w:val="19"/>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16,266,484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16,096,678</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16,243,538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16,079,885</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Net increase (decrease) in net assets per share resulting from operations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common stock, or a combination of cash and common stock.</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30, 2020, the Company’s Board determined not to declare a distribution for the second quarter of 2020 due to the impact of the COVID-19 pandemic on the Company’s expected net investment income. On July 30, 2020, the Company’s Board determined not to declare a distribution for the third quarter of 2020 due to the impact of the COVID-19 pandemic on the Company’s expected net investment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86" w:lineRule="auto"/>
        <w:rPr>
          <w:sz w:val="20"/>
          <w:szCs w:val="20"/>
          <w:color w:val="auto"/>
        </w:rPr>
      </w:pPr>
      <w:r>
        <w:rPr>
          <w:rFonts w:ascii="Arial" w:cs="Arial" w:eastAsia="Arial" w:hAnsi="Arial"/>
          <w:sz w:val="17"/>
          <w:szCs w:val="17"/>
          <w:color w:val="auto"/>
        </w:rPr>
        <w:t>Tax characteristics of all distributions paid are reported to stockholders on Form 1099 after the end of the calendar year. For the three and six months ended June 30, 2020, we estimate that total distributions of $0.0 and $4.1 million, respectively, were classified as a return of capital. Distributions may be subject to reclassification based on future dividends and operating results and will not be determined until the end of the year.</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2020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180" w:type="dxa"/>
            <w:vAlign w:val="bottom"/>
          </w:tcPr>
          <w:p>
            <w:pPr>
              <w:spacing w:after="0"/>
              <w:rPr>
                <w:sz w:val="18"/>
                <w:szCs w:val="18"/>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2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2020" w:type="dxa"/>
            <w:vAlign w:val="bottom"/>
          </w:tcPr>
          <w:p>
            <w:pPr>
              <w:ind w:left="520"/>
              <w:spacing w:after="0"/>
              <w:rPr>
                <w:sz w:val="20"/>
                <w:szCs w:val="20"/>
                <w:color w:val="auto"/>
              </w:rPr>
            </w:pPr>
            <w:r>
              <w:rPr>
                <w:rFonts w:ascii="Arial" w:cs="Arial" w:eastAsia="Arial" w:hAnsi="Arial"/>
                <w:sz w:val="18"/>
                <w:szCs w:val="18"/>
                <w:b w:val="1"/>
                <w:bCs w:val="1"/>
                <w:color w:val="auto"/>
              </w:rPr>
              <w:t>Record Date</w:t>
            </w:r>
          </w:p>
        </w:tc>
        <w:tc>
          <w:tcPr>
            <w:tcW w:w="240" w:type="dxa"/>
            <w:vAlign w:val="bottom"/>
          </w:tcPr>
          <w:p>
            <w:pPr>
              <w:spacing w:after="0"/>
              <w:rPr>
                <w:sz w:val="20"/>
                <w:szCs w:val="20"/>
                <w:color w:val="auto"/>
              </w:rPr>
            </w:pPr>
          </w:p>
        </w:tc>
        <w:tc>
          <w:tcPr>
            <w:tcW w:w="2240" w:type="dxa"/>
            <w:vAlign w:val="bottom"/>
            <w:gridSpan w:val="2"/>
          </w:tcPr>
          <w:p>
            <w:pPr>
              <w:ind w:left="46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18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r>
      <w:tr>
        <w:trPr>
          <w:trHeight w:val="209"/>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2020</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January 2, 2020</w:t>
            </w:r>
          </w:p>
        </w:tc>
        <w:tc>
          <w:tcPr>
            <w:tcW w:w="2020" w:type="dxa"/>
            <w:vAlign w:val="bottom"/>
          </w:tcPr>
          <w:p>
            <w:pPr>
              <w:spacing w:after="0"/>
              <w:rPr>
                <w:sz w:val="20"/>
                <w:szCs w:val="20"/>
                <w:color w:val="auto"/>
              </w:rPr>
            </w:pPr>
            <w:r>
              <w:rPr>
                <w:rFonts w:ascii="Arial" w:cs="Arial" w:eastAsia="Arial" w:hAnsi="Arial"/>
                <w:sz w:val="18"/>
                <w:szCs w:val="18"/>
                <w:color w:val="auto"/>
              </w:rPr>
              <w:t>February 20, 2020</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February 27, 2020</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16,556</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r>
      <w:tr>
        <w:trPr>
          <w:trHeight w:val="230"/>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March 23, 2020</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March 30, 2020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31,566</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r>
      <w:tr>
        <w:trPr>
          <w:trHeight w:val="223"/>
        </w:trPr>
        <w:tc>
          <w:tcPr>
            <w:tcW w:w="3840" w:type="dxa"/>
            <w:vAlign w:val="bottom"/>
            <w:gridSpan w:val="3"/>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six months ended June 30, 2019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18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2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2020" w:type="dxa"/>
            <w:vAlign w:val="bottom"/>
          </w:tcPr>
          <w:p>
            <w:pPr>
              <w:ind w:left="520"/>
              <w:spacing w:after="0"/>
              <w:rPr>
                <w:sz w:val="20"/>
                <w:szCs w:val="20"/>
                <w:color w:val="auto"/>
              </w:rPr>
            </w:pPr>
            <w:r>
              <w:rPr>
                <w:rFonts w:ascii="Arial" w:cs="Arial" w:eastAsia="Arial" w:hAnsi="Arial"/>
                <w:sz w:val="18"/>
                <w:szCs w:val="18"/>
                <w:b w:val="1"/>
                <w:bCs w:val="1"/>
                <w:color w:val="auto"/>
              </w:rPr>
              <w:t>Record Date</w:t>
            </w:r>
          </w:p>
        </w:tc>
        <w:tc>
          <w:tcPr>
            <w:tcW w:w="240" w:type="dxa"/>
            <w:vAlign w:val="bottom"/>
          </w:tcPr>
          <w:p>
            <w:pPr>
              <w:spacing w:after="0"/>
              <w:rPr>
                <w:sz w:val="20"/>
                <w:szCs w:val="20"/>
                <w:color w:val="auto"/>
              </w:rPr>
            </w:pPr>
          </w:p>
        </w:tc>
        <w:tc>
          <w:tcPr>
            <w:tcW w:w="2240" w:type="dxa"/>
            <w:vAlign w:val="bottom"/>
            <w:gridSpan w:val="2"/>
          </w:tcPr>
          <w:p>
            <w:pPr>
              <w:ind w:left="46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2019</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020" w:type="dxa"/>
            <w:vAlign w:val="bottom"/>
          </w:tcPr>
          <w:p>
            <w:pPr>
              <w:spacing w:after="0"/>
              <w:rPr>
                <w:sz w:val="20"/>
                <w:szCs w:val="20"/>
                <w:color w:val="auto"/>
              </w:rPr>
            </w:pPr>
            <w:r>
              <w:rPr>
                <w:rFonts w:ascii="Arial" w:cs="Arial" w:eastAsia="Arial" w:hAnsi="Arial"/>
                <w:sz w:val="18"/>
                <w:szCs w:val="18"/>
                <w:color w:val="auto"/>
              </w:rPr>
              <w:t>February 20, 2019</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February 27, 2019</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10,570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March 21, 2019</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March 28, 2019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020" w:type="dxa"/>
            <w:vAlign w:val="bottom"/>
          </w:tcPr>
          <w:p>
            <w:pPr>
              <w:spacing w:after="0"/>
              <w:rPr>
                <w:sz w:val="20"/>
                <w:szCs w:val="20"/>
                <w:color w:val="auto"/>
              </w:rPr>
            </w:pPr>
            <w:r>
              <w:rPr>
                <w:rFonts w:ascii="Arial" w:cs="Arial" w:eastAsia="Arial" w:hAnsi="Arial"/>
                <w:sz w:val="18"/>
                <w:szCs w:val="18"/>
                <w:color w:val="auto"/>
              </w:rPr>
              <w:t>April 22, 2019</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April 29, 2019</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11,479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May 23, 2019</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May 30, 2019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020" w:type="dxa"/>
            <w:vAlign w:val="bottom"/>
          </w:tcPr>
          <w:p>
            <w:pPr>
              <w:spacing w:after="0"/>
              <w:rPr>
                <w:sz w:val="20"/>
                <w:szCs w:val="20"/>
                <w:color w:val="auto"/>
              </w:rPr>
            </w:pPr>
            <w:r>
              <w:rPr>
                <w:rFonts w:ascii="Arial" w:cs="Arial" w:eastAsia="Arial" w:hAnsi="Arial"/>
                <w:sz w:val="18"/>
                <w:szCs w:val="18"/>
                <w:color w:val="auto"/>
              </w:rPr>
              <w:t>June 20, 2019</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June 27, 2019</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0.0833</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11,747</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23"/>
        </w:trPr>
        <w:tc>
          <w:tcPr>
            <w:tcW w:w="38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Financial Highlights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six months ended June 30, 2020 and 2019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8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2020</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60" w:type="dxa"/>
            <w:vAlign w:val="bottom"/>
          </w:tcPr>
          <w:p>
            <w:pPr>
              <w:spacing w:after="0"/>
              <w:rPr>
                <w:sz w:val="19"/>
                <w:szCs w:val="19"/>
                <w:color w:val="auto"/>
              </w:rPr>
            </w:pP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11.88</w:t>
            </w:r>
          </w:p>
        </w:tc>
      </w:tr>
      <w:tr>
        <w:trPr>
          <w:trHeight w:val="256"/>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 (loss)</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r>
      <w:tr>
        <w:trPr>
          <w:trHeight w:val="257"/>
        </w:trPr>
        <w:tc>
          <w:tcPr>
            <w:tcW w:w="8300" w:type="dxa"/>
            <w:vAlign w:val="bottom"/>
          </w:tcPr>
          <w:p>
            <w:pPr>
              <w:spacing w:after="0" w:line="256" w:lineRule="exact"/>
              <w:rPr>
                <w:sz w:val="20"/>
                <w:szCs w:val="20"/>
                <w:color w:val="auto"/>
              </w:rPr>
            </w:pPr>
            <w:r>
              <w:rPr>
                <w:rFonts w:ascii="Arial" w:cs="Arial" w:eastAsia="Arial" w:hAnsi="Arial"/>
                <w:sz w:val="18"/>
                <w:szCs w:val="18"/>
                <w:color w:val="auto"/>
              </w:rPr>
              <w:t>Net realized loss on investments</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56"/>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depreciation on investments</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r>
      <w:tr>
        <w:trPr>
          <w:trHeight w:val="257"/>
        </w:trPr>
        <w:tc>
          <w:tcPr>
            <w:tcW w:w="8300" w:type="dxa"/>
            <w:vAlign w:val="bottom"/>
          </w:tcPr>
          <w:p>
            <w:pPr>
              <w:spacing w:after="0" w:line="256" w:lineRule="exact"/>
              <w:rPr>
                <w:sz w:val="20"/>
                <w:szCs w:val="20"/>
                <w:color w:val="auto"/>
              </w:rPr>
            </w:pPr>
            <w:r>
              <w:rPr>
                <w:rFonts w:ascii="Arial" w:cs="Arial" w:eastAsia="Arial" w:hAnsi="Arial"/>
                <w:sz w:val="18"/>
                <w:szCs w:val="18"/>
                <w:color w:val="auto"/>
              </w:rPr>
              <w:t>Tax provision</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57"/>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 return of capital</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Distributions – net investment income</w:t>
            </w:r>
            <w:r>
              <w:rPr>
                <w:rFonts w:ascii="Arial" w:cs="Arial" w:eastAsia="Arial" w:hAnsi="Arial"/>
                <w:sz w:val="29"/>
                <w:szCs w:val="29"/>
                <w:color w:val="auto"/>
                <w:vertAlign w:val="superscript"/>
              </w:rPr>
              <w:t>(2)</w:t>
            </w:r>
          </w:p>
        </w:tc>
        <w:tc>
          <w:tcPr>
            <w:tcW w:w="8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70"/>
        </w:trPr>
        <w:tc>
          <w:tcPr>
            <w:tcW w:w="83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(3)</w:t>
            </w:r>
          </w:p>
        </w:tc>
        <w:tc>
          <w:tcPr>
            <w:tcW w:w="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Borders>
              <w:bottom w:val="single" w:sz="8" w:color="CCEEFF"/>
            </w:tcBorders>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153,863</w:t>
            </w:r>
          </w:p>
        </w:tc>
        <w:tc>
          <w:tcPr>
            <w:tcW w:w="1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16,266,484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16,118,948</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(4)</w:t>
            </w:r>
          </w:p>
        </w:tc>
        <w:tc>
          <w:tcPr>
            <w:tcW w:w="8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(68.36)%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40.11%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(loss) to average net assets</w:t>
            </w:r>
            <w:r>
              <w:rPr>
                <w:rFonts w:ascii="Arial" w:cs="Arial" w:eastAsia="Arial" w:hAnsi="Arial"/>
                <w:sz w:val="29"/>
                <w:szCs w:val="29"/>
                <w:color w:val="auto"/>
                <w:vertAlign w:val="superscript"/>
              </w:rPr>
              <w:t>(5)</w:t>
            </w:r>
          </w:p>
        </w:tc>
        <w:tc>
          <w:tcPr>
            <w:tcW w:w="8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9.98%</w:t>
            </w:r>
          </w:p>
        </w:tc>
      </w:tr>
      <w:tr>
        <w:trPr>
          <w:trHeight w:val="257"/>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incentive fees, net of incentive fee waiver, to average net assets</w:t>
            </w:r>
            <w:r>
              <w:rPr>
                <w:rFonts w:ascii="Arial" w:cs="Arial" w:eastAsia="Arial" w:hAnsi="Arial"/>
                <w:sz w:val="29"/>
                <w:szCs w:val="29"/>
                <w:color w:val="auto"/>
                <w:vertAlign w:val="superscript"/>
              </w:rPr>
              <w:t>(6)(7)</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(8)</w:t>
            </w:r>
          </w:p>
        </w:tc>
        <w:tc>
          <w:tcPr>
            <w:tcW w:w="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14.80%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r>
      <w:tr>
        <w:trPr>
          <w:trHeight w:val="256"/>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tax provision to average net assets</w:t>
            </w:r>
            <w:r>
              <w:rPr>
                <w:rFonts w:ascii="Arial" w:cs="Arial" w:eastAsia="Arial" w:hAnsi="Arial"/>
                <w:sz w:val="29"/>
                <w:szCs w:val="29"/>
                <w:color w:val="auto"/>
                <w:vertAlign w:val="superscript"/>
              </w:rPr>
              <w:t>(8)</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0.72%</w:t>
            </w: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(8)</w:t>
            </w:r>
          </w:p>
        </w:tc>
        <w:tc>
          <w:tcPr>
            <w:tcW w:w="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r>
      <w:tr>
        <w:trPr>
          <w:trHeight w:val="256"/>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total expenses including tax benefit, to average net assets</w:t>
            </w:r>
            <w:r>
              <w:rPr>
                <w:rFonts w:ascii="Arial" w:cs="Arial" w:eastAsia="Arial" w:hAnsi="Arial"/>
                <w:sz w:val="29"/>
                <w:szCs w:val="29"/>
                <w:color w:val="auto"/>
                <w:vertAlign w:val="superscript"/>
              </w:rPr>
              <w:t>(5)(6)</w:t>
            </w:r>
          </w:p>
        </w:tc>
        <w:tc>
          <w:tcPr>
            <w:tcW w:w="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w:t>
            </w: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(9)</w:t>
            </w:r>
          </w:p>
        </w:tc>
        <w:tc>
          <w:tcPr>
            <w:tcW w:w="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8.09%</w:t>
            </w:r>
          </w:p>
        </w:tc>
      </w:tr>
      <w:tr>
        <w:trPr>
          <w:trHeight w:val="256"/>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277,088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301,183</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18.69</w:t>
            </w:r>
          </w:p>
        </w:tc>
      </w:tr>
      <w:tr>
        <w:trPr>
          <w:trHeight w:val="256"/>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2,165</w:t>
            </w:r>
          </w:p>
        </w:tc>
      </w:tr>
      <w:tr>
        <w:trPr>
          <w:trHeight w:val="648"/>
        </w:trPr>
        <w:tc>
          <w:tcPr>
            <w:tcW w:w="83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541" w:gutter="0" w:footer="0" w:header="0"/>
        </w:sectPr>
      </w:pPr>
    </w:p>
    <w:bookmarkStart w:id="43" w:name="page44"/>
    <w:bookmarkEnd w:id="43"/>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Distributions may be subject to reclassification based on future dividends and operating results and will not be determined until the end of the year.</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impact of different share amounts used in calculating per share data based on weighted average shares outstanding during the period and certain per share data based on shares outstanding as of a period end or transaction date.</w:t>
      </w: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Ratios are annualized. Incentive fees, included within the ratio are not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ratio of waived incentive fees to average net assets was 0.00% and 0.16%, respectively, for the six months ended June 30, 2020 and 2019.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Ratio is not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9"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June 30, 2020 and 2019 pursuant to the exemptive relief granted by the SEC in June 2014 that permits us to exclude such debentures from the definition of senior securities in the 150% asset coverage ratio we are required to maintain under the 1940 Act. Asset coverage per unit is expressed in terms of dollar amounts per $1,000 of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July 2020, the Company received $2.4 million in principal repayments on its first lien debt investment in BigMouth,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2020, the Board approved a one-for-six reverse stock split of the Company’s common stock which is expected to be effective at 5:00 p.m. Eastern Standard Time on August 21, 2020 (the "Effective Time"). The Company's common stock is expected to begin trading on a split-adjusted basis at the market open on August 24, 2020. At the Effective Time, every six (6) issued and outstanding shares of the Company's common stock will be converted into one (1) share of the Company's common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4" w:lineRule="exact"/>
        <w:rPr>
          <w:sz w:val="20"/>
          <w:szCs w:val="20"/>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225" w:lineRule="exact"/>
        <w:rPr>
          <w:rFonts w:ascii="Arial" w:cs="Arial" w:eastAsia="Arial" w:hAnsi="Arial"/>
          <w:sz w:val="18"/>
          <w:szCs w:val="18"/>
          <w:color w:val="auto"/>
        </w:rPr>
      </w:pPr>
    </w:p>
    <w:p>
      <w:pPr>
        <w:ind w:left="1660" w:right="20" w:hanging="343"/>
        <w:spacing w:after="0" w:line="277" w:lineRule="auto"/>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170" w:lineRule="exact"/>
        <w:rPr>
          <w:rFonts w:ascii="Arial" w:cs="Arial" w:eastAsia="Arial" w:hAnsi="Arial"/>
          <w:sz w:val="18"/>
          <w:szCs w:val="18"/>
          <w:color w:val="auto"/>
        </w:rPr>
      </w:pPr>
    </w:p>
    <w:p>
      <w:pPr>
        <w:ind w:left="1660" w:hanging="343"/>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3"/>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right="20" w:hanging="343"/>
        <w:spacing w:after="0" w:line="277" w:lineRule="auto"/>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170" w:lineRule="exact"/>
        <w:rPr>
          <w:rFonts w:ascii="Arial" w:cs="Arial" w:eastAsia="Arial" w:hAnsi="Arial"/>
          <w:sz w:val="18"/>
          <w:szCs w:val="18"/>
          <w:color w:val="auto"/>
        </w:rPr>
      </w:pPr>
    </w:p>
    <w:p>
      <w:pPr>
        <w:ind w:left="1660" w:hanging="343"/>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3"/>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3"/>
        <w:spacing w:after="0"/>
        <w:tabs>
          <w:tab w:leader="none" w:pos="1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timing of cash flows, if any, from the operations of our portfolio companies and the impact of the COVID-19 pandemic thereon.</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1660" w:right="20" w:hanging="343"/>
        <w:spacing w:after="0" w:line="308"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146" w:lineRule="exact"/>
        <w:rPr>
          <w:rFonts w:ascii="Arial" w:cs="Arial" w:eastAsia="Arial" w:hAnsi="Arial"/>
          <w:sz w:val="17"/>
          <w:szCs w:val="17"/>
          <w:color w:val="auto"/>
        </w:rPr>
      </w:pPr>
    </w:p>
    <w:p>
      <w:pPr>
        <w:ind w:left="1660" w:right="20" w:hanging="343"/>
        <w:spacing w:after="0" w:line="277" w:lineRule="auto"/>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 and the impact of the COVID-19 pandemic thereon;</w:t>
      </w:r>
    </w:p>
    <w:p>
      <w:pPr>
        <w:spacing w:after="0" w:line="170" w:lineRule="exact"/>
        <w:rPr>
          <w:rFonts w:ascii="Arial" w:cs="Arial" w:eastAsia="Arial" w:hAnsi="Arial"/>
          <w:sz w:val="18"/>
          <w:szCs w:val="18"/>
          <w:color w:val="auto"/>
        </w:rPr>
      </w:pPr>
    </w:p>
    <w:p>
      <w:pPr>
        <w:ind w:left="1660" w:hanging="343"/>
        <w:spacing w:after="0"/>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right="20" w:hanging="343"/>
        <w:spacing w:after="0" w:line="277" w:lineRule="auto"/>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 and in this quarterly report on Form 10-Q.</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2019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invest in first lien loans and, to a lesser extent, second lien loans and equity securities issued by lower middle-market companies and traditional middle-market companies.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total assets), if certain requirements are met. On November 1, 2018, our board of directors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June 30, 2020, our asset coverage ratio was 182.7%.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52" w:lineRule="auto"/>
        <w:tabs>
          <w:tab w:leader="none" w:pos="1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SBA debentures and relinquished its SBIC license.</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Fund III, our subsidiary, is licensed under the Small Business Investment Company (“SBIC”) Act and has elected to be regulated as a BDC under the 1940 Act. Fund II, our subsidiary, was licensed under the SBIC Act until March 1, 2019 and has elected to be regulated as a BDC under the 1940 Act.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is considered an investment company as defined in Accounting Standards Codification (“ASC”) Topic 946 — </w:t>
      </w:r>
      <w:r>
        <w:rPr>
          <w:rFonts w:ascii="Arial" w:cs="Arial" w:eastAsia="Arial" w:hAnsi="Arial"/>
          <w:sz w:val="16"/>
          <w:szCs w:val="16"/>
          <w:i w:val="1"/>
          <w:iCs w:val="1"/>
          <w:color w:val="auto"/>
        </w:rPr>
        <w:t>Financial Services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Investment Companies</w:t>
      </w:r>
      <w:r>
        <w:rPr>
          <w:rFonts w:ascii="Arial" w:cs="Arial" w:eastAsia="Arial" w:hAnsi="Arial"/>
          <w:sz w:val="18"/>
          <w:szCs w:val="18"/>
          <w:color w:val="auto"/>
        </w:rPr>
        <w:t xml:space="preserve">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June 30, 2020 and December 31, 2019 and for the periods ended June 30, 2020 and 2019 are presented on a consolidated basis. The effects of all intercompany transactions between the Company and its subsidiaries (Fund II, Fund III,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(the “Exchange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Non-accrual investments: </w:t>
      </w:r>
      <w:r>
        <w:rPr>
          <w:rFonts w:ascii="Arial" w:cs="Arial" w:eastAsia="Arial" w:hAnsi="Arial"/>
          <w:sz w:val="18"/>
          <w:szCs w:val="18"/>
          <w:color w:val="auto"/>
        </w:rPr>
        <w:t>Management reviews all loans that become 90 days or more past due, or when there is reasonable doubt that principal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2017, the Company elected to amend its tax year end from August 31 to December 31 and filed a tax return for the four months ended December 31, 2017.</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periods ended December 31, 2019, December 31, 2018, December 31, 2017, and August 31, 2017 remain subject to examination by U.S. federal, state, and local tax authorities. No interest expense or penalties have been assessed for the periods ended June 30, 2020 and 2019. If the Company was required to recognize interest and penalties, if any, related to unrecognized tax benefits this would be recognized as income tax expense in the consolidated statements of operations.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Taxable Subsidiaries record deferred tax assets or liabilities related to temporary book versus tax differences on the income or loss generated by the underlying equity investments held by the Taxable Subsidiaries. As of June 30, 2020 and December 31, 2019, the Company recorded a net deferred tax asset of $0.0. For the three and six months ended June 30, 2020, the Company recorded a tax provision of $0.0. For the three and six months ended June 30, 2019, the Company recorded a tax provision of $(0.7) million and $(0.6) million, respectively. As of June 30, 2020 and December 31, 2019, the valuation allowance on the Company’s deferred tax asset was $4.0 million and $3.2 million, respectively. During the three and six months ended June 30, 2020, the Company recognized an increase (decrease) in the valuation allowance of $(27) thousand and $0.8 million, respectively. During the three and six months ended June 30, 2019, the Company recognized an increase in the valuation allowance of $2.0 million.</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(which has been temporarily reduced to 10% for distributions declared on or after April 1, 2020, and on or before December 31, 2020)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(which has been temporarily reduced to 10% for distributions declared on or after April 1, 2020, and on or before December 31, 2020)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2020 and December 31, 2019, there were no uncertain tax positions.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2020 and December 31, 2019.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June 30, 2020, our portfolio consisted of investments in 37 portfolio companies with a fair value of approximately $287.3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2020, 14.2% of the fair value of our first lien loans consisted of last-out loans. As of December 31, 2019, 18.1%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2020, we made approximately $12.5 million of investments and had approximately $51.1 million in repayments and sales, resulting in net repayments and sales of approximately $38.6 million for the period. During the three months ended June 30, 2019, we made approximately $13.8 million of investments and had approximately $46.6 million in repayments and sales, resulting in net repayments and sales of approximately $32.8 million for the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2020, we made approximately $20.8 million of investments and had approximately $58.9 million in repayments and sales, resulting in net repayments and sales of approximately $38.1 million for the period. During the six months ended June 30, 2019, we made approximately $34.9 million of investments and had approximately $58.1 million in repayments and sales, resulting in net repayments and sales of approximately $23.2 million for the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2020, our debt investment portfolio, which represented 80.7% of the fair value of our total portfolio, had a weighted average annualized yield of approximately 10.3%. As of June 30, 2020, 44.8% of the fair value of our debt investment portfolio was bearing a fixed rate of interest. As of December 31, 2019, our debt investment portfolio, which represented 78.6% of the fair value of our total portfolio, had a weighted average annualized yield of approximately 11.5%. As of December 31, 2019, 37.2% of the fair value of our debt investment portfolio was bearing a fixed rate of interest.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5" w:lineRule="auto"/>
        <w:rPr>
          <w:sz w:val="20"/>
          <w:szCs w:val="20"/>
          <w:color w:val="auto"/>
        </w:rPr>
      </w:pPr>
      <w:r>
        <w:rPr>
          <w:rFonts w:ascii="Arial" w:cs="Arial" w:eastAsia="Arial" w:hAnsi="Arial"/>
          <w:sz w:val="17"/>
          <w:szCs w:val="17"/>
          <w:color w:val="auto"/>
        </w:rPr>
        <w:t>As of June 30, 2020, the Board approved the fair value of our investment portfolio of approximately $287.3 million in good faith in accordance with our valuation procedures. The Board approved the fair value of our investment portfolio as of June 30, 2020 with input from a third-party valuation firm and the Investment Advisor based on information known or knowable as of the valuation date, including trailing and forward looking data. The COVID-19 pandemic is an unprecedented circumstance that materially impacts the fair value of our investments. As a result, the fair value of our portfolio investments may be further negatively impacted after June 30, 2020 by circumstances and events that are not yet known.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COVID-19. We are working with each of our portfolio companies to help them access short-term liquidity through interest deferrals, funding on unused lines of credit, and other sources of liquidity.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we had debt investments in five portfolio companies on non-accrual status with an aggregate amortized cost of $34.5 million and an aggregate fair value of $23.9 million, which represented 11.3% and 8.3% of the investment portfolio, respectively. As of December 31, 2019, we had no investments on non-accrual status. The increase in non-accrual investments from December 31, 2019 to June 30, 2020 was largely driven by the economic impact of COVID-19.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June 30, 2020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4"/>
              </w:rPr>
              <w:t>Percentage of</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193,610</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42,457</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38,285</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13.3</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59,372</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55,371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305,016</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287,266</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amortized cost and the fair value of investments as of December 31, 2019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4"/>
              </w:rPr>
              <w:t>Percentage of</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235,646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54,079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53,857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50,556</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63,841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Capitala Senior Loan Fund II, LLC</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13,600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13,631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portfolio composition by industry grouping at fair value as of June 30, 2020 and December 31, 2019 (dollars in thousands):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5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of</w:t>
            </w:r>
          </w:p>
        </w:tc>
      </w:tr>
      <w:tr>
        <w:trPr>
          <w:trHeight w:val="216"/>
        </w:trPr>
        <w:tc>
          <w:tcPr>
            <w:tcW w:w="54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5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34"/>
        </w:trPr>
        <w:tc>
          <w:tcPr>
            <w:tcW w:w="5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Portfolio</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30,818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29,517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24,215</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27,928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19,692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19,291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17,483</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Security System Services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15,797</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16,063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14,016</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IT Consulting</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13,745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13,773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Multi-Platform Media and Consumer Products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11,922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11,564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11,739</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Healthcare Management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11,601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12,607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9,736</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Electronic Machine Repair</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9,062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6,100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8,662</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Testing Laboratories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7,648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7,026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Wireless Deployment Services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4,970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4,904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Data Services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4,039</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3,939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4,262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QSR Franchisor</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3,061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2,118</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Footwear Retail</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1,810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3,326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1,741</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Restaurant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4,697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Industrial</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Oil &amp; Gas Services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Food Product Manufacturer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17,609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Investment Funds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13,631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Logistics</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2,924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Professional and Personal Digital Imaging</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investments made by the Company as of June 30, 2020 and December 31, 2019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2020 and December 31, 2019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546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6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Investments at</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160" w:type="dxa"/>
            <w:vAlign w:val="bottom"/>
          </w:tcPr>
          <w:p>
            <w:pPr>
              <w:spacing w:after="0"/>
              <w:rPr>
                <w:sz w:val="16"/>
                <w:szCs w:val="16"/>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61,341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70,102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50,464</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55,283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Northeast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40,263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71,184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19.6</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w:t>
      </w:r>
    </w:p>
    <w:p>
      <w:pPr>
        <w:jc w:val="both"/>
        <w:ind w:firstLine="8"/>
        <w:spacing w:after="0" w:line="255" w:lineRule="auto"/>
        <w:tabs>
          <w:tab w:leader="none" w:pos="2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443" w:gutter="0" w:footer="0" w:header="0"/>
        </w:sectPr>
      </w:pPr>
    </w:p>
    <w:bookmarkStart w:id="54" w:name="page55"/>
    <w:bookmarkEnd w:id="54"/>
    <w:p>
      <w:pPr>
        <w:ind w:left="660"/>
        <w:spacing w:after="0"/>
        <w:rPr>
          <w:sz w:val="20"/>
          <w:szCs w:val="20"/>
          <w:color w:val="auto"/>
        </w:rPr>
      </w:pPr>
      <w:r>
        <w:rPr>
          <w:rFonts w:ascii="Arial" w:cs="Arial" w:eastAsia="Arial" w:hAnsi="Arial"/>
          <w:sz w:val="16"/>
          <w:szCs w:val="16"/>
          <w:color w:val="auto"/>
        </w:rPr>
        <w:t>Our internal investment rating system incorporates the following five categories:</w:t>
      </w:r>
    </w:p>
    <w:p>
      <w:pPr>
        <w:sectPr>
          <w:pgSz w:w="11900" w:h="16838" w:orient="portrait"/>
          <w:cols w:equalWidth="0" w:num="1">
            <w:col w:w="11240"/>
          </w:cols>
          <w:pgMar w:left="320" w:top="908" w:right="339" w:bottom="1440" w:gutter="0" w:footer="0" w:header="0"/>
        </w:sectPr>
      </w:pPr>
    </w:p>
    <w:p>
      <w:pPr>
        <w:spacing w:after="0" w:line="244" w:lineRule="exact"/>
        <w:rPr>
          <w:sz w:val="20"/>
          <w:szCs w:val="20"/>
          <w:color w:val="auto"/>
        </w:rPr>
      </w:pPr>
    </w:p>
    <w:p>
      <w:pPr>
        <w:jc w:val="center"/>
        <w:ind w:right="400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0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31750</wp:posOffset>
            </wp:positionV>
            <wp:extent cx="63436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140" w:space="720"/>
            <w:col w:w="5380"/>
          </w:cols>
          <w:pgMar w:left="320" w:top="908" w:right="339" w:bottom="1440" w:gutter="0" w:footer="0" w:header="0"/>
          <w:type w:val="continuous"/>
        </w:sectPr>
      </w:pPr>
    </w:p>
    <w:p>
      <w:pPr>
        <w:spacing w:after="0" w:line="24" w:lineRule="exact"/>
        <w:rPr>
          <w:sz w:val="20"/>
          <w:szCs w:val="20"/>
          <w:color w:val="auto"/>
        </w:rPr>
      </w:pPr>
    </w:p>
    <w:p>
      <w:pPr>
        <w:ind w:left="1260" w:hanging="730"/>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0" w:lineRule="exact"/>
        <w:rPr>
          <w:sz w:val="20"/>
          <w:szCs w:val="20"/>
          <w:color w:val="auto"/>
        </w:rPr>
      </w:pPr>
    </w:p>
    <w:p>
      <w:pPr>
        <w:jc w:val="both"/>
        <w:ind w:left="1260" w:hanging="730"/>
        <w:spacing w:after="0" w:line="263"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4" w:lineRule="exact"/>
        <w:rPr>
          <w:sz w:val="20"/>
          <w:szCs w:val="20"/>
          <w:color w:val="auto"/>
        </w:rPr>
      </w:pPr>
    </w:p>
    <w:p>
      <w:pPr>
        <w:jc w:val="both"/>
        <w:ind w:left="1260" w:hanging="730"/>
        <w:spacing w:after="0" w:line="263"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4" w:lineRule="exact"/>
        <w:rPr>
          <w:sz w:val="20"/>
          <w:szCs w:val="20"/>
          <w:color w:val="auto"/>
        </w:rPr>
      </w:pPr>
    </w:p>
    <w:p>
      <w:pPr>
        <w:ind w:left="1260" w:hanging="730"/>
        <w:spacing w:after="0" w:line="277"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260" w:right="20" w:hanging="730"/>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June 30, 2020 and December 31,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As of June 30, 2020</w:t>
            </w:r>
          </w:p>
        </w:tc>
        <w:tc>
          <w:tcPr>
            <w:tcW w:w="160" w:type="dxa"/>
            <w:vAlign w:val="bottom"/>
          </w:tcPr>
          <w:p>
            <w:pPr>
              <w:spacing w:after="0"/>
              <w:rPr>
                <w:sz w:val="20"/>
                <w:szCs w:val="20"/>
                <w:color w:val="auto"/>
              </w:rPr>
            </w:pPr>
          </w:p>
        </w:tc>
        <w:tc>
          <w:tcPr>
            <w:tcW w:w="26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8"/>
              </w:rPr>
              <w:t>As of December 31, 2019</w:t>
            </w:r>
          </w:p>
        </w:tc>
      </w:tr>
      <w:tr>
        <w:trPr>
          <w:trHeight w:val="191"/>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Investments at</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tcPr>
          <w:p>
            <w:pPr>
              <w:spacing w:after="0"/>
              <w:rPr>
                <w:sz w:val="20"/>
                <w:szCs w:val="20"/>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78,982</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154,344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219,855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60.7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30,054</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56,989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23,886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1-month LIBOR + 2.25%. During the quarter ended June 30, 2020,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5" w:name="page56"/>
    <w:bookmarkEnd w:id="55"/>
    <w:p>
      <w:pPr>
        <w:jc w:val="both"/>
        <w:ind w:firstLine="648"/>
        <w:spacing w:after="0" w:line="263" w:lineRule="auto"/>
        <w:rPr>
          <w:sz w:val="20"/>
          <w:szCs w:val="20"/>
          <w:color w:val="auto"/>
        </w:rPr>
      </w:pPr>
      <w:r>
        <w:rPr>
          <w:rFonts w:ascii="Arial" w:cs="Arial" w:eastAsia="Arial" w:hAnsi="Arial"/>
          <w:sz w:val="18"/>
          <w:szCs w:val="18"/>
          <w:color w:val="auto"/>
        </w:rPr>
        <w:t>As of December 31, 2019, $12.7 million was outstanding under the CSLF II Credit Facility. For the three and six months ended June 30, 2020, CSLF II incurred interest and financing expenses of $1.0 million and $1.1 million, respectively. For the three and six months ended June 30, 2019, CSLF II did not incur interest and financing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$0.0 was outstanding on the Subordinated Notes. As of December 31, 2019, the Company and Trinity had $5.0 million and $20.0 million of unfunded commitments related to the Subordinated Notes, respectively. For the three and six months ended June 30, 2020 and 2019, CSLF II did not incur any interest and financing expenses related to the Subordinated Notes.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CSLF II’s portfolio as of December 31, 2019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8"/>
              </w:rPr>
              <w:t>December 31, 2019</w:t>
            </w:r>
          </w:p>
        </w:tc>
        <w:tc>
          <w:tcPr>
            <w:tcW w:w="160" w:type="dxa"/>
            <w:vAlign w:val="bottom"/>
            <w:tcBorders>
              <w:bottom w:val="single" w:sz="8" w:color="CCEEFF"/>
            </w:tcBorders>
            <w:gridSpan w:val="2"/>
          </w:tcPr>
          <w:p>
            <w:pPr>
              <w:spacing w:after="0"/>
              <w:rPr>
                <w:sz w:val="20"/>
                <w:szCs w:val="20"/>
                <w:color w:val="auto"/>
              </w:rPr>
            </w:pPr>
          </w:p>
        </w:tc>
      </w:tr>
      <w:tr>
        <w:trPr>
          <w:trHeight w:val="237"/>
        </w:trPr>
        <w:tc>
          <w:tcPr>
            <w:tcW w:w="23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First lien loans </w:t>
            </w:r>
            <w:r>
              <w:rPr>
                <w:rFonts w:ascii="Arial" w:cs="Arial" w:eastAsia="Arial" w:hAnsi="Arial"/>
                <w:sz w:val="27"/>
                <w:szCs w:val="27"/>
                <w:color w:val="auto"/>
                <w:vertAlign w:val="superscript"/>
              </w:rPr>
              <w:t>(1)</w:t>
            </w: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28,396</w:t>
            </w:r>
          </w:p>
        </w:tc>
        <w:tc>
          <w:tcPr>
            <w:tcW w:w="100" w:type="dxa"/>
            <w:vAlign w:val="bottom"/>
            <w:shd w:val="clear" w:color="auto" w:fill="CCEEFF"/>
          </w:tcPr>
          <w:p>
            <w:pPr>
              <w:spacing w:after="0"/>
              <w:rPr>
                <w:sz w:val="20"/>
                <w:szCs w:val="20"/>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w w:val="95"/>
              </w:rPr>
              <w:t>Weighted average current interest rate on first lien loans</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Number of portfolio companies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57"/>
        </w:trPr>
        <w:tc>
          <w:tcPr>
            <w:tcW w:w="43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2"/>
                <w:szCs w:val="22"/>
                <w:color w:val="auto"/>
              </w:rPr>
            </w:pPr>
          </w:p>
        </w:tc>
      </w:tr>
      <w:tr>
        <w:trPr>
          <w:trHeight w:val="257"/>
        </w:trPr>
        <w:tc>
          <w:tcPr>
            <w:tcW w:w="4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w w:val="99"/>
              </w:rPr>
              <w:t xml:space="preserve">Total of five largest portfolio company investments </w:t>
            </w:r>
            <w:r>
              <w:rPr>
                <w:rFonts w:ascii="Arial" w:cs="Arial" w:eastAsia="Arial" w:hAnsi="Arial"/>
                <w:sz w:val="29"/>
                <w:szCs w:val="29"/>
                <w:color w:val="auto"/>
                <w:w w:val="99"/>
                <w:vertAlign w:val="superscript"/>
              </w:rPr>
              <w:t>(1)</w:t>
            </w:r>
          </w:p>
        </w:tc>
        <w:tc>
          <w:tcPr>
            <w:tcW w:w="1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28,396</w:t>
            </w:r>
          </w:p>
        </w:tc>
        <w:tc>
          <w:tcPr>
            <w:tcW w:w="100" w:type="dxa"/>
            <w:vAlign w:val="bottom"/>
            <w:shd w:val="clear" w:color="auto" w:fill="CCEEFF"/>
          </w:tcPr>
          <w:p>
            <w:pPr>
              <w:spacing w:after="0"/>
              <w:rPr>
                <w:sz w:val="22"/>
                <w:szCs w:val="22"/>
                <w:color w:val="auto"/>
              </w:rPr>
            </w:pP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w w:val="94"/>
              </w:rPr>
              <w:t>(1) Based on principal amount outstanding at period end.</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7"/>
          </w:tcPr>
          <w:p>
            <w:pPr>
              <w:jc w:val="right"/>
              <w:spacing w:after="0"/>
              <w:rPr>
                <w:sz w:val="20"/>
                <w:szCs w:val="20"/>
                <w:color w:val="auto"/>
              </w:rPr>
            </w:pPr>
            <w:r>
              <w:rPr>
                <w:rFonts w:ascii="Arial" w:cs="Arial" w:eastAsia="Arial" w:hAnsi="Arial"/>
                <w:sz w:val="18"/>
                <w:szCs w:val="18"/>
                <w:color w:val="auto"/>
                <w:w w:val="99"/>
              </w:rPr>
              <w:t>Below is CSLF II’s schedule of investments as of December 31, 2019 (dollars in thousands):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Principal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380" w:type="dxa"/>
            <w:vAlign w:val="bottom"/>
            <w:gridSpan w:val="2"/>
          </w:tcPr>
          <w:p>
            <w:pPr>
              <w:ind w:left="400"/>
              <w:spacing w:after="0"/>
              <w:rPr>
                <w:sz w:val="20"/>
                <w:szCs w:val="20"/>
                <w:color w:val="auto"/>
              </w:rPr>
            </w:pPr>
            <w:r>
              <w:rPr>
                <w:rFonts w:ascii="Arial" w:cs="Arial" w:eastAsia="Arial" w:hAnsi="Arial"/>
                <w:sz w:val="18"/>
                <w:szCs w:val="18"/>
                <w:b w:val="1"/>
                <w:bCs w:val="1"/>
                <w:color w:val="auto"/>
              </w:rPr>
              <w:t>Portfolio Company</w:t>
            </w:r>
          </w:p>
        </w:tc>
        <w:tc>
          <w:tcPr>
            <w:tcW w:w="1920" w:type="dxa"/>
            <w:vAlign w:val="bottom"/>
          </w:tcPr>
          <w:p>
            <w:pPr>
              <w:ind w:left="620"/>
              <w:spacing w:after="0"/>
              <w:rPr>
                <w:sz w:val="20"/>
                <w:szCs w:val="20"/>
                <w:color w:val="auto"/>
              </w:rPr>
            </w:pPr>
            <w:r>
              <w:rPr>
                <w:rFonts w:ascii="Arial" w:cs="Arial" w:eastAsia="Arial" w:hAnsi="Arial"/>
                <w:sz w:val="18"/>
                <w:szCs w:val="18"/>
                <w:b w:val="1"/>
                <w:bCs w:val="1"/>
                <w:color w:val="auto"/>
              </w:rPr>
              <w:t>Industry</w:t>
            </w:r>
          </w:p>
        </w:tc>
        <w:tc>
          <w:tcPr>
            <w:tcW w:w="120" w:type="dxa"/>
            <w:vAlign w:val="bottom"/>
          </w:tcPr>
          <w:p>
            <w:pPr>
              <w:spacing w:after="0"/>
              <w:rPr>
                <w:sz w:val="20"/>
                <w:szCs w:val="20"/>
                <w:color w:val="auto"/>
              </w:rPr>
            </w:pPr>
          </w:p>
        </w:tc>
        <w:tc>
          <w:tcPr>
            <w:tcW w:w="2820" w:type="dxa"/>
            <w:vAlign w:val="bottom"/>
            <w:gridSpan w:val="2"/>
          </w:tcPr>
          <w:p>
            <w:pPr>
              <w:ind w:left="620"/>
              <w:spacing w:after="0"/>
              <w:rPr>
                <w:sz w:val="20"/>
                <w:szCs w:val="20"/>
                <w:color w:val="auto"/>
              </w:rPr>
            </w:pPr>
            <w:r>
              <w:rPr>
                <w:rFonts w:ascii="Arial" w:cs="Arial" w:eastAsia="Arial" w:hAnsi="Arial"/>
                <w:sz w:val="18"/>
                <w:szCs w:val="18"/>
                <w:b w:val="1"/>
                <w:bCs w:val="1"/>
                <w:color w:val="auto"/>
              </w:rPr>
              <w:t>Type of Investment</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1080" w:type="dxa"/>
            <w:vAlign w:val="bottom"/>
            <w:gridSpan w:val="3"/>
          </w:tcPr>
          <w:p>
            <w:pPr>
              <w:ind w:left="1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Fair Value</w:t>
            </w: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Freedom Electronics, LLC</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Electronic Machine</w:t>
            </w:r>
          </w:p>
        </w:tc>
        <w:tc>
          <w:tcPr>
            <w:tcW w:w="294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5"/>
              </w:rPr>
              <w:t>First Lien Debt (7.0% Cash (1 month</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Repair</w:t>
            </w: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LIBOR + 5.0%, 2.0% Floor), Due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12/20/23)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5,445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60"/>
              <w:spacing w:after="0"/>
              <w:rPr>
                <w:sz w:val="20"/>
                <w:szCs w:val="20"/>
                <w:color w:val="auto"/>
              </w:rPr>
            </w:pPr>
            <w:r>
              <w:rPr>
                <w:rFonts w:ascii="Arial" w:cs="Arial" w:eastAsia="Arial" w:hAnsi="Arial"/>
                <w:sz w:val="18"/>
                <w:szCs w:val="18"/>
                <w:color w:val="auto"/>
              </w:rPr>
              <w:t>5,445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5,445</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Installs, LLC</w:t>
            </w: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Logistics</w:t>
            </w:r>
          </w:p>
        </w:tc>
        <w:tc>
          <w:tcPr>
            <w:tcW w:w="29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First Lien Debt (5.8% Cash (1 month</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LIBOR + 4.0%, 1.8% Floor), Due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6/20/23)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7,443</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RAM Payment, LLC</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Financial Services</w:t>
            </w:r>
          </w:p>
        </w:tc>
        <w:tc>
          <w:tcPr>
            <w:tcW w:w="294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5"/>
              </w:rPr>
              <w:t>First Lien Debt (6.7% Cash (1 month</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LIBOR + 5.0%, 1.5% Floor), Due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6,653</w:t>
            </w:r>
          </w:p>
        </w:tc>
        <w:tc>
          <w:tcPr>
            <w:tcW w:w="260" w:type="dxa"/>
            <w:vAlign w:val="bottom"/>
          </w:tcPr>
          <w:p>
            <w:pPr>
              <w:spacing w:after="0"/>
              <w:rPr>
                <w:sz w:val="20"/>
                <w:szCs w:val="20"/>
                <w:color w:val="auto"/>
              </w:rPr>
            </w:pPr>
          </w:p>
        </w:tc>
        <w:tc>
          <w:tcPr>
            <w:tcW w:w="1080" w:type="dxa"/>
            <w:vAlign w:val="bottom"/>
            <w:gridSpan w:val="3"/>
          </w:tcPr>
          <w:p>
            <w:pPr>
              <w:ind w:left="560"/>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6,653</w:t>
            </w: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Rapid Fire Protection, Inc.</w:t>
            </w:r>
            <w:r>
              <w:rPr>
                <w:rFonts w:ascii="Arial" w:cs="Arial" w:eastAsia="Arial" w:hAnsi="Arial"/>
                <w:sz w:val="23"/>
                <w:szCs w:val="23"/>
                <w:color w:val="auto"/>
                <w:vertAlign w:val="superscript"/>
              </w:rPr>
              <w:t>(1)</w:t>
            </w:r>
          </w:p>
        </w:tc>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Security System Services</w:t>
            </w:r>
          </w:p>
        </w:tc>
        <w:tc>
          <w:tcPr>
            <w:tcW w:w="2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First Lien Debt (5.5% Cash (1 month</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LIBOR + 3.8%, 1.8% Floor), Due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11/22/24)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U.S. BioTek Laboratories,</w:t>
            </w: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Testing Laboratories</w:t>
            </w:r>
          </w:p>
        </w:tc>
        <w:tc>
          <w:tcPr>
            <w:tcW w:w="294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5"/>
              </w:rPr>
              <w:t>First Lien Debt (7.0% Cash (3 month</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LLC</w:t>
            </w:r>
          </w:p>
        </w:tc>
        <w:tc>
          <w:tcPr>
            <w:tcW w:w="1920" w:type="dxa"/>
            <w:vAlign w:val="bottom"/>
          </w:tcPr>
          <w:p>
            <w:pPr>
              <w:spacing w:after="0"/>
              <w:rPr>
                <w:sz w:val="18"/>
                <w:szCs w:val="18"/>
                <w:color w:val="auto"/>
              </w:rPr>
            </w:pP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LIBOR + 5.0%, 2.0% Floor), Due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12/14/23)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4,455</w:t>
            </w:r>
          </w:p>
        </w:tc>
        <w:tc>
          <w:tcPr>
            <w:tcW w:w="260" w:type="dxa"/>
            <w:vAlign w:val="bottom"/>
          </w:tcPr>
          <w:p>
            <w:pPr>
              <w:spacing w:after="0"/>
              <w:rPr>
                <w:sz w:val="21"/>
                <w:szCs w:val="21"/>
                <w:color w:val="auto"/>
              </w:rPr>
            </w:pPr>
          </w:p>
        </w:tc>
        <w:tc>
          <w:tcPr>
            <w:tcW w:w="1080" w:type="dxa"/>
            <w:vAlign w:val="bottom"/>
            <w:gridSpan w:val="3"/>
          </w:tcPr>
          <w:p>
            <w:pPr>
              <w:ind w:left="56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4,455</w:t>
            </w:r>
          </w:p>
        </w:tc>
      </w:tr>
      <w:tr>
        <w:trPr>
          <w:trHeight w:val="223"/>
        </w:trPr>
        <w:tc>
          <w:tcPr>
            <w:tcW w:w="2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83"/>
              </w:rPr>
              <w:t>28,396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had a $3.0 million unfunded commitment.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700"/>
        <w:spacing w:after="0"/>
        <w:rPr>
          <w:sz w:val="20"/>
          <w:szCs w:val="20"/>
          <w:color w:val="auto"/>
        </w:rPr>
      </w:pPr>
      <w:r>
        <w:rPr>
          <w:rFonts w:ascii="Arial" w:cs="Arial" w:eastAsia="Arial" w:hAnsi="Arial"/>
          <w:sz w:val="18"/>
          <w:szCs w:val="18"/>
          <w:color w:val="auto"/>
        </w:rPr>
        <w:t>Below are the statements of assets and liabilities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100" w:type="dxa"/>
            <w:vAlign w:val="bottom"/>
            <w:gridSpan w:val="2"/>
          </w:tcPr>
          <w:p>
            <w:pPr>
              <w:spacing w:after="0"/>
              <w:rPr>
                <w:sz w:val="19"/>
                <w:szCs w:val="19"/>
                <w:color w:val="auto"/>
              </w:rPr>
            </w:pPr>
          </w:p>
        </w:tc>
      </w:tr>
      <w:tr>
        <w:trPr>
          <w:trHeight w:val="209"/>
        </w:trPr>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Investments at fair value (amortized cost of $0 and $28,396, respectively)</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28,396</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receivable</w:t>
            </w: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r>
      <w:tr>
        <w:trPr>
          <w:trHeight w:val="22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r>
      <w:tr>
        <w:trPr>
          <w:trHeight w:val="263"/>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Credit facility (net of deferred financing costs of $0 and $621, respectively)</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12,079</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10"/>
        </w:trPr>
        <w:tc>
          <w:tcPr>
            <w:tcW w:w="6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NET ASSETS</w:t>
            </w: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17,039</w:t>
            </w:r>
          </w:p>
        </w:tc>
        <w:tc>
          <w:tcPr>
            <w:tcW w:w="80" w:type="dxa"/>
            <w:vAlign w:val="bottom"/>
            <w:shd w:val="clear" w:color="auto" w:fill="CCEEFF"/>
          </w:tcPr>
          <w:p>
            <w:pPr>
              <w:spacing w:after="0"/>
              <w:rPr>
                <w:sz w:val="19"/>
                <w:szCs w:val="19"/>
                <w:color w:val="auto"/>
              </w:rPr>
            </w:pPr>
          </w:p>
        </w:tc>
      </w:tr>
      <w:tr>
        <w:trPr>
          <w:trHeight w:val="223"/>
        </w:trPr>
        <w:tc>
          <w:tcPr>
            <w:tcW w:w="6620" w:type="dxa"/>
            <w:vAlign w:val="bottom"/>
          </w:tcPr>
          <w:p>
            <w:pPr>
              <w:ind w:left="180"/>
              <w:spacing w:after="0"/>
              <w:rPr>
                <w:sz w:val="20"/>
                <w:szCs w:val="20"/>
                <w:color w:val="auto"/>
              </w:rPr>
            </w:pPr>
            <w:r>
              <w:rPr>
                <w:rFonts w:ascii="Arial" w:cs="Arial" w:eastAsia="Arial" w:hAnsi="Arial"/>
                <w:sz w:val="18"/>
                <w:szCs w:val="18"/>
                <w:color w:val="auto"/>
              </w:rPr>
              <w:t>Total net assets</w:t>
            </w:r>
          </w:p>
        </w:tc>
        <w:tc>
          <w:tcPr>
            <w:tcW w:w="1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8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5"/>
          </w:tcPr>
          <w:p>
            <w:pPr>
              <w:ind w:left="660"/>
              <w:spacing w:after="0"/>
              <w:rPr>
                <w:sz w:val="20"/>
                <w:szCs w:val="20"/>
                <w:color w:val="auto"/>
              </w:rPr>
            </w:pPr>
            <w:r>
              <w:rPr>
                <w:rFonts w:ascii="Arial" w:cs="Arial" w:eastAsia="Arial" w:hAnsi="Arial"/>
                <w:sz w:val="18"/>
                <w:szCs w:val="18"/>
                <w:color w:val="auto"/>
                <w:w w:val="93"/>
              </w:rPr>
              <w:t>Below are the unaudited statements of operations for CSLF II (dollars in 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4"/>
                <w:szCs w:val="24"/>
                <w:color w:val="auto"/>
              </w:rPr>
            </w:pPr>
          </w:p>
        </w:tc>
        <w:tc>
          <w:tcPr>
            <w:tcW w:w="2680" w:type="dxa"/>
            <w:vAlign w:val="bottom"/>
            <w:gridSpan w:val="7"/>
          </w:tcPr>
          <w:p>
            <w:pPr>
              <w:ind w:left="2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8"/>
                <w:szCs w:val="18"/>
                <w:b w:val="1"/>
                <w:bCs w:val="1"/>
                <w:color w:val="auto"/>
                <w:w w:val="88"/>
              </w:rPr>
              <w:t>June 30, 2020</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221"/>
              <w:spacing w:after="0"/>
              <w:rPr>
                <w:sz w:val="20"/>
                <w:szCs w:val="20"/>
                <w:color w:val="auto"/>
              </w:rPr>
            </w:pPr>
            <w:r>
              <w:rPr>
                <w:rFonts w:ascii="Arial" w:cs="Arial" w:eastAsia="Arial" w:hAnsi="Arial"/>
                <w:sz w:val="18"/>
                <w:szCs w:val="18"/>
                <w:b w:val="1"/>
                <w:bCs w:val="1"/>
                <w:color w:val="auto"/>
                <w:w w:val="87"/>
              </w:rPr>
              <w:t>June 30, 2020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00" w:type="dxa"/>
            <w:vAlign w:val="bottom"/>
            <w:gridSpan w:val="2"/>
          </w:tcPr>
          <w:p>
            <w:pPr>
              <w:spacing w:after="0"/>
              <w:rPr>
                <w:sz w:val="19"/>
                <w:szCs w:val="19"/>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229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650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r>
      <w:tr>
        <w:trPr>
          <w:trHeight w:val="209"/>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(LOSS)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2"/>
        </w:trPr>
        <w:tc>
          <w:tcPr>
            <w:tcW w:w="5400" w:type="dxa"/>
            <w:vAlign w:val="bottom"/>
          </w:tcPr>
          <w:p>
            <w:pPr>
              <w:spacing w:after="0" w:line="182" w:lineRule="exact"/>
              <w:rPr>
                <w:sz w:val="20"/>
                <w:szCs w:val="20"/>
                <w:color w:val="auto"/>
              </w:rPr>
            </w:pPr>
            <w:r>
              <w:rPr>
                <w:rFonts w:ascii="Arial" w:cs="Arial" w:eastAsia="Arial" w:hAnsi="Arial"/>
                <w:sz w:val="18"/>
                <w:szCs w:val="18"/>
                <w:color w:val="auto"/>
                <w:w w:val="96"/>
              </w:rPr>
              <w:t>NET INCREASE (DECREASE) IN NET ASSETS RESULTING FROM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(837)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(644)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six months ended June 30, 2020 and 2019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0"/>
                <w:szCs w:val="20"/>
                <w:color w:val="auto"/>
              </w:rPr>
            </w:pPr>
          </w:p>
        </w:tc>
        <w:tc>
          <w:tcPr>
            <w:tcW w:w="268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5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8"/>
              </w:rPr>
              <w:t>June 30, 2020</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41"/>
              <w:spacing w:after="0"/>
              <w:rPr>
                <w:sz w:val="20"/>
                <w:szCs w:val="20"/>
                <w:color w:val="auto"/>
              </w:rPr>
            </w:pPr>
            <w:r>
              <w:rPr>
                <w:rFonts w:ascii="Arial" w:cs="Arial" w:eastAsia="Arial" w:hAnsi="Arial"/>
                <w:sz w:val="18"/>
                <w:szCs w:val="18"/>
                <w:b w:val="1"/>
                <w:bCs w:val="1"/>
                <w:color w:val="auto"/>
                <w:w w:val="87"/>
              </w:rPr>
              <w:t>June 30, 2020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00" w:type="dxa"/>
            <w:vAlign w:val="bottom"/>
          </w:tcPr>
          <w:p>
            <w:pPr>
              <w:spacing w:after="0"/>
              <w:rPr>
                <w:sz w:val="19"/>
                <w:szCs w:val="19"/>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Total expenses, net of incentive fee waiver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14,695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16,117</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(13,285)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(12,317)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(20,924)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(17,395)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(26,401)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Tax provision</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 from operations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investment income for the three and six months ended June 30, 2020 and 2019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20"/>
                <w:szCs w:val="20"/>
                <w:color w:val="auto"/>
              </w:rPr>
            </w:pPr>
          </w:p>
        </w:tc>
        <w:tc>
          <w:tcPr>
            <w:tcW w:w="268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4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7"/>
              </w:rPr>
              <w:t>June 30, 2020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100" w:type="dxa"/>
            <w:vAlign w:val="bottom"/>
          </w:tcPr>
          <w:p>
            <w:pPr>
              <w:spacing w:after="0"/>
              <w:rPr>
                <w:sz w:val="19"/>
                <w:szCs w:val="19"/>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Fee income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Dividend income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r>
      <w:tr>
        <w:trPr>
          <w:trHeight w:val="22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w w:val="89"/>
              </w:rPr>
              <w:t>55</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541"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18"/>
          <w:szCs w:val="18"/>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three months ended June 30, 2020, total investment income decreased by $4.6 million, or 39.6%, compared to the three months ended June 30, 2019. Interest income decreased from $10.1 million for the three months ended June 30, 2019 to $6.3 million for the three months ended June 30, 2020. The decrease from the prior period is due to lower average outstanding debt investments and the impact of an increase in non-accrual loans for the three months ended June 30, 2020 compared to the three months ended June 30, 2019. The increase in non-accrual investments was largely driven by the economic impact of the COVID-19 pandemic. PIK income declined from $0.7 million for the three months ended June 30, 2019 to $0.6 million for the three months ended June 30, 2020, due to a decrease in investments with a contractual PIK rate. Fee income decreased from $0.3 million for the three months ended June 30, 2019 to $91 thousand for the three months ended June 30, 2020. For the three months ended June 30, 2020, we generated $24 thousand in origination fees from new deployments and $67 thousand in other fees. Comparatively, for the three months ended June 30, 2019, we generated $0.2 million in origination fees from new deployments and $0.1 million in other fees. Dividend income decreased from $0.4 million for the three months ended June 30, 2019 to $0.0 for the three months ended June 30, 2020, primarily due to a $0.4 million dividend received from CSLF II during the three months ended June 30, 2019.</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six months ended June 30, 2020, total investment income decreased by $10.2 million, or 42.0%, compared to the six months ended June 30, 2019. Interest income decreased from $20.1 million for the six months ended June 30, 2019 to $12.5 million for the six months ended June 30, 2020. The decrease from the prior period is due to lower average outstanding debt investments and the impact of an increase in non-accrual loans for the six months ended June 30, 2020 compared to the six months ended June 30, 2019. The increase in non-accrual investments was largely driven by the economic impact of the COVID-19 pandemic. PIK income declined from $1.6 million for the six months ended June 30, 2019 to $1.1 million for the six months ended June 30, 2020, due to a decrease in investments with a contractual PIK rate. Fee income decreased from $0.7 million for the six months ended June 30, 2019 to $0.4 million for the six months ended June 30, 2020. For the six months ended June 30, 2020, we generated $0.2 million in origination fees from new deployments and $0.2 million in other fees. Comparatively, for the six months ended June 30, 2019, we generated $0.6 million in origination fees from new deployments and $0.1 million in other fees. Dividend income decreased from $1.7 million for the six months ended June 30, 2019 to $25 thousand for the six months ended June 30, 2020, primarily due to a $1.3 million non-recurring dividend from a portfolio company and a $0.4 million dividend from CSLF II received during the six months ended June 30,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expenses for the three and six months ended June 30, 2020 and 2019 was as follows (dollars in thousands):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Incentive fees, net of incentive fee waiver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net of incentive fee waiver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c>
          <w:tcPr>
            <w:tcW w:w="100" w:type="dxa"/>
            <w:vAlign w:val="bottom"/>
          </w:tcPr>
          <w:p>
            <w:pPr>
              <w:spacing w:after="0"/>
              <w:rPr>
                <w:sz w:val="20"/>
                <w:szCs w:val="20"/>
                <w:color w:val="auto"/>
              </w:rPr>
            </w:pPr>
          </w:p>
        </w:tc>
        <w:tc>
          <w:tcPr>
            <w:tcW w:w="260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June 30, 2020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7"/>
              </w:rPr>
              <w:t>June 30, 2020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2019</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4,885</w:t>
            </w:r>
          </w:p>
        </w:tc>
        <w:tc>
          <w:tcPr>
            <w:tcW w:w="2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4,228</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8,711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8,641</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4,138</w:t>
            </w: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16,117</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908"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8" w:name="page59"/>
    <w:bookmarkEnd w:id="58"/>
    <w:p>
      <w:pPr>
        <w:jc w:val="both"/>
        <w:ind w:firstLine="648"/>
        <w:spacing w:after="0" w:line="289" w:lineRule="auto"/>
        <w:rPr>
          <w:sz w:val="20"/>
          <w:szCs w:val="20"/>
          <w:color w:val="auto"/>
        </w:rPr>
      </w:pPr>
      <w:r>
        <w:rPr>
          <w:rFonts w:ascii="Arial" w:cs="Arial" w:eastAsia="Arial" w:hAnsi="Arial"/>
          <w:sz w:val="16"/>
          <w:szCs w:val="16"/>
          <w:color w:val="auto"/>
        </w:rPr>
        <w:t>For the three months ended June 30, 2020, operating expenses increased by $40 thousand, or 0.5%, compared to the three months ended June 30, 2019. Interest and financing expense increased from $4.2 million for the three months ended June 30, 2019 to $4.9 million for the three months ended June 30, 2020. The increase in interest and financing expenses was primarily driven by $1.1 million in accelerated deferred financing expense from termination of the Credit Facility during the three months ended June 30, 2020, offset in part by lower recurring interest and financing expenses due to lower average debt outstanding during the three months ended June 30, 2020 compared to the three months ended June 30, 2019. Base management fees declined from $2.0 million for the three months ended June 30, 2019 to $1.7 million for the three months ended June 30, 2020, due to lower average assets under management. Incentive fees, net of incentive fee waiver, declined from $0.2 million for the three months ended June 30, 2019 to $0.0 for the three months ended June 30, 2020 due to better net investment income returns in relation to our NAV during the three months ended June 30, 2019. General and administrative expenses were relatively consistent for the three months ended June 30, 2020 and June 30, 2019.</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six months ended June 30, 2020, operating expenses decreased by $1.4 million, or 8.8%, compared to the six months ended June 30, 2019. Interest and financing expense increased from $8.6 million for the six months ended June 30, 2019 to $8.7 million for the six months ended June 30, 2020. The increase in interest and financing expenses was primarily driven by $1.1 million in accelerated deferred financing expense from termination of the Credit Facility during the six months ended June 30, 2020, offset in part by lower recurring interest and financing expenses due to lower average debt outstanding during the six months ended June 30, 2020 compared to the six months ended June 30, 2019. Base management fees declined from $4.1 million for the six months ended June 30, 2019 to $3.4 million for the six months ended June 30, 2020, due to lower average assets under management. Incentive fees, net of incentive fee waiver, declined from $1.2 million for the six months ended June 30, 2019 to $0.0 for the six months ended June 30, 2020 due to better net investment income returns in relation to our NAV during the six months ended June 30, 2019. General and administrative expenses increased from $2.1 million for the six months ended June 30, 2019 to $2.6 million for the six months ended June 30, 2020, primarily due to an increase in legal and professional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2020 we recognized $(13.3) million and $(12.3) million, respectively, of net realized losses on our portfolio investments. During the three and six months ended June 30, 2019 we recognized $(15.1) million and $(20.9) million, respectively, of net realized losses on our portfolio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six months ended June 30, 2020 we had net unrealized appreciation (depreciation) of $17.0 million and $(26.4) million, respectively. For the three and six months ended June 30, 2019 we had net unrealized depreciation of $(17.4) million and $(15.9) million, respectively. The increase in net unrealized depreciation for the six months ended June 30, 2020 was due primarily to the negative economic impact and the increased uncertainty caused by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provision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and six months ended June 30, 2020 we recorded a tax provision of $0.0. For the three and six months ended June 30, 2019 we recorded a tax provision of $(0.7) million and $(0.6)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six months ended June 30, 2020, we recorded a net increase (decrease) in net assets resulting from operations of $3.1 million and $(39.3) million, respectively. Based on the weighted average shares of common stock outstanding for the three and six months ended June 30, 2020, our per share net increase (decrease) in net assets resulting from operations was $0.19 and $(2.42), respectively.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2019, we recorded a net decrease in net assets resulting from operations of $(29.1) million and $(29.3) million, respectively. Based on the weighted average shares of common stock outstanding for the three and six months ended June 30, 2019, our per share net decrease in net assets resulting from operations was $(1.81) and $(1.82),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June 30,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“Credit Facility”) with ING Capital, LLC, as administrative agent, arranger, and bookrunner, and the lenders party thereto. The Credit Facility was set to mature on April 30, 2022. On June 19, 2020, the Company unilaterally terminated the Credit Facility.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94"/>
        <w:spacing w:after="0" w:line="255"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2020,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We intend to comply with the conditions of the order.</w:t>
      </w:r>
    </w:p>
    <w:p>
      <w:pPr>
        <w:spacing w:after="0" w:line="19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On December 31, 2019, we entered into an open market sale agreement</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with Jefferies LLC pursuant to which we may issue and sell up to $50.0 million in aggregate amount of shares of our common stock in amounts, and at times, to be determined by us (the “ATM Program”). Actual sales in this ATM Program will depend on a variety of factors to be determined by us including market conditions, the trading price of our common stock and determinations by us of the appropriate sources of funding. We may issue shares of our common stock at a price below the then current NAV per share pursuant to the ATM Program. There were no sales of our common stock under the ATM Program during the three and six months ended June 30, 2020.</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June 30, 2020, our asset coverage ratio was 182.7%. If our asset coverage ratio falls below 150% due a decline in the fair market of our portfolio, including as the result of the economic impact caused by the COVID-19 pandemic, we may be limited in our ability to raise additional debt.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had $95.2 million in cash and cash equivalents, and our net assets totaled $105.1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700"/>
        <w:spacing w:after="0"/>
        <w:rPr>
          <w:sz w:val="20"/>
          <w:szCs w:val="20"/>
          <w:color w:val="auto"/>
        </w:rPr>
      </w:pPr>
      <w:r>
        <w:rPr>
          <w:rFonts w:ascii="Arial" w:cs="Arial" w:eastAsia="Arial" w:hAnsi="Arial"/>
          <w:sz w:val="18"/>
          <w:szCs w:val="18"/>
          <w:color w:val="auto"/>
        </w:rPr>
        <w:t>A summary of our significant contractual payment obligations as of June 30, 2020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Contractual Obligations Payments Due by Period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4"/>
              </w:rPr>
              <w:t>Less Than</w:t>
            </w:r>
          </w:p>
        </w:tc>
        <w:tc>
          <w:tcPr>
            <w:tcW w:w="120" w:type="dxa"/>
            <w:vAlign w:val="bottom"/>
          </w:tcPr>
          <w:p>
            <w:pPr>
              <w:spacing w:after="0"/>
              <w:rPr>
                <w:sz w:val="16"/>
                <w:szCs w:val="16"/>
                <w:color w:val="auto"/>
              </w:rPr>
            </w:pPr>
          </w:p>
        </w:tc>
        <w:tc>
          <w:tcPr>
            <w:tcW w:w="134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1 – 3</w:t>
            </w:r>
          </w:p>
        </w:tc>
        <w:tc>
          <w:tcPr>
            <w:tcW w:w="240" w:type="dxa"/>
            <w:vAlign w:val="bottom"/>
          </w:tcPr>
          <w:p>
            <w:pPr>
              <w:spacing w:after="0"/>
              <w:rPr>
                <w:sz w:val="16"/>
                <w:szCs w:val="16"/>
                <w:color w:val="auto"/>
              </w:rPr>
            </w:pPr>
          </w:p>
        </w:tc>
        <w:tc>
          <w:tcPr>
            <w:tcW w:w="120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3 – 5</w:t>
            </w:r>
          </w:p>
        </w:tc>
        <w:tc>
          <w:tcPr>
            <w:tcW w:w="140" w:type="dxa"/>
            <w:vAlign w:val="bottom"/>
          </w:tcPr>
          <w:p>
            <w:pPr>
              <w:spacing w:after="0"/>
              <w:rPr>
                <w:sz w:val="16"/>
                <w:szCs w:val="16"/>
                <w:color w:val="auto"/>
              </w:rPr>
            </w:pPr>
          </w:p>
        </w:tc>
        <w:tc>
          <w:tcPr>
            <w:tcW w:w="13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More Than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5 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212,088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On April 30, 2020, the Company’s Board determined not to declare a distribution for the second quarter of 2020 due to the impact of the COVID-19 pandemic on the Company’s expected net investment income. On July 30, 2020, the Company’s Board determined not to declare a distribution for the third quarter of 2020 due to the impact of the COVID-19 pandemic on the Company’s expected net investment income.</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distributions declared from January 1, 2018 through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w:t>
            </w: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January 2, 2020</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2020</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27, 2020</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March 23, 2020</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2020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2020</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27, 2019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March 21, 2019</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28, 2019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22, 2019</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29, 2019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30, 2019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27, 2019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July 23, 2019</w:t>
            </w: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30, 2019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July 1,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22,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29, 2019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27, 2019</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22, 2019</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29, 2019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22, 2019</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29, 2019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23, 2019</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vMerge w:val="restart"/>
          </w:tcPr>
          <w:p>
            <w:pPr>
              <w:jc w:val="right"/>
              <w:ind w:right="15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Record Date</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2, 2018</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February 20,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2018</w:t>
            </w:r>
          </w:p>
        </w:tc>
        <w:tc>
          <w:tcPr>
            <w:tcW w:w="2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March 23,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29, 2018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April 19,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April 27,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2018</w:t>
            </w:r>
          </w:p>
        </w:tc>
        <w:tc>
          <w:tcPr>
            <w:tcW w:w="2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22,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April 2, 2018</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June 28,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July 23,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30, 2018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2, 2018</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August 23,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August 30,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2018</w:t>
            </w:r>
          </w:p>
        </w:tc>
        <w:tc>
          <w:tcPr>
            <w:tcW w:w="2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October 23,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October 30,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2018</w:t>
            </w:r>
          </w:p>
        </w:tc>
        <w:tc>
          <w:tcPr>
            <w:tcW w:w="2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November 21, 2018</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October 1, 2018</w:t>
            </w:r>
          </w:p>
        </w:tc>
        <w:tc>
          <w:tcPr>
            <w:tcW w:w="2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20,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88"/>
              </w:rPr>
              <w:t>December 28, 2018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23"/>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2018</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Tax characteristics of all distributions paid are reported to stockholders on Form 1099 after the end of the calendar year. For the year ended December 31, 2018, total distributions of $16.0 million were comprised 100% of ordinary income. For the year ended December 31, 2019, total distributions of $16.1 million were comprised of approximately $13.4 million from ordinary income and $2.7 million from return of capital. For the six months ended June 30, 2020, we estimate that total distributions of $4.1 million were classified as a return of capital. Distributions may be subject to reclassification based on future dividends and operating results and will not be determined until the end of the year.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2020, the Company had outstanding unfunded commitments related to debt investments in existing portfolio companies of $8.2 million (Bluestem Brands, Inc.), $6.3 million (Rapid Fire Protection, Inc), $3.5 million (J5 Infrastructure Partners, LLC), $1.0 million (U.S. BioTek Laboratories, LLC), and $0.5 million (Freedom Electronics, LLC). As of December 31, 2019, the Company had outstanding unfunded commitments related to debt and equity investments in existing portfolio companies of $11.4 million (CSLF II), $4.5 million (Rapid Fire Protection, Inc), $3.5 million (J5 Infrastructure Partners, LLC), $2.6 million (BigMouth, Inc.), $1.0 million (Freedom Electronics, LLC), $1.0 million (U.S. BioTek Laboratories, LLC), and $0.5 million (Jurassic Quest Holdings, LLC).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July 2020, the Company received $2.4 million in principal repayments on its first lien debt investment in BigMouth,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2020, the Board approved a one-for-six reverse stock split of the Company’s common stock which is expected to be effective at 5:00 p.m. Eastern Standard Time on August 21, 2020 (the "Effective Time"). The Company's common stock is expected to begin trading on a split-adjusted basis at the market open on August 24, 2020. At the Effective Time, every six (6) issued and outstanding shares of the Company's common stock will be converted into one (1) share of the Company's common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2020, we did not engage in hedging activities.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2020, we held 23 securities bearing a variable rate of interest. Our variable rate investments represent approximately 55.2% of the fair value of total debt investments. As of June 30, 2020, 98.4% of variable rate securities were yielding interest at a rate equal to the established interest rate floor, and 1.6% of variable rate securities were yielding interest at a rate above its interest rate floor or were not subject to an interest rate floor. As of June 30, 2020, all of our interest paying liabilities, consisting of $150.0 million in SBA-guaranteed debentures, $75.0 million in 2022 Notes, and $52.1 million in 2022 Convertible Notes, were bearing interest at a fixed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70" w:lineRule="auto"/>
        <w:rPr>
          <w:sz w:val="20"/>
          <w:szCs w:val="20"/>
          <w:color w:val="auto"/>
        </w:rPr>
      </w:pPr>
      <w:r>
        <w:rPr>
          <w:rFonts w:ascii="Arial" w:cs="Arial" w:eastAsia="Arial" w:hAnsi="Arial"/>
          <w:sz w:val="17"/>
          <w:szCs w:val="17"/>
          <w:color w:val="auto"/>
        </w:rPr>
        <w:t>Interest rate sensitivity refers to the change in earnings that may result from changes in the level of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June 30, 2020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Increase)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(decrease)</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 in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in interest</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 net</w:t>
            </w:r>
          </w:p>
        </w:tc>
      </w:tr>
      <w:tr>
        <w:trPr>
          <w:trHeight w:val="234"/>
        </w:trPr>
        <w:tc>
          <w:tcPr>
            <w:tcW w:w="6760" w:type="dxa"/>
            <w:vAlign w:val="bottom"/>
            <w:gridSpan w:val="2"/>
          </w:tcPr>
          <w:p>
            <w:pPr>
              <w:ind w:left="2520"/>
              <w:spacing w:after="0"/>
              <w:rPr>
                <w:sz w:val="20"/>
                <w:szCs w:val="20"/>
                <w:color w:val="auto"/>
              </w:rPr>
            </w:pPr>
            <w:r>
              <w:rPr>
                <w:rFonts w:ascii="Arial" w:cs="Arial" w:eastAsia="Arial" w:hAnsi="Arial"/>
                <w:sz w:val="18"/>
                <w:szCs w:val="18"/>
                <w:b w:val="1"/>
                <w:bCs w:val="1"/>
                <w:color w:val="auto"/>
              </w:rPr>
              <w:t>Basis Point Change</w:t>
            </w:r>
          </w:p>
        </w:tc>
        <w:tc>
          <w:tcPr>
            <w:tcW w:w="160" w:type="dxa"/>
            <w:vAlign w:val="bottom"/>
          </w:tcPr>
          <w:p>
            <w:pPr>
              <w:spacing w:after="0"/>
              <w:rPr>
                <w:sz w:val="20"/>
                <w:szCs w:val="20"/>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income</w:t>
            </w:r>
          </w:p>
        </w:tc>
        <w:tc>
          <w:tcPr>
            <w:tcW w:w="14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1,051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Item 4. Controls and Procedures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June 30, 2020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second quarter of 2020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2019 (the “Annual Report on Form 10-K”), which could materially affect our business, financial condition and/or operating results, including the Risk Factor titled “Recent legislation may allow us to incur additional leverage”.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six months ended June 30, 2020, there have been no material changes from the risk factors set forth in our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Events outside of our control, including public health crises, could negatively affect our portfolio companies and our results of our operations.</w:t>
      </w:r>
    </w:p>
    <w:p>
      <w:pPr>
        <w:spacing w:after="0" w:line="24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in December 2019, a novel strain of coronavirus (also known as “COVID-19”) surfaced in China and has since spread and continues to spread to other countries, including the United States. This outbreak has led and for an unknown period of time will continue to lead to disruptions in local, regional, national and global markets and economies affected thereby. With respect to the U.S. credit markets (in particular for middle market loans), this outbreak has resulted in, and until fully resolved is likely to continue to result in, the following among other things: (i) government imposition of various forms of shelter-in-place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10-Q, it is impossible to determine the scope of this outbreak, or any future outbreaks,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7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will also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These potential impacts, while uncertain, could adversely affect our and our portfolio companies’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COVID-19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color w:val="auto"/>
        </w:rPr>
        <w:t>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the recent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developments in the credit markets may impair our ability to secure debt financing.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to finance the growth of our investments on acceptable economic terms, or at all.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 far, the COVID-19 pandemic has resulted in, and until fully resolved is likely to continue to result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are unable to consummate credit facilities on commercially reasonable terms, our liquidity may be reduced significantly. If we are unable to repay amounts outstanding under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relating to the LIBOR calculation process may adversely affect the value of our portfolio of LIBOR-indexed, floating-rate debt securities.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 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5" w:lineRule="auto"/>
        <w:rPr>
          <w:sz w:val="20"/>
          <w:szCs w:val="20"/>
          <w:color w:val="auto"/>
        </w:rPr>
      </w:pPr>
      <w:r>
        <w:rPr>
          <w:rFonts w:ascii="Arial" w:cs="Arial" w:eastAsia="Arial" w:hAnsi="Arial"/>
          <w:sz w:val="18"/>
          <w:szCs w:val="18"/>
          <w:color w:val="auto"/>
        </w:rPr>
        <w:t>Actions by the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It is unclear if after 2021 LIBOR will cease to exist or if new methods of calculating LIBOR will be established such that it continues to exist after 2021. We have exposure to LIBOR, including in financial instruments that mature after 2021. Our exposure arises from the value of our portfolio of LIBOR-indexed, floating-rate debt securities.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 including whether the COVID-19 pandemic will have further effect on LIBOR transition plans.</w:t>
      </w:r>
    </w:p>
    <w:p>
      <w:pPr>
        <w:spacing w:after="0" w:line="16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 If LIBOR ceases to exist, we may need to renegotiate the credit agreements extending beyond 2021 with our portfolio companies that utilize LIBOR as a factor in determining the interest rate to replace LIBOR with the new standard that is established. In the event that the LIBOR Rate is no longer available or published on a current basis or no longer made available or used for determining the interest rate of loans, our administrative agent that manages our loans will generally select a comparable successor rate; provided that (i) to the extent a comparable or successor rate is approved by the administrative agent, the approved rate shall be applied in a manner consistent with market practice; and</w:t>
      </w:r>
    </w:p>
    <w:p>
      <w:pPr>
        <w:spacing w:after="0" w:line="2" w:lineRule="exact"/>
        <w:rPr>
          <w:sz w:val="20"/>
          <w:szCs w:val="20"/>
          <w:color w:val="auto"/>
        </w:rPr>
      </w:pPr>
    </w:p>
    <w:p>
      <w:pPr>
        <w:ind w:firstLine="8"/>
        <w:spacing w:after="0" w:line="260" w:lineRule="auto"/>
        <w:tabs>
          <w:tab w:leader="none" w:pos="2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such market practice is not administratively feasible for the administrative agent, such approved rate shall be applied as otherwise reasonably determined by the administrative agent.</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Our ability to pay distributions might be adversely affected by the impact of one or more of the risk factors described in our Annual Report on Form 10-K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right="600"/>
        <w:spacing w:after="0" w:line="277"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4.0% U.S. federal excise tax on some or all of the distribution.</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“We may in the future choose to pay dividends in our own stock, in which case you may be required to pay tax in excess of the cash you receive.”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 the future choose to pay dividends in our own common stock, in which case you may be required to pay tax in excess of the cash you receive.</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distribute taxable dividends that are payable in part in our common stock. In accordance with certain applicable U.S. Treasury regulations and published guidance issued by the Internal Revenue Service, a publicly offered RIC may treat a distribution of its own stock as fulfilling the RIC distribution requirements if each shareholder may elect to receive his or her entire distribution in either cash or stock of the RIC, subject to a limitation that the aggregate amount of cash to be distributed to all shareholders must be at least 20.0% (which has been temporarily reduced to 10% for distributions declared on or after April 1, 2020, and on or before December 31, 2020)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Due to the recent COVID-19 pandemic, shares of BDCs have traded below their respective NAVs. If our shares of common stock trade at a discount from NAV, it could limit our ability to raise equity capital.</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of the COVID-19 pandemic, the stocks of BDCs as an industry, including shares of our common stock, have traded below NAV, at or near historic lows as a result of concerns over liquidity, leverage restrictions and distribution requirements. If our common stock trades below its NAV,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NAV could decrease and our level of distributions could be impacted.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71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240"/>
          </w:cols>
          <w:pgMar w:left="320" w:top="904" w:right="339" w:bottom="1440" w:gutter="0" w:footer="0" w:header="0"/>
        </w:sectPr>
      </w:pPr>
    </w:p>
    <w:p>
      <w:pPr>
        <w:spacing w:after="0" w:line="24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Exhibit Number</w:t>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40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46" w:lineRule="exact"/>
        <w:rPr>
          <w:sz w:val="20"/>
          <w:szCs w:val="20"/>
          <w:color w:val="auto"/>
        </w:rPr>
      </w:pPr>
    </w:p>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3.3</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3.4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3.5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3.6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31.1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64122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0"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 xml:space="preserve">Articles of Amendment and Restatement </w:t>
        </w:r>
      </w:hyperlink>
      <w:r>
        <w:rPr>
          <w:rFonts w:ascii="Arial" w:cs="Arial" w:eastAsia="Arial" w:hAnsi="Arial"/>
          <w:sz w:val="29"/>
          <w:szCs w:val="29"/>
          <w:u w:val="single" w:color="auto"/>
          <w:color w:val="0000EE"/>
          <w:vertAlign w:val="superscript"/>
        </w:rPr>
        <w:t>(1)</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 xml:space="preserve">Certificate of Limited Partnership of CapitalSouth Partners Fund II Limited Partnership </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 xml:space="preserve">Certificate of Limited Partnership of CapitalSouth Partners SBIC Fund III, L.P. </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 xml:space="preserve">Bylaws </w:t>
        </w:r>
      </w:hyperlink>
      <w:r>
        <w:rPr>
          <w:rFonts w:ascii="Arial" w:cs="Arial" w:eastAsia="Arial" w:hAnsi="Arial"/>
          <w:sz w:val="29"/>
          <w:szCs w:val="29"/>
          <w:u w:val="single" w:color="auto"/>
          <w:color w:val="0000EE"/>
          <w:vertAlign w:val="superscript"/>
        </w:rPr>
        <w:t>(1)</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 xml:space="preserve">Form of Amended and Restated Limited Partnership Agreement of CapitalSouth Partners Fund II Limited Partnership </w:t>
        </w:r>
      </w:hyperlink>
      <w:r>
        <w:rPr>
          <w:rFonts w:ascii="Arial" w:cs="Arial" w:eastAsia="Arial" w:hAnsi="Arial"/>
          <w:sz w:val="29"/>
          <w:szCs w:val="29"/>
          <w:u w:val="single" w:color="auto"/>
          <w:color w:val="0000EE"/>
          <w:vertAlign w:val="superscript"/>
        </w:rPr>
        <w:t>(3)</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 xml:space="preserve">Form of Amended and Restated Agreement of Limited Partnership of CapitalSouth Partners SBIC Fund III, L.P. </w:t>
        </w:r>
      </w:hyperlink>
      <w:r>
        <w:rPr>
          <w:rFonts w:ascii="Arial" w:cs="Arial" w:eastAsia="Arial" w:hAnsi="Arial"/>
          <w:sz w:val="29"/>
          <w:szCs w:val="29"/>
          <w:u w:val="single" w:color="auto"/>
          <w:color w:val="0000EE"/>
          <w:vertAlign w:val="superscript"/>
        </w:rPr>
        <w:t>(3)</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 xml:space="preserve">Form of Common Stock Certificate </w:t>
        </w:r>
      </w:hyperlink>
      <w:r>
        <w:rPr>
          <w:rFonts w:ascii="Arial" w:cs="Arial" w:eastAsia="Arial" w:hAnsi="Arial"/>
          <w:sz w:val="29"/>
          <w:szCs w:val="29"/>
          <w:u w:val="single" w:color="auto"/>
          <w:color w:val="0000EE"/>
          <w:vertAlign w:val="superscript"/>
        </w:rPr>
        <w:t>(1)</w:t>
      </w:r>
    </w:p>
    <w:p>
      <w:pPr>
        <w:spacing w:after="0" w:line="135" w:lineRule="exact"/>
        <w:rPr>
          <w:sz w:val="20"/>
          <w:szCs w:val="20"/>
          <w:color w:val="auto"/>
        </w:rPr>
      </w:pPr>
    </w:p>
    <w:p>
      <w:pPr>
        <w:ind w:right="20"/>
        <w:spacing w:after="0" w:line="277" w:lineRule="auto"/>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Certification of Chief Executive Officer pursuant to Rule 13a-14 of the Securities Exchange Act of 1934, as adopted pursuant to Section</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302 of the Sarbanes-Oxley Act of 2002 (filed herewith)</w:t>
        </w:r>
      </w:hyperlink>
    </w:p>
    <w:p>
      <w:pPr>
        <w:spacing w:after="0" w:line="153" w:lineRule="exact"/>
        <w:rPr>
          <w:sz w:val="20"/>
          <w:szCs w:val="20"/>
          <w:color w:val="auto"/>
        </w:rPr>
      </w:pPr>
    </w:p>
    <w:p>
      <w:pPr>
        <w:sectPr>
          <w:pgSz w:w="11900" w:h="16838" w:orient="portrait"/>
          <w:cols w:equalWidth="0" w:num="2">
            <w:col w:w="640" w:space="500"/>
            <w:col w:w="101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rFonts w:ascii="Arial" w:cs="Arial" w:eastAsia="Arial" w:hAnsi="Arial"/>
                <w:sz w:val="18"/>
                <w:szCs w:val="18"/>
                <w:u w:val="single" w:color="auto"/>
                <w:color w:val="0000EE"/>
                <w:w w:val="85"/>
              </w:rPr>
            </w:pPr>
            <w:hyperlink w:anchor="page73">
              <w:r>
                <w:rPr>
                  <w:rFonts w:ascii="Arial" w:cs="Arial" w:eastAsia="Arial" w:hAnsi="Arial"/>
                  <w:sz w:val="18"/>
                  <w:szCs w:val="18"/>
                  <w:u w:val="single" w:color="auto"/>
                  <w:color w:val="0000EE"/>
                  <w:w w:val="85"/>
                </w:rPr>
                <w:t>31.2</w:t>
              </w:r>
            </w:hyperlink>
          </w:p>
        </w:tc>
        <w:tc>
          <w:tcPr>
            <w:tcW w:w="101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Chief Financial Officer pursuant to Rule 13a-14 of the Securities Exchange Act of 1934, as adopted pursuant to Section 302</w:t>
              </w:r>
            </w:hyperlink>
          </w:p>
        </w:tc>
      </w:tr>
      <w:tr>
        <w:trPr>
          <w:trHeight w:val="196"/>
        </w:trPr>
        <w:tc>
          <w:tcPr>
            <w:tcW w:w="114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of the Sarbanes-Oxley Act of 2002 (filed herewith)</w:t>
              </w:r>
            </w:hyperlink>
          </w:p>
        </w:tc>
      </w:tr>
      <w:tr>
        <w:trPr>
          <w:trHeight w:val="20"/>
        </w:trPr>
        <w:tc>
          <w:tcPr>
            <w:tcW w:w="11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right"/>
              <w:ind w:right="730"/>
              <w:spacing w:after="0"/>
              <w:rPr>
                <w:rFonts w:ascii="Arial" w:cs="Arial" w:eastAsia="Arial" w:hAnsi="Arial"/>
                <w:sz w:val="18"/>
                <w:szCs w:val="18"/>
                <w:u w:val="single" w:color="auto"/>
                <w:color w:val="0000EE"/>
                <w:w w:val="85"/>
              </w:rPr>
            </w:pPr>
            <w:hyperlink w:anchor="page74">
              <w:r>
                <w:rPr>
                  <w:rFonts w:ascii="Arial" w:cs="Arial" w:eastAsia="Arial" w:hAnsi="Arial"/>
                  <w:sz w:val="18"/>
                  <w:szCs w:val="18"/>
                  <w:u w:val="single" w:color="auto"/>
                  <w:color w:val="0000EE"/>
                  <w:w w:val="85"/>
                </w:rPr>
                <w:t>32.1</w:t>
              </w:r>
            </w:hyperlink>
          </w:p>
        </w:tc>
        <w:tc>
          <w:tcPr>
            <w:tcW w:w="101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r>
      <w:tr>
        <w:trPr>
          <w:trHeight w:val="196"/>
        </w:trPr>
        <w:tc>
          <w:tcPr>
            <w:tcW w:w="114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of 2002 (filed herewith)</w:t>
              </w:r>
            </w:hyperlink>
          </w:p>
        </w:tc>
      </w:tr>
      <w:tr>
        <w:trPr>
          <w:trHeight w:val="20"/>
        </w:trPr>
        <w:tc>
          <w:tcPr>
            <w:tcW w:w="11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right"/>
              <w:ind w:right="730"/>
              <w:spacing w:after="0"/>
              <w:rPr>
                <w:rFonts w:ascii="Arial" w:cs="Arial" w:eastAsia="Arial" w:hAnsi="Arial"/>
                <w:sz w:val="18"/>
                <w:szCs w:val="18"/>
                <w:u w:val="single" w:color="auto"/>
                <w:color w:val="0000EE"/>
                <w:w w:val="85"/>
              </w:rPr>
            </w:pPr>
            <w:hyperlink w:anchor="page75">
              <w:r>
                <w:rPr>
                  <w:rFonts w:ascii="Arial" w:cs="Arial" w:eastAsia="Arial" w:hAnsi="Arial"/>
                  <w:sz w:val="18"/>
                  <w:szCs w:val="18"/>
                  <w:u w:val="single" w:color="auto"/>
                  <w:color w:val="0000EE"/>
                  <w:w w:val="85"/>
                </w:rPr>
                <w:t>32.2</w:t>
              </w:r>
            </w:hyperlink>
          </w:p>
        </w:tc>
        <w:tc>
          <w:tcPr>
            <w:tcW w:w="10100" w:type="dxa"/>
            <w:vAlign w:val="bottom"/>
            <w:gridSpan w:val="4"/>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of 2002 (filed herewith)</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hanging="1132"/>
        <w:spacing w:after="0" w:line="194" w:lineRule="auto"/>
        <w:tabs>
          <w:tab w:leader="none" w:pos="11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201" w:lineRule="exact"/>
        <w:rPr>
          <w:rFonts w:ascii="Arial" w:cs="Arial" w:eastAsia="Arial" w:hAnsi="Arial"/>
          <w:sz w:val="30"/>
          <w:szCs w:val="30"/>
          <w:color w:val="auto"/>
          <w:vertAlign w:val="superscript"/>
        </w:rPr>
      </w:pPr>
    </w:p>
    <w:p>
      <w:pPr>
        <w:ind w:left="1140" w:hanging="1132"/>
        <w:spacing w:after="0" w:line="194" w:lineRule="auto"/>
        <w:tabs>
          <w:tab w:leader="none" w:pos="11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17, 2013.</w:t>
      </w:r>
    </w:p>
    <w:p>
      <w:pPr>
        <w:spacing w:after="0" w:line="201" w:lineRule="exact"/>
        <w:rPr>
          <w:rFonts w:ascii="Arial" w:cs="Arial" w:eastAsia="Arial" w:hAnsi="Arial"/>
          <w:sz w:val="30"/>
          <w:szCs w:val="30"/>
          <w:color w:val="auto"/>
          <w:vertAlign w:val="superscript"/>
        </w:rPr>
      </w:pPr>
    </w:p>
    <w:p>
      <w:pPr>
        <w:ind w:left="1140" w:hanging="1132"/>
        <w:spacing w:after="0" w:line="194" w:lineRule="auto"/>
        <w:tabs>
          <w:tab w:leader="none" w:pos="11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August 4, 2020</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4, 2020</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4, 2020</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A. Koonts</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Kevin A. Koonts</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20" w:hanging="318"/>
        <w:spacing w:after="0"/>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80" w:hanging="318"/>
        <w:spacing w:after="0" w:line="263"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3"/>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40" w:right="20" w:hanging="671"/>
        <w:spacing w:after="0" w:line="342" w:lineRule="auto"/>
        <w:tabs>
          <w:tab w:leader="none" w:pos="1340" w:val="left"/>
        </w:tabs>
        <w:numPr>
          <w:ilvl w:val="3"/>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3"/>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1"/>
        <w:spacing w:after="0" w:line="308" w:lineRule="auto"/>
        <w:tabs>
          <w:tab w:leader="none" w:pos="1340" w:val="left"/>
        </w:tabs>
        <w:numPr>
          <w:ilvl w:val="3"/>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1"/>
        <w:spacing w:after="0" w:line="277" w:lineRule="auto"/>
        <w:tabs>
          <w:tab w:leader="none" w:pos="1340" w:val="left"/>
        </w:tabs>
        <w:numPr>
          <w:ilvl w:val="3"/>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40" w:right="20" w:hanging="671"/>
        <w:spacing w:after="0" w:line="342" w:lineRule="auto"/>
        <w:tabs>
          <w:tab w:leader="none" w:pos="1340" w:val="left"/>
        </w:tabs>
        <w:numPr>
          <w:ilvl w:val="2"/>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20" w:hanging="671"/>
        <w:spacing w:after="0" w:line="308" w:lineRule="auto"/>
        <w:tabs>
          <w:tab w:leader="none" w:pos="13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40" w:right="20" w:hanging="671"/>
        <w:spacing w:after="0" w:line="277" w:lineRule="auto"/>
        <w:tabs>
          <w:tab w:leader="none" w:pos="13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June 30, 2020,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hanging="671"/>
        <w:spacing w:after="0" w:line="277"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32.2</w:t>
      </w:r>
    </w:p>
    <w:p>
      <w:pPr>
        <w:spacing w:after="0" w:line="21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June 30, 2020,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1"/>
        <w:spacing w:after="0" w:line="277" w:lineRule="auto"/>
        <w:tabs>
          <w:tab w:leader="none" w:pos="13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upperLetter"/>
      <w:start w:val="35"/>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lvl w:ilvl="1">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upperLetter"/>
      <w:start w:val="35"/>
    </w:lvl>
  </w:abstractNum>
  <w:abstractNum w:abstractNumId="17">
    <w:nsid w:val="B03E0C6"/>
    <w:multiLevelType w:val="hybridMultilevel"/>
    <w:lvl w:ilvl="0">
      <w:lvlJc w:val="left"/>
      <w:lvlText w:val="\emdash "/>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5"/>
      <w:numFmt w:val="bullet"/>
      <w:start w:val="1"/>
    </w:lvl>
  </w:abstractNum>
  <w:abstractNum w:abstractNumId="25">
    <w:nsid w:val="8138641"/>
    <w:multiLevelType w:val="hybridMultilevel"/>
    <w:lvl w:ilvl="0">
      <w:lvlJc w:val="left"/>
      <w:lvlText w:val="(%1)"/>
      <w:numFmt w:val="lowerRoman"/>
      <w:start w:val="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8">
    <w:nsid w:val="737B8DD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9">
    <w:nsid w:val="6CEAF0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3006C83E"/>
    <w:multiLevelType w:val="hybridMultilevel"/>
    <w:lvl w:ilvl="0">
      <w:lvlJc w:val="left"/>
      <w:lvlText w:val="%1."/>
      <w:numFmt w:val="decimal"/>
      <w:start w:val="1"/>
    </w:lvl>
    <w:lvl w:ilvl="1">
      <w:lvlJc w:val="left"/>
      <w:lvlText w:val="%2."/>
      <w:numFmt w:val="decimal"/>
      <w:start w:val="2"/>
    </w:lvl>
  </w:abstractNum>
  <w:abstractNum w:abstractNumId="33">
    <w:nsid w:val="614FD4A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5"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54" Type="http://schemas.openxmlformats.org/officeDocument/2006/relationships/hyperlink" Target="http://www.sec.gov/Archives/edgar/data/1221483/000119312513361263/d505298dex99a1.htm" TargetMode="External"/><Relationship Id="rId156" Type="http://schemas.openxmlformats.org/officeDocument/2006/relationships/hyperlink" Target="http://www.sec.gov/Archives/edgar/data/1221483/000119312513368161/d505298dex99a2.htm" TargetMode="External"/><Relationship Id="rId157" Type="http://schemas.openxmlformats.org/officeDocument/2006/relationships/hyperlink" Target="http://www.sec.gov/Archives/edgar/data/1221483/000119312513368161/d505298dex99a3.htm" TargetMode="External"/><Relationship Id="rId158" Type="http://schemas.openxmlformats.org/officeDocument/2006/relationships/hyperlink" Target="http://www.sec.gov/Archives/edgar/data/1221483/000119312513361263/d505298dex99b1.htm" TargetMode="External"/><Relationship Id="rId159" Type="http://schemas.openxmlformats.org/officeDocument/2006/relationships/hyperlink" Target="http://www.sec.gov/Archives/edgar/data/1571329/000119312513376445/d505298dex99b2.htm" TargetMode="External"/><Relationship Id="rId160" Type="http://schemas.openxmlformats.org/officeDocument/2006/relationships/hyperlink" Target="http://www.sec.gov/Archives/edgar/data/1571329/000119312513376445/d505298dex99b3.htm" TargetMode="External"/><Relationship Id="rId161"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2020-08-04T15:53:02Z</dcterms:created>
  <dcterms:modified xsi:type="dcterms:W3CDTF">2020-08-04T15:53:02Z</dcterms:modified>
</cp:coreProperties>
</file>