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FORM 10-Q</w:t>
            </w:r>
          </w:p>
        </w:tc>
        <w:tc>
          <w:tcPr>
            <w:tcW w:w="1740" w:type="dxa"/>
            <w:vAlign w:val="bottom"/>
          </w:tcPr>
          <w:p>
            <w:pPr>
              <w:spacing w:after="0"/>
              <w:rPr>
                <w:sz w:val="20"/>
                <w:szCs w:val="20"/>
                <w:color w:val="auto"/>
              </w:rPr>
            </w:pPr>
          </w:p>
        </w:tc>
      </w:tr>
      <w:tr>
        <w:trPr>
          <w:trHeight w:val="45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8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Quarterly Report Pursuant to Section 13 or 15(d) of the Securities Exchange Act of 1934</w:t>
            </w:r>
          </w:p>
        </w:tc>
        <w:tc>
          <w:tcPr>
            <w:tcW w:w="1740" w:type="dxa"/>
            <w:vAlign w:val="bottom"/>
          </w:tcPr>
          <w:p>
            <w:pPr>
              <w:spacing w:after="0"/>
              <w:rPr>
                <w:sz w:val="24"/>
                <w:szCs w:val="24"/>
                <w:color w:val="auto"/>
              </w:rPr>
            </w:pPr>
          </w:p>
        </w:tc>
      </w:tr>
      <w:tr>
        <w:trPr>
          <w:trHeight w:val="41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For the Quarter Ended September 30, 2017</w:t>
            </w:r>
          </w:p>
        </w:tc>
        <w:tc>
          <w:tcPr>
            <w:tcW w:w="1740" w:type="dxa"/>
            <w:vAlign w:val="bottom"/>
          </w:tcPr>
          <w:p>
            <w:pPr>
              <w:spacing w:after="0"/>
              <w:rPr>
                <w:sz w:val="24"/>
                <w:szCs w:val="24"/>
                <w:color w:val="auto"/>
              </w:rPr>
            </w:pPr>
          </w:p>
        </w:tc>
      </w:tr>
      <w:tr>
        <w:trPr>
          <w:trHeight w:val="45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6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Transition Report Pursuant to Section 13 or 15(d) of the Securities Exchange Act of 1934</w:t>
            </w:r>
          </w:p>
        </w:tc>
        <w:tc>
          <w:tcPr>
            <w:tcW w:w="1740" w:type="dxa"/>
            <w:vAlign w:val="bottom"/>
          </w:tcPr>
          <w:p>
            <w:pPr>
              <w:spacing w:after="0"/>
              <w:rPr>
                <w:sz w:val="24"/>
                <w:szCs w:val="24"/>
                <w:color w:val="auto"/>
              </w:rPr>
            </w:pPr>
          </w:p>
        </w:tc>
      </w:tr>
      <w:tr>
        <w:trPr>
          <w:trHeight w:val="39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Exact name of registrant as specified in its</w:t>
            </w:r>
          </w:p>
        </w:tc>
        <w:tc>
          <w:tcPr>
            <w:tcW w:w="174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charter, address of principal executive</w:t>
            </w:r>
          </w:p>
        </w:tc>
        <w:tc>
          <w:tcPr>
            <w:tcW w:w="1740" w:type="dxa"/>
            <w:vAlign w:val="bottom"/>
          </w:tcPr>
          <w:p>
            <w:pPr>
              <w:spacing w:after="0"/>
              <w:rPr>
                <w:sz w:val="18"/>
                <w:szCs w:val="18"/>
                <w:color w:val="auto"/>
              </w:rPr>
            </w:pPr>
          </w:p>
        </w:tc>
      </w:tr>
      <w:tr>
        <w:trPr>
          <w:trHeight w:val="216"/>
        </w:trPr>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Commission</w:t>
            </w: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office, telephone number and state or other jurisdiction of incorporation</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34"/>
        </w:trPr>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File Number</w:t>
            </w: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or organization</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272"/>
        </w:trPr>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120" w:type="dxa"/>
            <w:vAlign w:val="bottom"/>
          </w:tcPr>
          <w:p>
            <w:pPr>
              <w:spacing w:after="0"/>
              <w:rPr>
                <w:sz w:val="23"/>
                <w:szCs w:val="23"/>
                <w:color w:val="auto"/>
              </w:rPr>
            </w:pPr>
          </w:p>
        </w:tc>
        <w:tc>
          <w:tcPr>
            <w:tcW w:w="7740" w:type="dxa"/>
            <w:vAlign w:val="bottom"/>
            <w:tcBorders>
              <w:top w:val="single" w:sz="8" w:color="auto"/>
            </w:tcBorders>
          </w:tcPr>
          <w:p>
            <w:pPr>
              <w:jc w:val="center"/>
              <w:spacing w:after="0" w:line="272" w:lineRule="exact"/>
              <w:rPr>
                <w:sz w:val="20"/>
                <w:szCs w:val="20"/>
                <w:color w:val="auto"/>
              </w:rPr>
            </w:pPr>
            <w:r>
              <w:rPr>
                <w:rFonts w:ascii="Arial" w:cs="Arial" w:eastAsia="Arial" w:hAnsi="Arial"/>
                <w:sz w:val="25"/>
                <w:szCs w:val="25"/>
                <w:b w:val="1"/>
                <w:bCs w:val="1"/>
                <w:color w:val="auto"/>
                <w:w w:val="93"/>
              </w:rPr>
              <w:t>Capitala Finance Corp.</w:t>
            </w:r>
          </w:p>
        </w:tc>
        <w:tc>
          <w:tcPr>
            <w:tcW w:w="120" w:type="dxa"/>
            <w:vAlign w:val="bottom"/>
          </w:tcPr>
          <w:p>
            <w:pPr>
              <w:spacing w:after="0"/>
              <w:rPr>
                <w:sz w:val="23"/>
                <w:szCs w:val="23"/>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90-0945675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4201 Congress St., Suite 360</w:t>
            </w:r>
          </w:p>
        </w:tc>
        <w:tc>
          <w:tcPr>
            <w:tcW w:w="17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Charlotte, North Carolina</w:t>
            </w:r>
          </w:p>
        </w:tc>
        <w:tc>
          <w:tcPr>
            <w:tcW w:w="17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Telephone: (704) 376-5502</w:t>
            </w:r>
          </w:p>
        </w:tc>
        <w:tc>
          <w:tcPr>
            <w:tcW w:w="17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State of Incorporation: Maryland</w:t>
            </w:r>
          </w:p>
        </w:tc>
        <w:tc>
          <w:tcPr>
            <w:tcW w:w="1740" w:type="dxa"/>
            <w:vAlign w:val="bottom"/>
          </w:tcPr>
          <w:p>
            <w:pPr>
              <w:spacing w:after="0"/>
              <w:rPr>
                <w:sz w:val="20"/>
                <w:szCs w:val="20"/>
                <w:color w:val="auto"/>
              </w:rPr>
            </w:pPr>
          </w:p>
        </w:tc>
      </w:tr>
    </w:tbl>
    <w:p>
      <w:pPr>
        <w:spacing w:after="0" w:line="202"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1720"/>
        <w:spacing w:after="0" w:line="207" w:lineRule="exact"/>
        <w:tabs>
          <w:tab w:leader="none" w:pos="6380" w:val="left"/>
          <w:tab w:leader="none" w:pos="810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4"/>
          <w:szCs w:val="24"/>
          <w:color w:val="auto"/>
        </w:rPr>
      </w:pPr>
    </w:p>
    <w:p>
      <w:pPr>
        <w:ind w:left="1720"/>
        <w:spacing w:after="0" w:line="207" w:lineRule="exact"/>
        <w:tabs>
          <w:tab w:leader="none" w:pos="6380" w:val="left"/>
          <w:tab w:leader="none" w:pos="8100" w:val="left"/>
        </w:tabs>
        <w:rPr>
          <w:sz w:val="20"/>
          <w:szCs w:val="20"/>
          <w:color w:val="auto"/>
        </w:rPr>
      </w:pPr>
      <w:r>
        <w:rPr>
          <w:rFonts w:ascii="Arial" w:cs="Arial" w:eastAsia="Arial" w:hAnsi="Arial"/>
          <w:sz w:val="18"/>
          <w:szCs w:val="18"/>
          <w:color w:val="auto"/>
        </w:rPr>
        <w:t>Capitala Finance Corp.</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Capitala Finance Corp.</w:t>
            </w:r>
          </w:p>
        </w:tc>
        <w:tc>
          <w:tcPr>
            <w:tcW w:w="2660" w:type="dxa"/>
            <w:vAlign w:val="bottom"/>
          </w:tcPr>
          <w:p>
            <w:pPr>
              <w:ind w:left="600"/>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640" w:type="dxa"/>
            <w:vAlign w:val="bottom"/>
          </w:tcPr>
          <w:p>
            <w:pPr>
              <w:ind w:left="1480"/>
              <w:spacing w:after="0"/>
              <w:rPr>
                <w:sz w:val="20"/>
                <w:szCs w:val="20"/>
                <w:color w:val="auto"/>
              </w:rPr>
            </w:pPr>
            <w:r>
              <w:rPr>
                <w:rFonts w:ascii="Arial" w:cs="Arial" w:eastAsia="Arial" w:hAnsi="Arial"/>
                <w:sz w:val="18"/>
                <w:szCs w:val="18"/>
                <w:color w:val="auto"/>
              </w:rPr>
              <w:t>x</w:t>
            </w:r>
          </w:p>
        </w:tc>
      </w:tr>
      <w:tr>
        <w:trPr>
          <w:trHeight w:val="432"/>
        </w:trPr>
        <w:tc>
          <w:tcPr>
            <w:tcW w:w="2280" w:type="dxa"/>
            <w:vAlign w:val="bottom"/>
          </w:tcPr>
          <w:p>
            <w:pPr>
              <w:spacing w:after="0"/>
              <w:rPr>
                <w:sz w:val="24"/>
                <w:szCs w:val="24"/>
                <w:color w:val="auto"/>
              </w:rPr>
            </w:pPr>
          </w:p>
        </w:tc>
        <w:tc>
          <w:tcPr>
            <w:tcW w:w="2660" w:type="dxa"/>
            <w:vAlign w:val="bottom"/>
          </w:tcPr>
          <w:p>
            <w:pPr>
              <w:ind w:left="600"/>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2"/>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640" w:type="dxa"/>
            <w:vAlign w:val="bottom"/>
          </w:tcPr>
          <w:p>
            <w:pPr>
              <w:ind w:left="148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783" w:right="239" w:bottom="1440" w:gutter="0" w:footer="0" w:header="0"/>
        </w:sectPr>
      </w:pPr>
    </w:p>
    <w:p>
      <w:pPr>
        <w:spacing w:after="0" w:line="225"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Capitala Finance Corp.</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5680" w:space="720"/>
            <w:col w:w="280" w:space="80"/>
            <w:col w:w="640" w:space="720"/>
            <w:col w:w="220" w:space="120"/>
            <w:col w:w="2960"/>
          </w:cols>
          <w:pgMar w:left="240" w:top="783" w:right="239" w:bottom="144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number of shares of Capitala Finance Corp.’s common stock, $0.01 par value, outstanding as of November 3, 2017 was 15,936,507.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gridSpan w:val="9"/>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2017 (unaudited) and December 31, 2016</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nine months ended September 30, 2017 and 2016 (unaudited)</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Changes in Net Assets for the nine months ended September 30, 2017 and 2016 (unaudited)</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nine months ended September 30, 2017 and 2016 (unaudited)</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Schedules of Investments as of September 30, 2017 (unaudited) and December 31, 2016</w:t>
              </w:r>
            </w:hyperlink>
          </w:p>
        </w:tc>
        <w:tc>
          <w:tcPr>
            <w:tcW w:w="90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Notes to Consolidated Financial Statements as of September 30, 2017 (unaudited)</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w:t>
              </w:r>
            </w:hyperlink>
          </w:p>
        </w:tc>
        <w:tc>
          <w:tcPr>
            <w:tcW w:w="960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OTHER INFORMATION</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1.</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1A.</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Risk Factors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2.</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3.</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4.</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5.</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6.</w:t>
              </w:r>
            </w:hyperlink>
          </w:p>
        </w:tc>
        <w:tc>
          <w:tcPr>
            <w:tcW w:w="9600" w:type="dxa"/>
            <w:vAlign w:val="bottom"/>
            <w:gridSpan w:val="18"/>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65</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5"/>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66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920" w:type="dxa"/>
            <w:vAlign w:val="bottom"/>
            <w:tcBorders>
              <w:top w:val="single" w:sz="8" w:color="CCEEFF"/>
              <w:bottom w:val="single" w:sz="8" w:color="auto"/>
            </w:tcBorders>
            <w:gridSpan w:val="11"/>
          </w:tcPr>
          <w:p>
            <w:pPr>
              <w:ind w:left="4760"/>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w w:val="92"/>
              </w:rPr>
              <w:t>Capitala Finance Corp.</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gridSpan w:val="2"/>
          </w:tcPr>
          <w:p>
            <w:pPr>
              <w:jc w:val="center"/>
              <w:ind w:left="37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(in thousands, except share and per share data)</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September 30, 2017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Non-control/non-affiliate investments (amortized cost of $276,221 and $391,706, respectively)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274,795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Affiliate investments (amortized cost of $76,414 and $39,279, respectively)</w:t>
            </w:r>
          </w:p>
        </w:tc>
        <w:tc>
          <w:tcPr>
            <w:tcW w:w="16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98,101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61,464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 (amortized cost of $102,079 and $82,791, respectively)</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investments at fair value (amortized cost of $454,714 and $513,776, respectively)</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and dividend receivable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528,224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(net of deferred financing costs of $2,454 and $2,911, respectively)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2021 Notes (net of deferred financing costs of $0 and $3,025, respectively)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2022 Notes (net of deferred financing costs of $2,618 and $0, respectively)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2022 Convertible Notes (net of deferred financing costs of $1,658 and $0, respectively)</w:t>
            </w:r>
          </w:p>
        </w:tc>
        <w:tc>
          <w:tcPr>
            <w:tcW w:w="16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50,430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(net of deferred financing costs of $1,096 and $759, respectively)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 payable</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and financing fees payable</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Written call option at fair value (proceeds of $20 and $20, respectively)</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ASSETS</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$.01, 100,000,000 common shares authorized, 15,930,631 and 15,868,045</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issued and outstanding, respectively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240,897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net realized losses from investments</w:t>
            </w:r>
          </w:p>
        </w:tc>
        <w:tc>
          <w:tcPr>
            <w:tcW w:w="1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(38,630)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net of deferred taxes</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60" w:type="dxa"/>
            <w:vAlign w:val="bottom"/>
          </w:tcPr>
          <w:p>
            <w:pPr>
              <w:spacing w:after="0"/>
              <w:rPr>
                <w:sz w:val="19"/>
                <w:szCs w:val="19"/>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(5,535)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and net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528,224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Capitala Finance Corp.</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6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9"/>
          </w:tcPr>
          <w:p>
            <w:pPr>
              <w:jc w:val="center"/>
              <w:ind w:left="33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60" w:type="dxa"/>
            <w:vAlign w:val="bottom"/>
            <w:gridSpan w:val="8"/>
          </w:tcPr>
          <w:p>
            <w:pPr>
              <w:ind w:left="400"/>
              <w:spacing w:after="0"/>
              <w:rPr>
                <w:sz w:val="20"/>
                <w:szCs w:val="20"/>
                <w:color w:val="auto"/>
              </w:rPr>
            </w:pPr>
            <w:r>
              <w:rPr>
                <w:rFonts w:ascii="Arial" w:cs="Arial" w:eastAsia="Arial" w:hAnsi="Arial"/>
                <w:sz w:val="18"/>
                <w:szCs w:val="18"/>
                <w:b w:val="1"/>
                <w:bCs w:val="1"/>
                <w:color w:val="auto"/>
                <w:w w:val="93"/>
              </w:rPr>
              <w:t>For the Three Months Ended September 30</w:t>
            </w:r>
          </w:p>
        </w:tc>
        <w:tc>
          <w:tcPr>
            <w:tcW w:w="3420" w:type="dxa"/>
            <w:vAlign w:val="bottom"/>
            <w:gridSpan w:val="7"/>
          </w:tcPr>
          <w:p>
            <w:pPr>
              <w:ind w:left="8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fee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10,520</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23,978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3,344</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5,209</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 and fee income</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32,531</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3,810</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Total payment-in-kind interest and dividend income</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dividend income</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from cash and cash equivalents</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Interest and financing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14,726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Base management fee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7,436</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2,941</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before incentive fee waiver</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Incentive fee waiver (See Note 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 net of fee waivers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WRITTEN CALL OPTION:</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Affiliate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4,587</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realized loss from investments</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Non-control/non-affiliate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9,605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(3,245)</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 investments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Control investments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(4,946)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(7,728)</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2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unrealized appreciation (depreciation) from</w:t>
            </w: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(11,471)</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provision for deferred taxes on unrealized</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appreciation on investments</w:t>
            </w:r>
          </w:p>
        </w:tc>
        <w:tc>
          <w:tcPr>
            <w:tcW w:w="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(2,660)</w:t>
            </w: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loss on investments and written call option</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(10,163</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(17,699</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NET INCREASE (DECREASE) IN NET ASSETS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140" w:type="dxa"/>
            <w:vAlign w:val="bottom"/>
            <w:gridSpan w:val="2"/>
          </w:tcPr>
          <w:p>
            <w:pPr>
              <w:spacing w:after="0"/>
              <w:rPr>
                <w:sz w:val="20"/>
                <w:szCs w:val="20"/>
                <w:color w:val="auto"/>
              </w:rPr>
            </w:pPr>
            <w:r>
              <w:rPr>
                <w:rFonts w:ascii="Arial" w:cs="Arial" w:eastAsia="Arial" w:hAnsi="Arial"/>
                <w:sz w:val="18"/>
                <w:szCs w:val="18"/>
                <w:color w:val="auto"/>
              </w:rPr>
              <w:t>RESULTING FROM OPERATIONS</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(5,753)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(6,395)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w w:val="95"/>
              </w:rPr>
              <w:t>NET INCREASE (DECREASE) IN NET ASSETS PER</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w w:val="96"/>
              </w:rPr>
              <w:t>SHARE RESULTING FROM OPERATIONS – BASIC</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14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WEIGHTED AVERAGE COMMON STOCK</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OUTSTANDING - BASIC AND DILUTED</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15,911,160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15,829,878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15,891,636</w:t>
            </w:r>
          </w:p>
        </w:tc>
        <w:tc>
          <w:tcPr>
            <w:tcW w:w="3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15,807,801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DISTRIBUTIONS PAID PER SHARE</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Net Unrealized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w w:val="96"/>
              </w:rPr>
              <w:t>Net Unrealized</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8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Undistributed Net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Appreciation on</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Investments, net of</w:t>
            </w:r>
          </w:p>
        </w:tc>
        <w:tc>
          <w:tcPr>
            <w:tcW w:w="100" w:type="dxa"/>
            <w:vAlign w:val="bottom"/>
          </w:tcPr>
          <w:p>
            <w:pPr>
              <w:spacing w:after="0"/>
              <w:rPr>
                <w:sz w:val="12"/>
                <w:szCs w:val="12"/>
                <w:color w:val="auto"/>
              </w:rPr>
            </w:pPr>
          </w:p>
        </w:tc>
        <w:tc>
          <w:tcPr>
            <w:tcW w:w="132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w w:val="92"/>
              </w:rPr>
              <w:t>Depreciation on</w:t>
            </w:r>
          </w:p>
        </w:tc>
        <w:tc>
          <w:tcPr>
            <w:tcW w:w="140" w:type="dxa"/>
            <w:vAlign w:val="bottom"/>
          </w:tcPr>
          <w:p>
            <w:pPr>
              <w:spacing w:after="0"/>
              <w:rPr>
                <w:sz w:val="12"/>
                <w:szCs w:val="12"/>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Investment Income</w:t>
            </w:r>
          </w:p>
        </w:tc>
        <w:tc>
          <w:tcPr>
            <w:tcW w:w="12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1"/>
              </w:rPr>
              <w:t>Realized 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Deferred Taxes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Written Call Option</w:t>
            </w:r>
          </w:p>
        </w:tc>
        <w:tc>
          <w:tcPr>
            <w:tcW w:w="1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2015</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15,777,345</w:t>
            </w:r>
          </w:p>
        </w:tc>
        <w:tc>
          <w:tcPr>
            <w:tcW w:w="4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239,104</w:t>
            </w:r>
          </w:p>
        </w:tc>
        <w:tc>
          <w:tcPr>
            <w:tcW w:w="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22,269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268,802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22,293</w:t>
            </w:r>
          </w:p>
        </w:tc>
        <w:tc>
          <w:tcPr>
            <w:tcW w:w="360" w:type="dxa"/>
            <w:vAlign w:val="bottom"/>
          </w:tcPr>
          <w:p>
            <w:pPr>
              <w:spacing w:after="0"/>
              <w:rPr>
                <w:sz w:val="12"/>
                <w:szCs w:val="12"/>
                <w:color w:val="auto"/>
              </w:rPr>
            </w:pP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22,293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realized loss from</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(24,897)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(24,897)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appreciation on investments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4,557</w:t>
            </w:r>
          </w:p>
        </w:tc>
        <w:tc>
          <w:tcPr>
            <w:tcW w:w="10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4,557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depreciation on written call option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Stock issued under dividend</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reinvestment plan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66,814</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ind w:left="320"/>
              <w:spacing w:after="0"/>
              <w:rPr>
                <w:sz w:val="20"/>
                <w:szCs w:val="20"/>
                <w:color w:val="auto"/>
              </w:rPr>
            </w:pPr>
            <w:r>
              <w:rPr>
                <w:rFonts w:ascii="Arial" w:cs="Arial" w:eastAsia="Arial" w:hAnsi="Arial"/>
                <w:sz w:val="14"/>
                <w:szCs w:val="14"/>
                <w:color w:val="auto"/>
              </w:rPr>
              <w:t>Distributions declared</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(22,293)</w:t>
            </w:r>
          </w:p>
        </w:tc>
        <w:tc>
          <w:tcPr>
            <w:tcW w:w="360" w:type="dxa"/>
            <w:vAlign w:val="bottom"/>
          </w:tcPr>
          <w:p>
            <w:pPr>
              <w:spacing w:after="0"/>
              <w:rPr>
                <w:sz w:val="14"/>
                <w:szCs w:val="1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(22,293)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September 30, 2016</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15,844,159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239,917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8,570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(26,196</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25,928</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248,377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15,868,045</w:t>
            </w:r>
          </w:p>
        </w:tc>
        <w:tc>
          <w:tcPr>
            <w:tcW w:w="44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240,184</w:t>
            </w:r>
          </w:p>
        </w:tc>
        <w:tc>
          <w:tcPr>
            <w:tcW w:w="4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22,973</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(37,881)</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27,863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250,582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Net investment income</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11,304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11,304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realized loss from</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depreciation on investments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(11,471)</w:t>
            </w:r>
          </w:p>
        </w:tc>
        <w:tc>
          <w:tcPr>
            <w:tcW w:w="10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(11,471)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Net change in unrealized</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depreciation on written call option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(2,819)</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ind w:left="160"/>
              <w:spacing w:after="0" w:line="130" w:lineRule="exact"/>
              <w:rPr>
                <w:sz w:val="20"/>
                <w:szCs w:val="20"/>
                <w:color w:val="auto"/>
              </w:rPr>
            </w:pPr>
            <w:r>
              <w:rPr>
                <w:rFonts w:ascii="Arial" w:cs="Arial" w:eastAsia="Arial" w:hAnsi="Arial"/>
                <w:sz w:val="14"/>
                <w:szCs w:val="14"/>
                <w:color w:val="auto"/>
              </w:rPr>
              <w:t>Change in provision for deferred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rPr>
              <w:t>taxes on unrealized appreciation</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on investments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(2,660)</w:t>
            </w:r>
          </w:p>
        </w:tc>
        <w:tc>
          <w:tcPr>
            <w:tcW w:w="10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Distributions to Shareholders:</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ind w:left="320"/>
              <w:spacing w:after="0" w:line="130" w:lineRule="exact"/>
              <w:rPr>
                <w:sz w:val="20"/>
                <w:szCs w:val="20"/>
                <w:color w:val="auto"/>
              </w:rPr>
            </w:pPr>
            <w:r>
              <w:rPr>
                <w:rFonts w:ascii="Arial" w:cs="Arial" w:eastAsia="Arial" w:hAnsi="Arial"/>
                <w:sz w:val="14"/>
                <w:szCs w:val="14"/>
                <w:color w:val="auto"/>
              </w:rPr>
              <w:t>Stock issued under dividend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320"/>
              <w:spacing w:after="0"/>
              <w:rPr>
                <w:sz w:val="20"/>
                <w:szCs w:val="20"/>
                <w:color w:val="auto"/>
              </w:rPr>
            </w:pPr>
            <w:r>
              <w:rPr>
                <w:rFonts w:ascii="Arial" w:cs="Arial" w:eastAsia="Arial" w:hAnsi="Arial"/>
                <w:sz w:val="14"/>
                <w:szCs w:val="14"/>
                <w:color w:val="auto"/>
              </w:rPr>
              <w:t>reinvestment plan</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62,586</w:t>
            </w:r>
          </w:p>
        </w:tc>
        <w:tc>
          <w:tcPr>
            <w:tcW w:w="44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Distributions declared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(18,593)</w:t>
            </w:r>
          </w:p>
        </w:tc>
        <w:tc>
          <w:tcPr>
            <w:tcW w:w="3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(18,593)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line="155" w:lineRule="exact"/>
              <w:rPr>
                <w:sz w:val="20"/>
                <w:szCs w:val="20"/>
                <w:color w:val="auto"/>
              </w:rPr>
            </w:pPr>
            <w:r>
              <w:rPr>
                <w:rFonts w:ascii="Arial" w:cs="Arial" w:eastAsia="Arial" w:hAnsi="Arial"/>
                <w:sz w:val="14"/>
                <w:szCs w:val="14"/>
                <w:color w:val="auto"/>
              </w:rPr>
              <w:t>BALANCE, September 30, 2017</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15,930,631</w:t>
            </w: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240,897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15,684</w:t>
            </w:r>
          </w:p>
        </w:tc>
        <w:tc>
          <w:tcPr>
            <w:tcW w:w="1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(38,630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13,732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(5,535</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226,307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w w:val="92"/>
              </w:rPr>
              <w:t>Capitala Finance Corp.</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91"/>
              </w:rPr>
              <w:t>(unaudited)</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98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increase (decrease) in net assets resulting from operations</w:t>
            </w:r>
          </w:p>
        </w:tc>
        <w:tc>
          <w:tcPr>
            <w:tcW w:w="1140" w:type="dxa"/>
            <w:vAlign w:val="bottom"/>
          </w:tcPr>
          <w:p>
            <w:pPr>
              <w:jc w:val="right"/>
              <w:ind w:right="98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(decrease) in net assets resulting from operations to net cash</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 by operating activities:</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Purchase of investments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(39,690)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and sales of investments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realized loss on investments</w:t>
            </w:r>
          </w:p>
        </w:tc>
        <w:tc>
          <w:tcPr>
            <w:tcW w:w="1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(appreciation) depreciation on investments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Payment-in-kind interest and dividends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original issue discount on investments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written call option</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unrealized depreciation on written call option</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Change in provision for deferred taxes on unrealized appreciation on investments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Interest and dividend receivable</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from related parties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Due to related parties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Management and incentive fee payable</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Interest and financing fees payable</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on SBA debentures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Credit Facility</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Credit Facility</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Issuance of 2022 Notes</w:t>
            </w:r>
          </w:p>
        </w:tc>
        <w:tc>
          <w:tcPr>
            <w:tcW w:w="1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2022 Convertible Notes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 of 2021 Notes</w:t>
            </w:r>
          </w:p>
        </w:tc>
        <w:tc>
          <w:tcPr>
            <w:tcW w:w="1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5"/>
              </w:rPr>
              <w:t>(113,438)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to shareholders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financing fees paid</w:t>
            </w:r>
          </w:p>
        </w:tc>
        <w:tc>
          <w:tcPr>
            <w:tcW w:w="1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36,281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40" w:type="dxa"/>
            <w:vAlign w:val="bottom"/>
            <w:tcBorders>
              <w:top w:val="single" w:sz="8" w:color="auto"/>
              <w:bottom w:val="single" w:sz="8" w:color="auto"/>
            </w:tcBorders>
            <w:shd w:val="clear" w:color="auto" w:fill="CCEEFF"/>
          </w:tcPr>
          <w:p>
            <w:pPr>
              <w:jc w:val="right"/>
              <w:ind w:right="98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140" w:type="dxa"/>
            <w:vAlign w:val="bottom"/>
          </w:tcPr>
          <w:p>
            <w:pPr>
              <w:jc w:val="right"/>
              <w:ind w:right="9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13,611</w:t>
            </w:r>
          </w:p>
        </w:tc>
        <w:tc>
          <w:tcPr>
            <w:tcW w:w="14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SUPPLEMENTAL DISCLOSURE OF NON-CASH INVESTING AND FINANCING</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1140" w:type="dxa"/>
            <w:vAlign w:val="bottom"/>
            <w:shd w:val="clear" w:color="auto" w:fill="CCEEFF"/>
          </w:tcPr>
          <w:p>
            <w:pPr>
              <w:jc w:val="right"/>
              <w:ind w:right="98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gridSpan w:val="2"/>
            <w:vMerge w:val="restart"/>
          </w:tcPr>
          <w:p>
            <w:pPr>
              <w:ind w:left="56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(1), (2), (3), (4)</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- 121.5%</w:t>
            </w: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(10.5%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6/11/20)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7,571</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9,045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7,571</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First Lien Debt (10% PIK, Due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Manufacturer</w:t>
            </w:r>
          </w:p>
        </w:tc>
        <w:tc>
          <w:tcPr>
            <w:tcW w:w="2200" w:type="dxa"/>
            <w:vAlign w:val="bottom"/>
            <w:gridSpan w:val="2"/>
          </w:tcPr>
          <w:p>
            <w:pPr>
              <w:ind w:left="120"/>
              <w:spacing w:after="0" w:line="208" w:lineRule="exact"/>
              <w:rPr>
                <w:sz w:val="20"/>
                <w:szCs w:val="20"/>
                <w:color w:val="auto"/>
              </w:rPr>
            </w:pPr>
            <w:r>
              <w:rPr>
                <w:rFonts w:ascii="Arial" w:cs="Arial" w:eastAsia="Arial" w:hAnsi="Arial"/>
                <w:sz w:val="14"/>
                <w:szCs w:val="14"/>
                <w:color w:val="auto"/>
              </w:rPr>
              <w:t xml:space="preserve">1/1/19) </w:t>
            </w:r>
            <w:r>
              <w:rPr>
                <w:rFonts w:ascii="Arial" w:cs="Arial" w:eastAsia="Arial" w:hAnsi="Arial"/>
                <w:sz w:val="23"/>
                <w:szCs w:val="23"/>
                <w:color w:val="auto"/>
                <w:vertAlign w:val="superscript"/>
              </w:rPr>
              <w:t>(5)(6)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2,706</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Manufacturer</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fully 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5,429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2,706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AmeriMark Direct,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First Lien Debt (12.75%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9/8/21)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19,400</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18,980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19,400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B&amp;W Quality Growers,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Farming</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7"/>
              </w:rPr>
              <w:t>Membership Unit Warrants (91,739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5,724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(13.2%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9"/>
              </w:rPr>
              <w:t>Series A Preferred Stock (350,000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shares, 8% PIK) </w:t>
            </w:r>
            <w:r>
              <w:rPr>
                <w:rFonts w:ascii="Arial" w:cs="Arial" w:eastAsia="Arial" w:hAnsi="Arial"/>
                <w:sz w:val="23"/>
                <w:szCs w:val="23"/>
                <w:color w:val="auto"/>
                <w:vertAlign w:val="superscript"/>
              </w:rPr>
              <w:t>(8)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10,735</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Bluestem Brands,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Online Merchandise Retailer</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First Lien Debt (8.74% Cash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+ 7.5%, 1% Floor),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Due 11/7/20)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4,092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3,840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First Lien Debt (8% Cash (1 month</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 2% Floor),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5/22/20)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(16.25%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+ 14.25%, 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Due 5/22/20)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Preferred Shares (2,966 shares, 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10,783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13,330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Burke America Parts Group, LLC</w:t>
            </w:r>
          </w:p>
        </w:tc>
        <w:tc>
          <w:tcPr>
            <w:tcW w:w="2060" w:type="dxa"/>
            <w:vAlign w:val="bottom"/>
          </w:tcPr>
          <w:p>
            <w:pPr>
              <w:spacing w:after="0"/>
              <w:rPr>
                <w:sz w:val="20"/>
                <w:szCs w:val="20"/>
                <w:color w:val="auto"/>
              </w:rPr>
            </w:pPr>
            <w:r>
              <w:rPr>
                <w:rFonts w:ascii="Arial" w:cs="Arial" w:eastAsia="Arial" w:hAnsi="Arial"/>
                <w:sz w:val="14"/>
                <w:szCs w:val="14"/>
                <w:color w:val="auto"/>
                <w:w w:val="99"/>
              </w:rPr>
              <w:t>Home Repair Parts Manufacturer</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Membership Units (14 units)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3,213</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Restaurant</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Second Lien Debt (11.24%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+ 10%,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8/23/23)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Caregiver Services, Inc.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In-Home Healthcare Services</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(293,186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Caregiver Services, Inc.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In-Home Healthcare Services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w w:val="98"/>
              </w:rPr>
              <w:t>Common Stock Warrants (655,908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Cedar Electronics Holding Corp.</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Consumer Electronics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Subordinated Debt (12%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12/26/20) </w:t>
            </w:r>
            <w:r>
              <w:rPr>
                <w:rFonts w:ascii="Arial" w:cs="Arial" w:eastAsia="Arial" w:hAnsi="Arial"/>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8,477</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CIS Secure Computing,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Government Services</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First Lien Debt (9.73% Cash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+ 8.5%, 1% Floor),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1% PIK, Due 9/14/22) </w:t>
            </w:r>
            <w:r>
              <w:rPr>
                <w:rFonts w:ascii="Arial" w:cs="Arial" w:eastAsia="Arial" w:hAnsi="Arial"/>
                <w:sz w:val="22"/>
                <w:szCs w:val="22"/>
                <w:color w:val="auto"/>
                <w:vertAlign w:val="superscript"/>
              </w:rPr>
              <w:t>(10)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7,070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7,070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7,070</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CIS Secure Computing, Inc.</w:t>
            </w:r>
          </w:p>
        </w:tc>
        <w:tc>
          <w:tcPr>
            <w:tcW w:w="2060" w:type="dxa"/>
            <w:vAlign w:val="bottom"/>
          </w:tcPr>
          <w:p>
            <w:pPr>
              <w:spacing w:after="0"/>
              <w:rPr>
                <w:sz w:val="20"/>
                <w:szCs w:val="20"/>
                <w:color w:val="auto"/>
              </w:rPr>
            </w:pPr>
            <w:r>
              <w:rPr>
                <w:rFonts w:ascii="Arial" w:cs="Arial" w:eastAsia="Arial" w:hAnsi="Arial"/>
                <w:sz w:val="14"/>
                <w:szCs w:val="14"/>
                <w:color w:val="auto"/>
              </w:rPr>
              <w:t>Government Services</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Common Stock (46,163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2520" w:type="dxa"/>
            <w:vAlign w:val="bottom"/>
            <w:vMerge w:val="restart"/>
          </w:tcPr>
          <w:p>
            <w:pPr>
              <w:ind w:left="58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(1), (2), (3), (4)</w:t>
            </w:r>
          </w:p>
        </w:tc>
        <w:tc>
          <w:tcPr>
            <w:tcW w:w="120" w:type="dxa"/>
            <w:vAlign w:val="bottom"/>
            <w:vMerge w:val="restart"/>
          </w:tcPr>
          <w:p>
            <w:pPr>
              <w:spacing w:after="0"/>
              <w:rPr>
                <w:sz w:val="16"/>
                <w:szCs w:val="16"/>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96"/>
        </w:trPr>
        <w:tc>
          <w:tcPr>
            <w:tcW w:w="2640" w:type="dxa"/>
            <w:vAlign w:val="bottom"/>
            <w:gridSpan w:val="2"/>
          </w:tcPr>
          <w:p>
            <w:pPr>
              <w:spacing w:after="0"/>
              <w:rPr>
                <w:sz w:val="20"/>
                <w:szCs w:val="20"/>
                <w:color w:val="auto"/>
              </w:rPr>
            </w:pPr>
            <w:r>
              <w:rPr>
                <w:rFonts w:ascii="Arial" w:cs="Arial" w:eastAsia="Arial" w:hAnsi="Arial"/>
                <w:sz w:val="14"/>
                <w:szCs w:val="14"/>
                <w:color w:val="auto"/>
              </w:rPr>
              <w:t>Corporate Visions, Inc.</w:t>
            </w:r>
          </w:p>
        </w:tc>
        <w:tc>
          <w:tcPr>
            <w:tcW w:w="2060" w:type="dxa"/>
            <w:vAlign w:val="bottom"/>
          </w:tcPr>
          <w:p>
            <w:pPr>
              <w:spacing w:after="0"/>
              <w:rPr>
                <w:sz w:val="20"/>
                <w:szCs w:val="20"/>
                <w:color w:val="auto"/>
              </w:rPr>
            </w:pPr>
            <w:r>
              <w:rPr>
                <w:rFonts w:ascii="Arial" w:cs="Arial" w:eastAsia="Arial" w:hAnsi="Arial"/>
                <w:sz w:val="14"/>
                <w:szCs w:val="14"/>
                <w:color w:val="auto"/>
              </w:rPr>
              <w:t>Sales &amp; Marketing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Subordinated Debt (9% Cash, 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PIK, Due 11/29/21)</w:t>
            </w:r>
          </w:p>
        </w:tc>
        <w:tc>
          <w:tcPr>
            <w:tcW w:w="920" w:type="dxa"/>
            <w:vAlign w:val="bottom"/>
          </w:tcPr>
          <w:p>
            <w:pPr>
              <w:jc w:val="right"/>
              <w:spacing w:after="0"/>
              <w:rPr>
                <w:sz w:val="20"/>
                <w:szCs w:val="20"/>
                <w:color w:val="auto"/>
              </w:rPr>
            </w:pPr>
            <w:r>
              <w:rPr>
                <w:rFonts w:ascii="Arial" w:cs="Arial" w:eastAsia="Arial" w:hAnsi="Arial"/>
                <w:sz w:val="14"/>
                <w:szCs w:val="14"/>
                <w:color w:val="auto"/>
              </w:rPr>
              <w:t>16,515</w:t>
            </w:r>
          </w:p>
        </w:tc>
        <w:tc>
          <w:tcPr>
            <w:tcW w:w="0" w:type="dxa"/>
            <w:vAlign w:val="bottom"/>
          </w:tcPr>
          <w:p>
            <w:pPr>
              <w:spacing w:after="0"/>
              <w:rPr>
                <w:sz w:val="1"/>
                <w:szCs w:val="1"/>
                <w:color w:val="auto"/>
              </w:rPr>
            </w:pPr>
          </w:p>
        </w:tc>
      </w:tr>
      <w:tr>
        <w:trPr>
          <w:trHeight w:val="297"/>
        </w:trPr>
        <w:tc>
          <w:tcPr>
            <w:tcW w:w="2640" w:type="dxa"/>
            <w:vAlign w:val="bottom"/>
            <w:gridSpan w:val="2"/>
          </w:tcPr>
          <w:p>
            <w:pPr>
              <w:spacing w:after="0"/>
              <w:rPr>
                <w:sz w:val="20"/>
                <w:szCs w:val="20"/>
                <w:color w:val="auto"/>
              </w:rPr>
            </w:pPr>
            <w:r>
              <w:rPr>
                <w:rFonts w:ascii="Arial" w:cs="Arial" w:eastAsia="Arial" w:hAnsi="Arial"/>
                <w:sz w:val="14"/>
                <w:szCs w:val="14"/>
                <w:color w:val="auto"/>
              </w:rPr>
              <w:t>Corporate Visions, Inc.</w:t>
            </w:r>
          </w:p>
        </w:tc>
        <w:tc>
          <w:tcPr>
            <w:tcW w:w="2060" w:type="dxa"/>
            <w:vAlign w:val="bottom"/>
          </w:tcPr>
          <w:p>
            <w:pPr>
              <w:spacing w:after="0"/>
              <w:rPr>
                <w:sz w:val="20"/>
                <w:szCs w:val="20"/>
                <w:color w:val="auto"/>
              </w:rPr>
            </w:pPr>
            <w:r>
              <w:rPr>
                <w:rFonts w:ascii="Arial" w:cs="Arial" w:eastAsia="Arial" w:hAnsi="Arial"/>
                <w:sz w:val="14"/>
                <w:szCs w:val="14"/>
                <w:color w:val="auto"/>
              </w:rPr>
              <w:t>Sales &amp; Marketing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Common Stock (15,750 shares)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Currency Capital, LLC</w:t>
            </w:r>
          </w:p>
        </w:tc>
        <w:tc>
          <w:tcPr>
            <w:tcW w:w="2060" w:type="dxa"/>
            <w:vAlign w:val="bottom"/>
          </w:tcPr>
          <w:p>
            <w:pPr>
              <w:spacing w:after="0"/>
              <w:rPr>
                <w:sz w:val="20"/>
                <w:szCs w:val="20"/>
                <w:color w:val="auto"/>
              </w:rPr>
            </w:pPr>
            <w:r>
              <w:rPr>
                <w:rFonts w:ascii="Arial" w:cs="Arial" w:eastAsia="Arial" w:hAnsi="Arial"/>
                <w:sz w:val="14"/>
                <w:szCs w:val="14"/>
                <w:color w:val="auto"/>
              </w:rPr>
              <w:t>Financial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(12.23% Cash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+ 11%, 0.50%</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Floor) Due 1/20/22) </w:t>
            </w:r>
            <w:r>
              <w:rPr>
                <w:rFonts w:ascii="Arial" w:cs="Arial" w:eastAsia="Arial" w:hAnsi="Arial"/>
                <w:sz w:val="23"/>
                <w:szCs w:val="23"/>
                <w:color w:val="auto"/>
                <w:vertAlign w:val="superscript"/>
              </w:rPr>
              <w:t>(11)</w:t>
            </w:r>
          </w:p>
        </w:tc>
        <w:tc>
          <w:tcPr>
            <w:tcW w:w="920" w:type="dxa"/>
            <w:vAlign w:val="bottom"/>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73"/>
        </w:trPr>
        <w:tc>
          <w:tcPr>
            <w:tcW w:w="2640" w:type="dxa"/>
            <w:vAlign w:val="bottom"/>
            <w:gridSpan w:val="2"/>
          </w:tcPr>
          <w:p>
            <w:pPr>
              <w:spacing w:after="0"/>
              <w:rPr>
                <w:sz w:val="20"/>
                <w:szCs w:val="20"/>
                <w:color w:val="auto"/>
              </w:rPr>
            </w:pPr>
            <w:r>
              <w:rPr>
                <w:rFonts w:ascii="Arial" w:cs="Arial" w:eastAsia="Arial" w:hAnsi="Arial"/>
                <w:sz w:val="14"/>
                <w:szCs w:val="14"/>
                <w:color w:val="auto"/>
              </w:rPr>
              <w:t>Currency Capital, LLC</w:t>
            </w:r>
          </w:p>
        </w:tc>
        <w:tc>
          <w:tcPr>
            <w:tcW w:w="2060" w:type="dxa"/>
            <w:vAlign w:val="bottom"/>
          </w:tcPr>
          <w:p>
            <w:pPr>
              <w:spacing w:after="0"/>
              <w:rPr>
                <w:sz w:val="20"/>
                <w:szCs w:val="20"/>
                <w:color w:val="auto"/>
              </w:rPr>
            </w:pPr>
            <w:r>
              <w:rPr>
                <w:rFonts w:ascii="Arial" w:cs="Arial" w:eastAsia="Arial" w:hAnsi="Arial"/>
                <w:sz w:val="14"/>
                <w:szCs w:val="14"/>
                <w:color w:val="auto"/>
              </w:rPr>
              <w:t>Financial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Class A Preferred Units (2,000,000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4"/>
                <w:szCs w:val="14"/>
                <w:color w:val="auto"/>
              </w:rPr>
              <w:t>Flavors Holdings, Inc.</w:t>
            </w:r>
          </w:p>
        </w:tc>
        <w:tc>
          <w:tcPr>
            <w:tcW w:w="2060" w:type="dxa"/>
            <w:vAlign w:val="bottom"/>
          </w:tcPr>
          <w:p>
            <w:pPr>
              <w:spacing w:after="0"/>
              <w:rPr>
                <w:sz w:val="20"/>
                <w:szCs w:val="20"/>
                <w:color w:val="auto"/>
              </w:rPr>
            </w:pPr>
            <w:r>
              <w:rPr>
                <w:rFonts w:ascii="Arial" w:cs="Arial" w:eastAsia="Arial" w:hAnsi="Arial"/>
                <w:sz w:val="14"/>
                <w:szCs w:val="14"/>
                <w:color w:val="auto"/>
              </w:rPr>
              <w:t>Food Product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(7.08% Cash (3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+ 5.75%,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4/3/20)</w:t>
            </w:r>
          </w:p>
        </w:tc>
        <w:tc>
          <w:tcPr>
            <w:tcW w:w="920" w:type="dxa"/>
            <w:vAlign w:val="bottom"/>
          </w:tcPr>
          <w:p>
            <w:pPr>
              <w:jc w:val="right"/>
              <w:spacing w:after="0"/>
              <w:rPr>
                <w:sz w:val="20"/>
                <w:szCs w:val="20"/>
                <w:color w:val="auto"/>
              </w:rPr>
            </w:pPr>
            <w:r>
              <w:rPr>
                <w:rFonts w:ascii="Arial" w:cs="Arial" w:eastAsia="Arial" w:hAnsi="Arial"/>
                <w:sz w:val="14"/>
                <w:szCs w:val="14"/>
                <w:color w:val="auto"/>
              </w:rPr>
              <w:t>6,800</w:t>
            </w: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Flavors Holdings, Inc.</w:t>
            </w:r>
          </w:p>
        </w:tc>
        <w:tc>
          <w:tcPr>
            <w:tcW w:w="2060" w:type="dxa"/>
            <w:vAlign w:val="bottom"/>
          </w:tcPr>
          <w:p>
            <w:pPr>
              <w:spacing w:after="0"/>
              <w:rPr>
                <w:sz w:val="20"/>
                <w:szCs w:val="20"/>
                <w:color w:val="auto"/>
              </w:rPr>
            </w:pPr>
            <w:r>
              <w:rPr>
                <w:rFonts w:ascii="Arial" w:cs="Arial" w:eastAsia="Arial" w:hAnsi="Arial"/>
                <w:sz w:val="14"/>
                <w:szCs w:val="14"/>
                <w:color w:val="auto"/>
              </w:rPr>
              <w:t>Food Product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w w:val="98"/>
              </w:rPr>
              <w:t>Second Lien Debt (11.33% Cash (3</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+ 10%,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10/3/21)</w:t>
            </w:r>
          </w:p>
        </w:tc>
        <w:tc>
          <w:tcPr>
            <w:tcW w:w="920" w:type="dxa"/>
            <w:vAlign w:val="bottom"/>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462"/>
        </w:trPr>
        <w:tc>
          <w:tcPr>
            <w:tcW w:w="2640" w:type="dxa"/>
            <w:vAlign w:val="bottom"/>
            <w:gridSpan w:val="2"/>
          </w:tcPr>
          <w:p>
            <w:pPr>
              <w:spacing w:after="0"/>
              <w:rPr>
                <w:sz w:val="20"/>
                <w:szCs w:val="20"/>
                <w:color w:val="auto"/>
              </w:rPr>
            </w:pPr>
            <w:r>
              <w:rPr>
                <w:rFonts w:ascii="Arial" w:cs="Arial" w:eastAsia="Arial" w:hAnsi="Arial"/>
                <w:sz w:val="14"/>
                <w:szCs w:val="14"/>
                <w:color w:val="auto"/>
              </w:rPr>
              <w:t>Immersive Media Tactical Solutions, LLC</w:t>
            </w:r>
          </w:p>
        </w:tc>
        <w:tc>
          <w:tcPr>
            <w:tcW w:w="2060" w:type="dxa"/>
            <w:vAlign w:val="bottom"/>
          </w:tcPr>
          <w:p>
            <w:pPr>
              <w:spacing w:after="0"/>
              <w:rPr>
                <w:sz w:val="20"/>
                <w:szCs w:val="20"/>
                <w:color w:val="auto"/>
              </w:rPr>
            </w:pPr>
            <w:r>
              <w:rPr>
                <w:rFonts w:ascii="Arial" w:cs="Arial" w:eastAsia="Arial" w:hAnsi="Arial"/>
                <w:sz w:val="14"/>
                <w:szCs w:val="14"/>
                <w:color w:val="auto"/>
              </w:rPr>
              <w:t>Specialty Defense Contractor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Subordinated Debt (Due 12/9/19)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0" w:type="dxa"/>
            <w:vAlign w:val="bottom"/>
            <w:gridSpan w:val="2"/>
          </w:tcPr>
          <w:p>
            <w:pPr>
              <w:ind w:left="12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(8.23% Cash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+ 7%,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1% PIK, Due 12/14/20)</w:t>
            </w:r>
          </w:p>
        </w:tc>
        <w:tc>
          <w:tcPr>
            <w:tcW w:w="920" w:type="dxa"/>
            <w:vAlign w:val="bottom"/>
          </w:tcPr>
          <w:p>
            <w:pPr>
              <w:jc w:val="right"/>
              <w:spacing w:after="0"/>
              <w:rPr>
                <w:sz w:val="20"/>
                <w:szCs w:val="20"/>
                <w:color w:val="auto"/>
              </w:rPr>
            </w:pPr>
            <w:r>
              <w:rPr>
                <w:rFonts w:ascii="Arial" w:cs="Arial" w:eastAsia="Arial" w:hAnsi="Arial"/>
                <w:sz w:val="14"/>
                <w:szCs w:val="14"/>
                <w:color w:val="auto"/>
              </w:rPr>
              <w:t>9,006</w:t>
            </w: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(12.73% Cash (1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+ 11.5%,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2% PIK, Due 12/14/20)</w:t>
            </w:r>
          </w:p>
        </w:tc>
        <w:tc>
          <w:tcPr>
            <w:tcW w:w="920" w:type="dxa"/>
            <w:vAlign w:val="bottom"/>
          </w:tcPr>
          <w:p>
            <w:pPr>
              <w:jc w:val="right"/>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273"/>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Preferred Stock (2,400 Units, 10%</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4"/>
                <w:szCs w:val="14"/>
                <w:color w:val="auto"/>
              </w:rPr>
              <w:t>Portrait Innovations, Inc.</w:t>
            </w:r>
          </w:p>
        </w:tc>
        <w:tc>
          <w:tcPr>
            <w:tcW w:w="2060" w:type="dxa"/>
            <w:vAlign w:val="bottom"/>
          </w:tcPr>
          <w:p>
            <w:pPr>
              <w:spacing w:after="0"/>
              <w:rPr>
                <w:sz w:val="20"/>
                <w:szCs w:val="20"/>
                <w:color w:val="auto"/>
              </w:rPr>
            </w:pPr>
            <w:r>
              <w:rPr>
                <w:rFonts w:ascii="Arial" w:cs="Arial" w:eastAsia="Arial" w:hAnsi="Arial"/>
                <w:sz w:val="14"/>
                <w:szCs w:val="14"/>
                <w:color w:val="auto"/>
                <w:w w:val="98"/>
              </w:rPr>
              <w:t>Professional and Personal Digital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(9%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Imaging</w:t>
            </w: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 xml:space="preserve">12/27/17) </w:t>
            </w:r>
            <w:r>
              <w:rPr>
                <w:rFonts w:ascii="Arial" w:cs="Arial" w:eastAsia="Arial" w:hAnsi="Arial"/>
                <w:sz w:val="23"/>
                <w:szCs w:val="23"/>
                <w:color w:val="auto"/>
                <w:vertAlign w:val="superscript"/>
              </w:rPr>
              <w:t>(13)</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Arial" w:cs="Arial" w:eastAsia="Arial" w:hAnsi="Arial"/>
                <w:sz w:val="14"/>
                <w:szCs w:val="14"/>
                <w:color w:val="auto"/>
              </w:rPr>
              <w:t>Portrait Innovations, Inc.</w:t>
            </w:r>
          </w:p>
        </w:tc>
        <w:tc>
          <w:tcPr>
            <w:tcW w:w="2060" w:type="dxa"/>
            <w:vAlign w:val="bottom"/>
          </w:tcPr>
          <w:p>
            <w:pPr>
              <w:spacing w:after="0"/>
              <w:rPr>
                <w:sz w:val="20"/>
                <w:szCs w:val="20"/>
                <w:color w:val="auto"/>
              </w:rPr>
            </w:pPr>
            <w:r>
              <w:rPr>
                <w:rFonts w:ascii="Arial" w:cs="Arial" w:eastAsia="Arial" w:hAnsi="Arial"/>
                <w:sz w:val="14"/>
                <w:szCs w:val="14"/>
                <w:color w:val="auto"/>
                <w:w w:val="98"/>
              </w:rPr>
              <w:t>Professional and Personal Digital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(9.6% Cash, Due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Imaging</w:t>
            </w: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2/26/20)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Sequoia Healthcare Management, LLC</w:t>
            </w:r>
          </w:p>
        </w:tc>
        <w:tc>
          <w:tcPr>
            <w:tcW w:w="2060" w:type="dxa"/>
            <w:vAlign w:val="bottom"/>
          </w:tcPr>
          <w:p>
            <w:pPr>
              <w:spacing w:after="0"/>
              <w:rPr>
                <w:sz w:val="20"/>
                <w:szCs w:val="20"/>
                <w:color w:val="auto"/>
              </w:rPr>
            </w:pPr>
            <w:r>
              <w:rPr>
                <w:rFonts w:ascii="Arial" w:cs="Arial" w:eastAsia="Arial" w:hAnsi="Arial"/>
                <w:sz w:val="14"/>
                <w:szCs w:val="14"/>
                <w:color w:val="auto"/>
              </w:rPr>
              <w:t>Healthcare Management</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(13% Cash, 4%</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PIK, Due 7/17/19)</w:t>
            </w:r>
          </w:p>
        </w:tc>
        <w:tc>
          <w:tcPr>
            <w:tcW w:w="920" w:type="dxa"/>
            <w:vAlign w:val="bottom"/>
          </w:tcPr>
          <w:p>
            <w:pPr>
              <w:jc w:val="right"/>
              <w:spacing w:after="0"/>
              <w:rPr>
                <w:sz w:val="20"/>
                <w:szCs w:val="20"/>
                <w:color w:val="auto"/>
              </w:rPr>
            </w:pPr>
            <w:r>
              <w:rPr>
                <w:rFonts w:ascii="Arial" w:cs="Arial" w:eastAsia="Arial" w:hAnsi="Arial"/>
                <w:sz w:val="14"/>
                <w:szCs w:val="14"/>
                <w:color w:val="auto"/>
              </w:rPr>
              <w:t>9,892</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Sur La Table, Inc.</w:t>
            </w:r>
          </w:p>
        </w:tc>
        <w:tc>
          <w:tcPr>
            <w:tcW w:w="2060" w:type="dxa"/>
            <w:vAlign w:val="bottom"/>
          </w:tcPr>
          <w:p>
            <w:pPr>
              <w:spacing w:after="0"/>
              <w:rPr>
                <w:sz w:val="20"/>
                <w:szCs w:val="20"/>
                <w:color w:val="auto"/>
              </w:rPr>
            </w:pPr>
            <w:r>
              <w:rPr>
                <w:rFonts w:ascii="Arial" w:cs="Arial" w:eastAsia="Arial" w:hAnsi="Arial"/>
                <w:sz w:val="14"/>
                <w:szCs w:val="14"/>
                <w:color w:val="auto"/>
              </w:rPr>
              <w:t>Retail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7/28/20)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Taylor Precision Products, Inc.</w:t>
            </w:r>
          </w:p>
        </w:tc>
        <w:tc>
          <w:tcPr>
            <w:tcW w:w="2060" w:type="dxa"/>
            <w:vAlign w:val="bottom"/>
          </w:tcPr>
          <w:p>
            <w:pPr>
              <w:spacing w:after="0"/>
              <w:rPr>
                <w:sz w:val="20"/>
                <w:szCs w:val="20"/>
                <w:color w:val="auto"/>
              </w:rPr>
            </w:pPr>
            <w:r>
              <w:rPr>
                <w:rFonts w:ascii="Arial" w:cs="Arial" w:eastAsia="Arial" w:hAnsi="Arial"/>
                <w:sz w:val="14"/>
                <w:szCs w:val="14"/>
                <w:color w:val="auto"/>
                <w:w w:val="99"/>
              </w:rPr>
              <w:t>Household Product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Series C Preferred Stock (379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2"/>
        </w:trPr>
        <w:tc>
          <w:tcPr>
            <w:tcW w:w="2640" w:type="dxa"/>
            <w:vAlign w:val="bottom"/>
            <w:gridSpan w:val="2"/>
          </w:tcPr>
          <w:p>
            <w:pPr>
              <w:spacing w:after="0"/>
              <w:rPr>
                <w:sz w:val="20"/>
                <w:szCs w:val="20"/>
                <w:color w:val="auto"/>
              </w:rPr>
            </w:pPr>
            <w:r>
              <w:rPr>
                <w:rFonts w:ascii="Arial" w:cs="Arial" w:eastAsia="Arial" w:hAnsi="Arial"/>
                <w:sz w:val="14"/>
                <w:szCs w:val="14"/>
                <w:color w:val="auto"/>
              </w:rPr>
              <w:t>Velum Global Credit Management, LLC</w:t>
            </w:r>
          </w:p>
        </w:tc>
        <w:tc>
          <w:tcPr>
            <w:tcW w:w="2060" w:type="dxa"/>
            <w:vAlign w:val="bottom"/>
          </w:tcPr>
          <w:p>
            <w:pPr>
              <w:spacing w:after="0"/>
              <w:rPr>
                <w:sz w:val="20"/>
                <w:szCs w:val="20"/>
                <w:color w:val="auto"/>
              </w:rPr>
            </w:pPr>
            <w:r>
              <w:rPr>
                <w:rFonts w:ascii="Arial" w:cs="Arial" w:eastAsia="Arial" w:hAnsi="Arial"/>
                <w:sz w:val="14"/>
                <w:szCs w:val="14"/>
                <w:color w:val="auto"/>
              </w:rPr>
              <w:t>Financial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(15% PIK,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8"/>
                <w:szCs w:val="28"/>
                <w:color w:val="auto"/>
                <w:vertAlign w:val="subscript"/>
              </w:rPr>
              <w:t>12/31/17)</w:t>
            </w:r>
            <w:r>
              <w:rPr>
                <w:rFonts w:ascii="Arial" w:cs="Arial" w:eastAsia="Arial" w:hAnsi="Arial"/>
                <w:sz w:val="12"/>
                <w:szCs w:val="12"/>
                <w:color w:val="auto"/>
              </w:rPr>
              <w:t xml:space="preserve"> (5)(11)(14)</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11,816</w:t>
            </w:r>
          </w:p>
        </w:tc>
        <w:tc>
          <w:tcPr>
            <w:tcW w:w="0" w:type="dxa"/>
            <w:vAlign w:val="bottom"/>
          </w:tcPr>
          <w:p>
            <w:pPr>
              <w:spacing w:after="0"/>
              <w:rPr>
                <w:sz w:val="1"/>
                <w:szCs w:val="1"/>
                <w:color w:val="auto"/>
              </w:rPr>
            </w:pPr>
          </w:p>
        </w:tc>
      </w:tr>
      <w:tr>
        <w:trPr>
          <w:trHeight w:val="291"/>
        </w:trPr>
        <w:tc>
          <w:tcPr>
            <w:tcW w:w="2640" w:type="dxa"/>
            <w:vAlign w:val="bottom"/>
            <w:gridSpan w:val="2"/>
          </w:tcPr>
          <w:p>
            <w:pPr>
              <w:spacing w:after="0"/>
              <w:rPr>
                <w:sz w:val="20"/>
                <w:szCs w:val="20"/>
                <w:color w:val="auto"/>
              </w:rPr>
            </w:pPr>
            <w:r>
              <w:rPr>
                <w:rFonts w:ascii="Arial" w:cs="Arial" w:eastAsia="Arial" w:hAnsi="Arial"/>
                <w:sz w:val="14"/>
                <w:szCs w:val="14"/>
                <w:color w:val="auto"/>
              </w:rPr>
              <w:t>Vintage Stock, Inc.</w:t>
            </w:r>
          </w:p>
        </w:tc>
        <w:tc>
          <w:tcPr>
            <w:tcW w:w="2060" w:type="dxa"/>
            <w:vAlign w:val="bottom"/>
          </w:tcPr>
          <w:p>
            <w:pPr>
              <w:spacing w:after="0"/>
              <w:rPr>
                <w:sz w:val="20"/>
                <w:szCs w:val="20"/>
                <w:color w:val="auto"/>
              </w:rPr>
            </w:pPr>
            <w:r>
              <w:rPr>
                <w:rFonts w:ascii="Arial" w:cs="Arial" w:eastAsia="Arial" w:hAnsi="Arial"/>
                <w:sz w:val="14"/>
                <w:szCs w:val="14"/>
                <w:color w:val="auto"/>
              </w:rPr>
              <w:t>Specialty Retail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(13.74% Cash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+ 12.5%, 0.5%</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floor), 3% PIK, Due 11/3/21)</w:t>
            </w:r>
          </w:p>
        </w:tc>
        <w:tc>
          <w:tcPr>
            <w:tcW w:w="920" w:type="dxa"/>
            <w:vAlign w:val="bottom"/>
          </w:tcPr>
          <w:p>
            <w:pPr>
              <w:jc w:val="right"/>
              <w:spacing w:after="0"/>
              <w:rPr>
                <w:sz w:val="20"/>
                <w:szCs w:val="20"/>
                <w:color w:val="auto"/>
              </w:rPr>
            </w:pPr>
            <w:r>
              <w:rPr>
                <w:rFonts w:ascii="Arial" w:cs="Arial" w:eastAsia="Arial" w:hAnsi="Arial"/>
                <w:sz w:val="14"/>
                <w:szCs w:val="14"/>
                <w:color w:val="auto"/>
              </w:rPr>
              <w:t>21,288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-6741160</wp:posOffset>
            </wp:positionV>
            <wp:extent cx="724662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-6534785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-6252210</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-6046470</wp:posOffset>
            </wp:positionV>
            <wp:extent cx="72466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-5634355</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-5317490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-4733925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-4339590</wp:posOffset>
            </wp:positionV>
            <wp:extent cx="72466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-4030980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-3825240</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-3448050</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-3070225</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-2744470</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-2426970</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-2135505</wp:posOffset>
            </wp:positionV>
            <wp:extent cx="72466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-1929765</wp:posOffset>
            </wp:positionV>
            <wp:extent cx="72466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-1629410</wp:posOffset>
            </wp:positionV>
            <wp:extent cx="72466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-1329690</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-1123950</wp:posOffset>
            </wp:positionV>
            <wp:extent cx="72466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020" w:type="dxa"/>
            <w:vAlign w:val="bottom"/>
            <w:gridSpan w:val="3"/>
          </w:tcPr>
          <w:p>
            <w:pPr>
              <w:jc w:val="center"/>
              <w:ind w:right="7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00" w:type="dxa"/>
            <w:vAlign w:val="bottom"/>
          </w:tcPr>
          <w:p>
            <w:pPr>
              <w:jc w:val="right"/>
              <w:spacing w:after="0"/>
              <w:rPr>
                <w:sz w:val="20"/>
                <w:szCs w:val="20"/>
                <w:color w:val="auto"/>
              </w:rPr>
            </w:pPr>
            <w:r>
              <w:rPr>
                <w:rFonts w:ascii="Arial" w:cs="Arial" w:eastAsia="Arial" w:hAnsi="Arial"/>
                <w:sz w:val="14"/>
                <w:szCs w:val="14"/>
                <w:color w:val="auto"/>
              </w:rPr>
              <w:t>8,070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8,070</w:t>
            </w: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900" w:type="dxa"/>
            <w:vAlign w:val="bottom"/>
          </w:tcPr>
          <w:p>
            <w:pPr>
              <w:jc w:val="right"/>
              <w:spacing w:after="0"/>
              <w:rPr>
                <w:sz w:val="20"/>
                <w:szCs w:val="20"/>
                <w:color w:val="auto"/>
              </w:rPr>
            </w:pPr>
            <w:r>
              <w:rPr>
                <w:rFonts w:ascii="Arial" w:cs="Arial" w:eastAsia="Arial" w:hAnsi="Arial"/>
                <w:sz w:val="14"/>
                <w:szCs w:val="14"/>
                <w:color w:val="auto"/>
              </w:rPr>
              <w:t>16,515</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15,252</w:t>
            </w: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89"/>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921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18,090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16,173</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64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16,000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47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18,000</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6,674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6,249</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11,723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10,525</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18,397</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16,774</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460"/>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9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7,460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7,460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47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2,866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8,932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19,332</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25,398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960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960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43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8,455</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9,415</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9,829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9,892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9,829</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9,892</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14,915</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14,915</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1,184</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1,184</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487"/>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11,816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11,232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11,816</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11,232</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21,288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21,288</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21,288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21,288</w:t>
            </w:r>
          </w:p>
        </w:tc>
        <w:tc>
          <w:tcPr>
            <w:tcW w:w="22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8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bl>
    <w:p>
      <w:pPr>
        <w:sectPr>
          <w:pgSz w:w="11900" w:h="16838" w:orient="portrait"/>
          <w:cols w:equalWidth="0" w:num="2">
            <w:col w:w="7940" w:space="220"/>
            <w:col w:w="3260"/>
          </w:cols>
          <w:pgMar w:left="240" w:top="85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gridSpan w:val="2"/>
            <w:vMerge w:val="restart"/>
          </w:tcPr>
          <w:p>
            <w:pPr>
              <w:ind w:left="56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(1), (2), (3), (4)</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Vology,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(15% Cash (3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month LIBOR + 14%, 1% Ceiling),</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4% PIK Due 1/24/21)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8,289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8,085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Western Windows Systems,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Building Products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First Lien Debt (11.7%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7/31/20) </w:t>
            </w:r>
            <w:r>
              <w:rPr>
                <w:rFonts w:ascii="Arial" w:cs="Arial" w:eastAsia="Arial" w:hAnsi="Arial"/>
                <w:sz w:val="22"/>
                <w:szCs w:val="22"/>
                <w:color w:val="auto"/>
                <w:vertAlign w:val="superscript"/>
              </w:rPr>
              <w:t>(7)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10,500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10,500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Western Windows Systems, LLC</w:t>
            </w:r>
          </w:p>
        </w:tc>
        <w:tc>
          <w:tcPr>
            <w:tcW w:w="2060" w:type="dxa"/>
            <w:vAlign w:val="bottom"/>
          </w:tcPr>
          <w:p>
            <w:pPr>
              <w:spacing w:after="0"/>
              <w:rPr>
                <w:sz w:val="20"/>
                <w:szCs w:val="20"/>
                <w:color w:val="auto"/>
              </w:rPr>
            </w:pPr>
            <w:r>
              <w:rPr>
                <w:rFonts w:ascii="Arial" w:cs="Arial" w:eastAsia="Arial" w:hAnsi="Arial"/>
                <w:sz w:val="14"/>
                <w:szCs w:val="14"/>
                <w:color w:val="auto"/>
              </w:rPr>
              <w:t>Building Products</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Membership Units (39,860 units)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7,452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17,952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Xirgo Technologies,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Information Technology</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Subordinated Debt (11.5% Cash,</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3/1/22)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Xirgo Technologies,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Information Technology</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Membership Units (600,000 units)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16,405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276,221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274,795</w:t>
            </w:r>
          </w:p>
        </w:tc>
        <w:tc>
          <w:tcPr>
            <w:tcW w:w="102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121.5</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Affiliate investments - 43.3%</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AAE Acquisition,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Second Lien Debt (8% Cash, 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PIK, Due 8/24/19) </w:t>
            </w:r>
            <w:r>
              <w:rPr>
                <w:rFonts w:ascii="Arial" w:cs="Arial" w:eastAsia="Arial" w:hAnsi="Arial"/>
                <w:sz w:val="22"/>
                <w:szCs w:val="22"/>
                <w:color w:val="auto"/>
                <w:vertAlign w:val="superscript"/>
              </w:rPr>
              <w:t>(5)</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15,688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15,688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15,374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AAE Acquisition,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Units (2.19% fully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AAE Acquisition, LLC</w:t>
            </w:r>
          </w:p>
        </w:tc>
        <w:tc>
          <w:tcPr>
            <w:tcW w:w="2060" w:type="dxa"/>
            <w:vAlign w:val="bottom"/>
          </w:tcPr>
          <w:p>
            <w:pPr>
              <w:spacing w:after="0"/>
              <w:rPr>
                <w:sz w:val="20"/>
                <w:szCs w:val="20"/>
                <w:color w:val="auto"/>
              </w:rPr>
            </w:pPr>
            <w:r>
              <w:rPr>
                <w:rFonts w:ascii="Arial" w:cs="Arial" w:eastAsia="Arial" w:hAnsi="Arial"/>
                <w:sz w:val="14"/>
                <w:szCs w:val="14"/>
                <w:color w:val="auto"/>
              </w:rPr>
              <w:t>Industrial Equipment Rental</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Warrants (37.78% fully diluted)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15,374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Automobile Part Manufacturer</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Subordinated Debt (14%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Automobile Part Manufacturer</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Subordinated Debt (12%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Automobile Part Manufacturer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Common Stock (1,253,198 shares)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9,320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w w:val="94"/>
              </w:rPr>
              <w:t>Subordinated Debt (13%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10/20/19) </w:t>
            </w:r>
            <w:r>
              <w:rPr>
                <w:rFonts w:ascii="Arial" w:cs="Arial" w:eastAsia="Arial" w:hAnsi="Arial"/>
                <w:sz w:val="22"/>
                <w:szCs w:val="22"/>
                <w:color w:val="auto"/>
                <w:vertAlign w:val="superscript"/>
              </w:rPr>
              <w:t>(5)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Preferred Membership Units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(2.78% fully diluted, 9% Cash</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 Warrants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(11.38% fully 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8,056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17,556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Advertising &amp; Marketing Services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Series A-1 Preferred Stock (1,998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Advertising &amp; Marketing Services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B-1 Common Stock</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(200,000 shares)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Subordinated Debt (6% Cash, 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PIK, Due 6/16/19) </w:t>
            </w:r>
            <w:r>
              <w:rPr>
                <w:rFonts w:ascii="Arial" w:cs="Arial" w:eastAsia="Arial" w:hAnsi="Arial"/>
                <w:sz w:val="22"/>
                <w:szCs w:val="22"/>
                <w:color w:val="auto"/>
                <w:vertAlign w:val="superscript"/>
              </w:rPr>
              <w:t>(5)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6,035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(8,182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Warrants (6,369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6,035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gridSpan w:val="2"/>
            <w:vMerge w:val="restart"/>
          </w:tcPr>
          <w:p>
            <w:pPr>
              <w:ind w:left="56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(1), (2), (3), (4)</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6"/>
                <w:szCs w:val="16"/>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QSR Franchisor</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4"/>
              </w:rPr>
              <w:t>Common Stock (1,500,000 shares)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8,404</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First Lien Debt (12% Cash, Due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tcPr>
          <w:p>
            <w:pPr>
              <w:ind w:left="120"/>
              <w:spacing w:after="0" w:line="140" w:lineRule="exact"/>
              <w:rPr>
                <w:sz w:val="20"/>
                <w:szCs w:val="20"/>
                <w:color w:val="auto"/>
              </w:rPr>
            </w:pPr>
            <w:r>
              <w:rPr>
                <w:rFonts w:ascii="Arial" w:cs="Arial" w:eastAsia="Arial" w:hAnsi="Arial"/>
                <w:sz w:val="14"/>
                <w:szCs w:val="14"/>
                <w:color w:val="auto"/>
                <w:w w:val="95"/>
              </w:rPr>
              <w:t>Subordinated Debt (6% Cash, Due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Preferred Units (1,000 units, 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1,497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MMI Holdings,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Medical Device Distributor</w:t>
            </w:r>
          </w:p>
        </w:tc>
        <w:tc>
          <w:tcPr>
            <w:tcW w:w="22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Common Membership Units (45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187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4,684</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MTI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6"/>
              </w:rPr>
              <w:t>Retail Display &amp; Security Services</w:t>
            </w:r>
          </w:p>
        </w:tc>
        <w:tc>
          <w:tcPr>
            <w:tcW w:w="2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Membership Units (2,000,000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Sierra Hamilton Holdings Corporation</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Oil &amp; Gas Engineering and</w:t>
            </w:r>
          </w:p>
        </w:tc>
        <w:tc>
          <w:tcPr>
            <w:tcW w:w="22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Common Stock (15,068,000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Consulting Services</w:t>
            </w: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6,958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6,958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6,958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 Capital Penray,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 Chemicals &amp;</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(11.3%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Lubricants</w:t>
            </w:r>
          </w:p>
        </w:tc>
        <w:tc>
          <w:tcPr>
            <w:tcW w:w="2200" w:type="dxa"/>
            <w:vAlign w:val="bottom"/>
            <w:gridSpan w:val="2"/>
            <w:shd w:val="clear" w:color="auto" w:fill="CCEEFF"/>
          </w:tcPr>
          <w:p>
            <w:pPr>
              <w:ind w:left="120"/>
              <w:spacing w:after="0" w:line="221" w:lineRule="exact"/>
              <w:rPr>
                <w:sz w:val="20"/>
                <w:szCs w:val="20"/>
                <w:color w:val="auto"/>
              </w:rPr>
            </w:pPr>
            <w:r>
              <w:rPr>
                <w:rFonts w:ascii="Arial" w:cs="Arial" w:eastAsia="Arial" w:hAnsi="Arial"/>
                <w:sz w:val="14"/>
                <w:szCs w:val="14"/>
                <w:color w:val="auto"/>
              </w:rPr>
              <w:t>ownership)</w:t>
            </w:r>
            <w:r>
              <w:rPr>
                <w:rFonts w:ascii="Arial" w:cs="Arial" w:eastAsia="Arial" w:hAnsi="Arial"/>
                <w:sz w:val="23"/>
                <w:szCs w:val="23"/>
                <w:color w:val="auto"/>
                <w:vertAlign w:val="superscript"/>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Dental Practice Management</w:t>
            </w:r>
          </w:p>
        </w:tc>
        <w:tc>
          <w:tcPr>
            <w:tcW w:w="220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4"/>
              </w:rPr>
              <w:t>Common Stock (1,200,000 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40" w:type="dxa"/>
            <w:vAlign w:val="bottom"/>
            <w:gridSpan w:val="3"/>
          </w:tcPr>
          <w:p>
            <w:pPr>
              <w:spacing w:after="0"/>
              <w:rPr>
                <w:sz w:val="20"/>
                <w:szCs w:val="20"/>
                <w:color w:val="auto"/>
              </w:rPr>
            </w:pPr>
            <w:r>
              <w:rPr>
                <w:rFonts w:ascii="Arial" w:cs="Arial" w:eastAsia="Arial" w:hAnsi="Arial"/>
                <w:sz w:val="14"/>
                <w:szCs w:val="14"/>
                <w:color w:val="auto"/>
              </w:rPr>
              <w:t>Inc.</w:t>
            </w:r>
          </w:p>
        </w:tc>
        <w:tc>
          <w:tcPr>
            <w:tcW w:w="2060" w:type="dxa"/>
            <w:vAlign w:val="bottom"/>
          </w:tcPr>
          <w:p>
            <w:pPr>
              <w:spacing w:after="0"/>
              <w:rPr>
                <w:sz w:val="16"/>
                <w:szCs w:val="16"/>
                <w:color w:val="auto"/>
              </w:rPr>
            </w:pPr>
          </w:p>
        </w:tc>
        <w:tc>
          <w:tcPr>
            <w:tcW w:w="2200" w:type="dxa"/>
            <w:vAlign w:val="bottom"/>
            <w:gridSpan w:val="2"/>
          </w:tcPr>
          <w:p>
            <w:pPr>
              <w:ind w:left="12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(7.24% Cash (1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month LIBOR + 6%, 1% floor),</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Due 2/2/22) </w:t>
            </w:r>
            <w:r>
              <w:rPr>
                <w:rFonts w:ascii="Arial" w:cs="Arial" w:eastAsia="Arial" w:hAnsi="Arial"/>
                <w:sz w:val="22"/>
                <w:szCs w:val="22"/>
                <w:color w:val="auto"/>
                <w:vertAlign w:val="superscript"/>
              </w:rPr>
              <w:t>(17)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 Services</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(12.24% PIK (1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+ 11%, 1% floor),</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Due 2/2/22)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9,230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Well Services, LLC</w:t>
            </w: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&amp; Gas Services</w:t>
            </w:r>
          </w:p>
        </w:tc>
        <w:tc>
          <w:tcPr>
            <w:tcW w:w="2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Units (5,680,688 Units)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11,014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Well Services,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Oil &amp; Gas Services</w:t>
            </w: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Class B Units (2,076,298 Units)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17,952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23,033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V12 Holdings, Inc.</w:t>
            </w:r>
          </w:p>
        </w:tc>
        <w:tc>
          <w:tcPr>
            <w:tcW w:w="206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200" w:type="dxa"/>
            <w:vAlign w:val="bottom"/>
            <w:gridSpan w:val="2"/>
          </w:tcPr>
          <w:p>
            <w:pPr>
              <w:ind w:left="120"/>
              <w:spacing w:after="0" w:line="162"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8"/>
                <w:szCs w:val="18"/>
                <w:color w:val="auto"/>
                <w:vertAlign w:val="superscript"/>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1,035</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76,414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98,101</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43.3</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investments- 43.4%</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 Cash, 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PIK, Due 5/24/18)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12,247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(19.7% fully</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fully diluted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13,641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12,411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Eastport Holdings,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0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8"/>
              </w:rPr>
              <w:t>Subordinated Debt (14.32% Cash</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 month LIBOR + 13%, 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Floor), Due 4/29/20)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14,549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00" w:type="dxa"/>
            <w:vAlign w:val="bottom"/>
            <w:vMerge w:val="restart"/>
          </w:tcPr>
          <w:p>
            <w:pPr>
              <w:ind w:left="56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(1), (2), (3), (4)</w:t>
            </w:r>
          </w:p>
        </w:tc>
        <w:tc>
          <w:tcPr>
            <w:tcW w:w="100" w:type="dxa"/>
            <w:vAlign w:val="bottom"/>
          </w:tcPr>
          <w:p>
            <w:pPr>
              <w:spacing w:after="0"/>
              <w:rPr>
                <w:sz w:val="16"/>
                <w:szCs w:val="16"/>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6"/>
                <w:szCs w:val="16"/>
                <w:color w:val="auto"/>
              </w:rPr>
            </w:pP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Type of Investment</w:t>
            </w: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Eastport Holdings, LLC</w:t>
            </w:r>
          </w:p>
        </w:tc>
        <w:tc>
          <w:tcPr>
            <w:tcW w:w="216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Business Services</w:t>
            </w:r>
          </w:p>
        </w:tc>
        <w:tc>
          <w:tcPr>
            <w:tcW w:w="22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Membership Units (33.3%</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00"/>
              <w:spacing w:after="0" w:line="211" w:lineRule="exact"/>
              <w:rPr>
                <w:sz w:val="20"/>
                <w:szCs w:val="20"/>
                <w:color w:val="auto"/>
              </w:rPr>
            </w:pPr>
            <w:r>
              <w:rPr>
                <w:rFonts w:ascii="Arial" w:cs="Arial" w:eastAsia="Arial" w:hAnsi="Arial"/>
                <w:sz w:val="14"/>
                <w:szCs w:val="14"/>
                <w:color w:val="auto"/>
              </w:rPr>
              <w:t xml:space="preserve">ownership) </w:t>
            </w:r>
            <w:r>
              <w:rPr>
                <w:rFonts w:ascii="Arial" w:cs="Arial" w:eastAsia="Arial" w:hAnsi="Arial"/>
                <w:sz w:val="23"/>
                <w:szCs w:val="23"/>
                <w:color w:val="auto"/>
                <w:vertAlign w:val="superscript"/>
              </w:rPr>
              <w:t>(18)</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22,366</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19,282</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38,866</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216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Transportation</w:t>
            </w:r>
          </w:p>
        </w:tc>
        <w:tc>
          <w:tcPr>
            <w:tcW w:w="226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First Lien Debt (4% Cash, Due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60" w:type="dxa"/>
            <w:vAlign w:val="bottom"/>
            <w:gridSpan w:val="2"/>
          </w:tcPr>
          <w:p>
            <w:pPr>
              <w:ind w:left="100"/>
              <w:spacing w:after="0" w:line="198" w:lineRule="exact"/>
              <w:rPr>
                <w:sz w:val="20"/>
                <w:szCs w:val="20"/>
                <w:color w:val="auto"/>
              </w:rPr>
            </w:pPr>
            <w:r>
              <w:rPr>
                <w:rFonts w:ascii="Arial" w:cs="Arial" w:eastAsia="Arial" w:hAnsi="Arial"/>
                <w:sz w:val="14"/>
                <w:szCs w:val="14"/>
                <w:color w:val="auto"/>
              </w:rPr>
              <w:t xml:space="preserve">2/15/20) </w:t>
            </w:r>
            <w:r>
              <w:rPr>
                <w:rFonts w:ascii="Arial" w:cs="Arial" w:eastAsia="Arial" w:hAnsi="Arial"/>
                <w:sz w:val="22"/>
                <w:szCs w:val="22"/>
                <w:color w:val="auto"/>
                <w:vertAlign w:val="superscript"/>
              </w:rPr>
              <w:t>(19)</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1,545</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1,545</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tcPr>
          <w:p>
            <w:pPr>
              <w:spacing w:after="0" w:line="140" w:lineRule="exact"/>
              <w:rPr>
                <w:sz w:val="20"/>
                <w:szCs w:val="20"/>
                <w:color w:val="auto"/>
              </w:rPr>
            </w:pPr>
            <w:r>
              <w:rPr>
                <w:rFonts w:ascii="Arial" w:cs="Arial" w:eastAsia="Arial" w:hAnsi="Arial"/>
                <w:sz w:val="14"/>
                <w:szCs w:val="14"/>
                <w:color w:val="auto"/>
              </w:rPr>
              <w:t>Kelle's Transport Service, LLC</w:t>
            </w:r>
          </w:p>
        </w:tc>
        <w:tc>
          <w:tcPr>
            <w:tcW w:w="216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Transportation</w:t>
            </w:r>
          </w:p>
        </w:tc>
        <w:tc>
          <w:tcPr>
            <w:tcW w:w="226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First Lien Debt (1.46% Cash, Due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60" w:type="dxa"/>
            <w:vAlign w:val="bottom"/>
            <w:gridSpan w:val="2"/>
          </w:tcPr>
          <w:p>
            <w:pPr>
              <w:ind w:left="100"/>
              <w:spacing w:after="0" w:line="198" w:lineRule="exact"/>
              <w:rPr>
                <w:sz w:val="20"/>
                <w:szCs w:val="20"/>
                <w:color w:val="auto"/>
              </w:rPr>
            </w:pPr>
            <w:r>
              <w:rPr>
                <w:rFonts w:ascii="Arial" w:cs="Arial" w:eastAsia="Arial" w:hAnsi="Arial"/>
                <w:sz w:val="14"/>
                <w:szCs w:val="14"/>
                <w:color w:val="auto"/>
              </w:rPr>
              <w:t xml:space="preserve">2/15/20) </w:t>
            </w:r>
            <w:r>
              <w:rPr>
                <w:rFonts w:ascii="Arial" w:cs="Arial" w:eastAsia="Arial" w:hAnsi="Arial"/>
                <w:sz w:val="22"/>
                <w:szCs w:val="22"/>
                <w:color w:val="auto"/>
                <w:vertAlign w:val="superscript"/>
              </w:rPr>
              <w:t>(5)</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13,674</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13,668</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9,368</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Kelle's Transport Service, LLC</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Transportation</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Membership Units (27.5% fully</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diluted)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10,913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16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Conglomerate</w:t>
            </w:r>
          </w:p>
        </w:tc>
        <w:tc>
          <w:tcPr>
            <w:tcW w:w="22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rPr>
              <w:t>Subordinated Debt (10% Cash,</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Due 9/15/18) </w:t>
            </w:r>
            <w:r>
              <w:rPr>
                <w:rFonts w:ascii="Arial" w:cs="Arial" w:eastAsia="Arial" w:hAnsi="Arial"/>
                <w:sz w:val="22"/>
                <w:szCs w:val="22"/>
                <w:color w:val="auto"/>
                <w:vertAlign w:val="superscript"/>
              </w:rPr>
              <w:t>(5)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16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Conglomerate</w:t>
            </w:r>
          </w:p>
        </w:tc>
        <w:tc>
          <w:tcPr>
            <w:tcW w:w="22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w w:val="98"/>
              </w:rPr>
              <w:t>Subordinated Debt (14% Cash, 4%</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Due 9/15/18) </w:t>
            </w:r>
            <w:r>
              <w:rPr>
                <w:rFonts w:ascii="Arial" w:cs="Arial" w:eastAsia="Arial" w:hAnsi="Arial"/>
                <w:sz w:val="22"/>
                <w:szCs w:val="22"/>
                <w:color w:val="auto"/>
                <w:vertAlign w:val="superscript"/>
              </w:rPr>
              <w:t>(5)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4,112</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4,112</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Conglomerate</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Series A Preferred Units (47 units)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7,603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tcPr>
          <w:p>
            <w:pPr>
              <w:spacing w:after="0" w:line="140" w:lineRule="exact"/>
              <w:rPr>
                <w:sz w:val="20"/>
                <w:szCs w:val="20"/>
                <w:color w:val="auto"/>
              </w:rPr>
            </w:pPr>
            <w:r>
              <w:rPr>
                <w:rFonts w:ascii="Arial" w:cs="Arial" w:eastAsia="Arial" w:hAnsi="Arial"/>
                <w:sz w:val="14"/>
                <w:szCs w:val="14"/>
                <w:color w:val="auto"/>
              </w:rPr>
              <w:t>Navis Holdings, Inc.</w:t>
            </w:r>
          </w:p>
        </w:tc>
        <w:tc>
          <w:tcPr>
            <w:tcW w:w="216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Textile Equipment Manufacturer</w:t>
            </w:r>
          </w:p>
        </w:tc>
        <w:tc>
          <w:tcPr>
            <w:tcW w:w="226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First Lien Debt (15% Cash, Due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60" w:type="dxa"/>
            <w:vAlign w:val="bottom"/>
            <w:gridSpan w:val="2"/>
          </w:tcPr>
          <w:p>
            <w:pPr>
              <w:ind w:left="100"/>
              <w:spacing w:after="0" w:line="198" w:lineRule="exact"/>
              <w:rPr>
                <w:sz w:val="20"/>
                <w:szCs w:val="20"/>
                <w:color w:val="auto"/>
              </w:rPr>
            </w:pPr>
            <w:r>
              <w:rPr>
                <w:rFonts w:ascii="Arial" w:cs="Arial" w:eastAsia="Arial" w:hAnsi="Arial"/>
                <w:sz w:val="14"/>
                <w:szCs w:val="14"/>
                <w:color w:val="auto"/>
              </w:rPr>
              <w:t xml:space="preserve">10/30/20) </w:t>
            </w:r>
            <w:r>
              <w:rPr>
                <w:rFonts w:ascii="Arial" w:cs="Arial" w:eastAsia="Arial" w:hAnsi="Arial"/>
                <w:sz w:val="22"/>
                <w:szCs w:val="22"/>
                <w:color w:val="auto"/>
                <w:vertAlign w:val="superscript"/>
              </w:rPr>
              <w:t>(5)</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tcPr>
          <w:p>
            <w:pPr>
              <w:spacing w:after="0" w:line="140" w:lineRule="exact"/>
              <w:rPr>
                <w:sz w:val="20"/>
                <w:szCs w:val="20"/>
                <w:color w:val="auto"/>
              </w:rPr>
            </w:pPr>
            <w:r>
              <w:rPr>
                <w:rFonts w:ascii="Arial" w:cs="Arial" w:eastAsia="Arial" w:hAnsi="Arial"/>
                <w:sz w:val="14"/>
                <w:szCs w:val="14"/>
                <w:color w:val="auto"/>
              </w:rPr>
              <w:t>Navis Holdings, Inc.</w:t>
            </w:r>
          </w:p>
        </w:tc>
        <w:tc>
          <w:tcPr>
            <w:tcW w:w="216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Textile Equipment Manufacturer</w:t>
            </w:r>
          </w:p>
        </w:tc>
        <w:tc>
          <w:tcPr>
            <w:tcW w:w="226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Class A Preferred Stock (1,000</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00"/>
              <w:spacing w:after="0" w:line="198" w:lineRule="exact"/>
              <w:rPr>
                <w:sz w:val="20"/>
                <w:szCs w:val="20"/>
                <w:color w:val="auto"/>
              </w:rPr>
            </w:pPr>
            <w:r>
              <w:rPr>
                <w:rFonts w:ascii="Arial" w:cs="Arial" w:eastAsia="Arial" w:hAnsi="Arial"/>
                <w:sz w:val="14"/>
                <w:szCs w:val="14"/>
                <w:color w:val="auto"/>
              </w:rPr>
              <w:t xml:space="preserve">shares, 10% Cash Dividend) </w:t>
            </w:r>
            <w:r>
              <w:rPr>
                <w:rFonts w:ascii="Arial" w:cs="Arial" w:eastAsia="Arial" w:hAnsi="Arial"/>
                <w:sz w:val="22"/>
                <w:szCs w:val="22"/>
                <w:color w:val="auto"/>
                <w:vertAlign w:val="superscript"/>
              </w:rPr>
              <w:t>(8)</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Navis Holdings, Inc.</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Textile Equipment Manufacturer</w:t>
            </w: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Common Stock (300,000 shares)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5,330</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12,830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line="140" w:lineRule="exact"/>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line="140" w:lineRule="exact"/>
              <w:rPr>
                <w:sz w:val="20"/>
                <w:szCs w:val="20"/>
                <w:color w:val="auto"/>
              </w:rPr>
            </w:pPr>
            <w:r>
              <w:rPr>
                <w:rFonts w:ascii="Arial" w:cs="Arial" w:eastAsia="Arial" w:hAnsi="Arial"/>
                <w:sz w:val="14"/>
                <w:szCs w:val="14"/>
                <w:color w:val="auto"/>
                <w:w w:val="98"/>
              </w:rPr>
              <w:t>Subordinated Debt (14% Cash, 4%</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00"/>
              <w:spacing w:after="0" w:line="198" w:lineRule="exact"/>
              <w:rPr>
                <w:sz w:val="20"/>
                <w:szCs w:val="20"/>
                <w:color w:val="auto"/>
              </w:rPr>
            </w:pPr>
            <w:r>
              <w:rPr>
                <w:rFonts w:ascii="Arial" w:cs="Arial" w:eastAsia="Arial" w:hAnsi="Arial"/>
                <w:sz w:val="14"/>
                <w:szCs w:val="14"/>
                <w:color w:val="auto"/>
              </w:rPr>
              <w:t xml:space="preserve">PIK, Due 12/19/18) </w:t>
            </w:r>
            <w:r>
              <w:rPr>
                <w:rFonts w:ascii="Arial" w:cs="Arial" w:eastAsia="Arial" w:hAnsi="Arial"/>
                <w:sz w:val="22"/>
                <w:szCs w:val="22"/>
                <w:color w:val="auto"/>
                <w:vertAlign w:val="superscript"/>
              </w:rPr>
              <w:t>(5) (6)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11,834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11,020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11,588</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 Preferred Stock (32,782</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B Preferred Stock (23,648</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Common Stock (33,107 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16,696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11,588</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500" w:type="dxa"/>
            <w:vAlign w:val="bottom"/>
          </w:tcPr>
          <w:p>
            <w:pPr>
              <w:spacing w:after="0" w:line="140"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tcPr>
          <w:p>
            <w:pPr>
              <w:ind w:left="100"/>
              <w:spacing w:after="0" w:line="140" w:lineRule="exact"/>
              <w:rPr>
                <w:sz w:val="20"/>
                <w:szCs w:val="20"/>
                <w:color w:val="auto"/>
              </w:rPr>
            </w:pPr>
            <w:r>
              <w:rPr>
                <w:rFonts w:ascii="Arial" w:cs="Arial" w:eastAsia="Arial" w:hAnsi="Arial"/>
                <w:sz w:val="14"/>
                <w:szCs w:val="14"/>
                <w:color w:val="auto"/>
              </w:rPr>
              <w:t>Printing Services</w:t>
            </w:r>
          </w:p>
        </w:tc>
        <w:tc>
          <w:tcPr>
            <w:tcW w:w="2260" w:type="dxa"/>
            <w:vAlign w:val="bottom"/>
            <w:gridSpan w:val="3"/>
          </w:tcPr>
          <w:p>
            <w:pPr>
              <w:ind w:left="100"/>
              <w:spacing w:after="0" w:line="140" w:lineRule="exact"/>
              <w:rPr>
                <w:sz w:val="20"/>
                <w:szCs w:val="20"/>
                <w:color w:val="auto"/>
              </w:rPr>
            </w:pPr>
            <w:r>
              <w:rPr>
                <w:rFonts w:ascii="Arial" w:cs="Arial" w:eastAsia="Arial" w:hAnsi="Arial"/>
                <w:sz w:val="14"/>
                <w:szCs w:val="14"/>
                <w:color w:val="auto"/>
              </w:rPr>
              <w:t>First Lien Debt (10% Cash, 2%</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00"/>
              <w:spacing w:after="0" w:line="198" w:lineRule="exact"/>
              <w:rPr>
                <w:sz w:val="20"/>
                <w:szCs w:val="20"/>
                <w:color w:val="auto"/>
              </w:rPr>
            </w:pPr>
            <w:r>
              <w:rPr>
                <w:rFonts w:ascii="Arial" w:cs="Arial" w:eastAsia="Arial" w:hAnsi="Arial"/>
                <w:sz w:val="14"/>
                <w:szCs w:val="14"/>
                <w:color w:val="auto"/>
              </w:rPr>
              <w:t xml:space="preserve">PIK, Due 2/24/19) </w:t>
            </w:r>
            <w:r>
              <w:rPr>
                <w:rFonts w:ascii="Arial" w:cs="Arial" w:eastAsia="Arial" w:hAnsi="Arial"/>
                <w:sz w:val="22"/>
                <w:szCs w:val="22"/>
                <w:color w:val="auto"/>
                <w:vertAlign w:val="superscript"/>
              </w:rPr>
              <w:t>(6)</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19,153</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19,153</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3,999</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Printing Services</w:t>
            </w:r>
          </w:p>
        </w:tc>
        <w:tc>
          <w:tcPr>
            <w:tcW w:w="22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Common Stock (18,543 shares)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2,990</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tcPr>
          <w:p>
            <w:pPr>
              <w:spacing w:after="0" w:line="130"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Printing Services</w:t>
            </w:r>
          </w:p>
        </w:tc>
        <w:tc>
          <w:tcPr>
            <w:tcW w:w="22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Common Stock Warrants (820</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22,143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3,999</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Sub Total Control investments</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102,079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98,210</w:t>
            </w:r>
          </w:p>
        </w:tc>
        <w:tc>
          <w:tcPr>
            <w:tcW w:w="110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43.4</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 - 208.2%</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454,714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471,106</w:t>
            </w: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208.2</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Derivatives - (2.5)%</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Eastport Holdings, LLC</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Services</w:t>
            </w:r>
          </w:p>
        </w:tc>
        <w:tc>
          <w:tcPr>
            <w:tcW w:w="22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(18)</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DERIVATIVES- (2.5)%</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(20</w:t>
            </w:r>
            <w:r>
              <w:rPr>
                <w:rFonts w:ascii="Arial" w:cs="Arial" w:eastAsia="Arial" w:hAnsi="Arial"/>
                <w:sz w:val="20"/>
                <w:szCs w:val="20"/>
                <w:b w:val="1"/>
                <w:bCs w:val="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2"/>
                <w:szCs w:val="12"/>
                <w:b w:val="1"/>
                <w:bCs w:val="1"/>
                <w:color w:val="auto"/>
              </w:rPr>
              <w:t>(5,555</w:t>
            </w:r>
            <w:r>
              <w:rPr>
                <w:rFonts w:ascii="Arial" w:cs="Arial" w:eastAsia="Arial" w:hAnsi="Arial"/>
                <w:sz w:val="20"/>
                <w:szCs w:val="20"/>
                <w:b w:val="1"/>
                <w:bCs w:val="1"/>
                <w:color w:val="auto"/>
                <w:vertAlign w:val="superscript"/>
              </w:rPr>
              <w:t>)</w:t>
            </w:r>
          </w:p>
        </w:tc>
        <w:tc>
          <w:tcPr>
            <w:tcW w:w="1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b w:val="1"/>
                <w:bCs w:val="1"/>
                <w:color w:val="auto"/>
              </w:rPr>
              <w:t>(2.5</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6" w:right="239" w:bottom="1440" w:gutter="0" w:footer="0" w:header="0"/>
        </w:sectPr>
      </w:pPr>
    </w:p>
    <w:bookmarkStart w:id="12" w:name="page13"/>
    <w:bookmarkEnd w:id="12"/>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investments valued using significant unobservable inputs (Level 3).</w:t>
      </w:r>
    </w:p>
    <w:p>
      <w:pPr>
        <w:spacing w:after="0" w:line="23"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Percentages are based on net assets of $226,307 as of September 30, 2017.</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companies are headquartered in the United States, unless otherwise noted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equity investment has an excercisable put option</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$4.0 million unfunded commitment.</w:t>
      </w:r>
    </w:p>
    <w:p>
      <w:pPr>
        <w:spacing w:after="0" w:line="9" w:lineRule="exact"/>
        <w:rPr>
          <w:rFonts w:ascii="Arial" w:cs="Arial" w:eastAsia="Arial" w:hAnsi="Arial"/>
          <w:sz w:val="18"/>
          <w:szCs w:val="18"/>
          <w:color w:val="auto"/>
        </w:rPr>
      </w:pPr>
    </w:p>
    <w:p>
      <w:pPr>
        <w:ind w:left="-8" w:firstLine="8"/>
        <w:spacing w:after="0" w:line="250" w:lineRule="auto"/>
        <w:tabs>
          <w:tab w:leader="none" w:pos="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September 30, 2017, 5.5% of the Company's total assets were non-qualifying assets.</w:t>
      </w:r>
    </w:p>
    <w:p>
      <w:pPr>
        <w:spacing w:after="0" w:line="1"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$2.0 million unfunded commitment.</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headquartered in Brazil.</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stated rate, the investment is paying 3% default interest.</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9" w:lineRule="exact"/>
        <w:rPr>
          <w:rFonts w:ascii="Arial" w:cs="Arial" w:eastAsia="Arial" w:hAnsi="Arial"/>
          <w:sz w:val="18"/>
          <w:szCs w:val="18"/>
          <w:color w:val="auto"/>
        </w:rPr>
      </w:pPr>
    </w:p>
    <w:p>
      <w:pPr>
        <w:ind w:left="-8" w:right="160" w:firstLine="8"/>
        <w:spacing w:after="0" w:line="250" w:lineRule="auto"/>
        <w:tabs>
          <w:tab w:leader="none" w:pos="33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September 30, 2017, the fair value of the written call option is approximately $5.6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52" w:hanging="352"/>
        <w:spacing w:after="0"/>
        <w:tabs>
          <w:tab w:leader="none" w:pos="3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investment has a $1.5 million unfunded commitment.</w:t>
      </w:r>
    </w:p>
    <w:p>
      <w:pPr>
        <w:spacing w:after="0" w:line="21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13" w:name="page14"/>
    <w:bookmarkEnd w:id="1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Non-control/non-affiliated investments - 157.1%</w:t>
            </w: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Second Lien Debt (12%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3/31/18)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AAE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 Equipment Rental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Membership Units (14% fully</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10,755</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American Clinical Solutions,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Healthcare</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First Lien Debt (10.5% Cash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+ 9.5%, 1% Floor),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Due 6/11/20)</w:t>
            </w:r>
            <w:r>
              <w:rPr>
                <w:rFonts w:ascii="Arial" w:cs="Arial" w:eastAsia="Arial" w:hAnsi="Arial"/>
                <w:sz w:val="23"/>
                <w:szCs w:val="23"/>
                <w:color w:val="auto"/>
                <w:vertAlign w:val="superscript"/>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9,034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8,582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9,034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(10% PIK,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200" w:type="dxa"/>
            <w:vAlign w:val="bottom"/>
            <w:gridSpan w:val="2"/>
            <w:shd w:val="clear" w:color="auto" w:fill="CCEEFF"/>
          </w:tcPr>
          <w:p>
            <w:pPr>
              <w:ind w:left="120"/>
              <w:spacing w:after="0" w:line="208" w:lineRule="exact"/>
              <w:rPr>
                <w:sz w:val="20"/>
                <w:szCs w:val="20"/>
                <w:color w:val="auto"/>
              </w:rPr>
            </w:pPr>
            <w:r>
              <w:rPr>
                <w:rFonts w:ascii="Arial" w:cs="Arial" w:eastAsia="Arial" w:hAnsi="Arial"/>
                <w:sz w:val="14"/>
                <w:szCs w:val="14"/>
                <w:color w:val="auto"/>
              </w:rPr>
              <w:t xml:space="preserve">1/1/17) </w:t>
            </w:r>
            <w:r>
              <w:rPr>
                <w:rFonts w:ascii="Arial" w:cs="Arial" w:eastAsia="Arial" w:hAnsi="Arial"/>
                <w:sz w:val="23"/>
                <w:szCs w:val="23"/>
                <w:color w:val="auto"/>
                <w:vertAlign w:val="superscript"/>
              </w:rPr>
              <w:t>(1) (2)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Exteriors,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Replacement Window</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Manufacturer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fully diluted)</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4,679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2,571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AmeriMark Direct,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7"/>
              </w:rPr>
              <w:t>First Lien Debt (12.75% Cash, Due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9/8/21)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19,700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19,192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19,542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19,192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19,542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Subordinated Debt (14%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7/23/20)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B&amp;W Quality Growers,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Farming</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Membership Unit Warrants (91,739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6,016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11,779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First Lien Debt (12.6%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11/14/21) </w:t>
            </w:r>
            <w:r>
              <w:rPr>
                <w:rFonts w:ascii="Arial" w:cs="Arial" w:eastAsia="Arial" w:hAnsi="Arial"/>
                <w:sz w:val="22"/>
                <w:szCs w:val="22"/>
                <w:color w:val="auto"/>
                <w:vertAlign w:val="superscript"/>
              </w:rPr>
              <w:t>(3)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10,313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10,313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10,313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BigMouth, Inc.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Consumer Products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w w:val="99"/>
              </w:rPr>
              <w:t>Series A Preferred Stock (350,000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shares, 8% PIK) </w:t>
            </w:r>
            <w:r>
              <w:rPr>
                <w:rFonts w:ascii="Arial" w:cs="Arial" w:eastAsia="Arial" w:hAnsi="Arial"/>
                <w:sz w:val="23"/>
                <w:szCs w:val="23"/>
                <w:color w:val="auto"/>
                <w:vertAlign w:val="superscript"/>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354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10,667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10,667</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Bluestem Brands,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Online Merchandise Retailer</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(8.5%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+ 7.5%,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11/7/20)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4,169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Brock Holdings III,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Industrial Specialty Services</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Second Lien Debt (10% Cash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+ 8.25%, 1.75%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Floor), Due 3/16/18)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4,750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First Lien Debt (8% Cash (1 month</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+ 6.0%, 2% Floor),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5/22/20)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(16.25%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+ 14.25%, 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Due 5/22/20)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Brunswick Bowling Products,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Bowling Products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Preferred Shares (2,966 shares, 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120"/>
              <w:spacing w:after="0" w:line="211" w:lineRule="exact"/>
              <w:rPr>
                <w:sz w:val="20"/>
                <w:szCs w:val="20"/>
                <w:color w:val="auto"/>
              </w:rPr>
            </w:pPr>
            <w:r>
              <w:rPr>
                <w:rFonts w:ascii="Arial" w:cs="Arial" w:eastAsia="Arial" w:hAnsi="Arial"/>
                <w:sz w:val="14"/>
                <w:szCs w:val="14"/>
                <w:color w:val="auto"/>
              </w:rPr>
              <w:t xml:space="preserve">PIK) </w:t>
            </w:r>
            <w:r>
              <w:rPr>
                <w:rFonts w:ascii="Arial" w:cs="Arial" w:eastAsia="Arial" w:hAnsi="Arial"/>
                <w:sz w:val="23"/>
                <w:szCs w:val="23"/>
                <w:color w:val="auto"/>
                <w:vertAlign w:val="superscript"/>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Burke America Parts Group, LLC</w:t>
            </w:r>
          </w:p>
        </w:tc>
        <w:tc>
          <w:tcPr>
            <w:tcW w:w="2060" w:type="dxa"/>
            <w:vAlign w:val="bottom"/>
          </w:tcPr>
          <w:p>
            <w:pPr>
              <w:spacing w:after="0"/>
              <w:rPr>
                <w:sz w:val="20"/>
                <w:szCs w:val="20"/>
                <w:color w:val="auto"/>
              </w:rPr>
            </w:pPr>
            <w:r>
              <w:rPr>
                <w:rFonts w:ascii="Arial" w:cs="Arial" w:eastAsia="Arial" w:hAnsi="Arial"/>
                <w:sz w:val="14"/>
                <w:szCs w:val="14"/>
                <w:color w:val="auto"/>
                <w:w w:val="99"/>
              </w:rPr>
              <w:t>Home Repair Parts Manufacturer</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Membership Units (14 units)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California Pizza Kitchen,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Restaurant</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(11% Cash (1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+ 10%, 1% Floor),</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8/23/23)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Caregiver Services, Inc.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In-Home Healthcare Services</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(293,186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Caregiver Services, Inc.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In-Home Healthcare Services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w w:val="98"/>
              </w:rPr>
              <w:t>Common Stock Warrants (655,908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Cedar Electronics Holding Corp.</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Consumer Electronics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Subordinated Debt (12% Cash, Due</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12/26/20)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20,818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20,818</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Community Choice Financial,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Financial Services</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First Lien Debt (18% Cash (1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+ 17%, 1% Floor),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Due 3/30/18) </w:t>
            </w:r>
            <w:r>
              <w:rPr>
                <w:rFonts w:ascii="Arial" w:cs="Arial" w:eastAsia="Arial" w:hAnsi="Arial"/>
                <w:sz w:val="23"/>
                <w:szCs w:val="23"/>
                <w:color w:val="auto"/>
                <w:vertAlign w:val="superscript"/>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Construction Partners,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Construction Services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Debt (11.5% Cash,</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6/12/20)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904"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0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680" w:type="dxa"/>
            <w:vAlign w:val="bottom"/>
          </w:tcPr>
          <w:p>
            <w:pPr>
              <w:ind w:left="280"/>
              <w:spacing w:after="0"/>
              <w:rPr>
                <w:sz w:val="20"/>
                <w:szCs w:val="20"/>
                <w:color w:val="auto"/>
              </w:rPr>
            </w:pPr>
            <w:r>
              <w:rPr>
                <w:rFonts w:ascii="Arial" w:cs="Arial" w:eastAsia="Arial" w:hAnsi="Arial"/>
                <w:sz w:val="14"/>
                <w:szCs w:val="14"/>
                <w:color w:val="auto"/>
              </w:rPr>
              <w:t>Subordinated Debt (9% Cash, 2%</w:t>
            </w:r>
          </w:p>
        </w:tc>
        <w:tc>
          <w:tcPr>
            <w:tcW w:w="720" w:type="dxa"/>
            <w:vAlign w:val="bottom"/>
          </w:tcPr>
          <w:p>
            <w:pPr>
              <w:jc w:val="right"/>
              <w:spacing w:after="0"/>
              <w:rPr>
                <w:sz w:val="20"/>
                <w:szCs w:val="20"/>
                <w:color w:val="auto"/>
              </w:rPr>
            </w:pPr>
            <w:r>
              <w:rPr>
                <w:rFonts w:ascii="Arial" w:cs="Arial" w:eastAsia="Arial" w:hAnsi="Arial"/>
                <w:sz w:val="14"/>
                <w:szCs w:val="14"/>
                <w:color w:val="auto"/>
              </w:rPr>
              <w:t>16,267</w:t>
            </w:r>
          </w:p>
        </w:tc>
      </w:tr>
      <w:tr>
        <w:trPr>
          <w:trHeight w:val="182"/>
        </w:trPr>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Arial" w:cs="Arial" w:eastAsia="Arial" w:hAnsi="Arial"/>
                <w:sz w:val="14"/>
                <w:szCs w:val="14"/>
                <w:color w:val="auto"/>
              </w:rPr>
              <w:t>PIK, Due 11/29/21)</w:t>
            </w:r>
          </w:p>
        </w:tc>
        <w:tc>
          <w:tcPr>
            <w:tcW w:w="720" w:type="dxa"/>
            <w:vAlign w:val="bottom"/>
          </w:tcPr>
          <w:p>
            <w:pPr>
              <w:spacing w:after="0"/>
              <w:rPr>
                <w:sz w:val="15"/>
                <w:szCs w:val="15"/>
                <w:color w:val="auto"/>
              </w:rPr>
            </w:pPr>
          </w:p>
        </w:tc>
      </w:tr>
      <w:tr>
        <w:trPr>
          <w:trHeight w:val="297"/>
        </w:trPr>
        <w:tc>
          <w:tcPr>
            <w:tcW w:w="2540" w:type="dxa"/>
            <w:vAlign w:val="bottom"/>
          </w:tcPr>
          <w:p>
            <w:pPr>
              <w:spacing w:after="0"/>
              <w:rPr>
                <w:sz w:val="20"/>
                <w:szCs w:val="20"/>
                <w:color w:val="auto"/>
              </w:rPr>
            </w:pPr>
            <w:r>
              <w:rPr>
                <w:rFonts w:ascii="Arial" w:cs="Arial" w:eastAsia="Arial" w:hAnsi="Arial"/>
                <w:sz w:val="14"/>
                <w:szCs w:val="14"/>
                <w:color w:val="auto"/>
              </w:rPr>
              <w:t>Corporate Visions, Inc.</w:t>
            </w:r>
          </w:p>
        </w:tc>
        <w:tc>
          <w:tcPr>
            <w:tcW w:w="2000" w:type="dxa"/>
            <w:vAlign w:val="bottom"/>
          </w:tcPr>
          <w:p>
            <w:pPr>
              <w:ind w:left="100"/>
              <w:spacing w:after="0"/>
              <w:rPr>
                <w:sz w:val="20"/>
                <w:szCs w:val="20"/>
                <w:color w:val="auto"/>
              </w:rPr>
            </w:pPr>
            <w:r>
              <w:rPr>
                <w:rFonts w:ascii="Arial" w:cs="Arial" w:eastAsia="Arial" w:hAnsi="Arial"/>
                <w:sz w:val="14"/>
                <w:szCs w:val="14"/>
                <w:color w:val="auto"/>
              </w:rPr>
              <w:t>Sales &amp; Marketing Services</w:t>
            </w:r>
          </w:p>
        </w:tc>
        <w:tc>
          <w:tcPr>
            <w:tcW w:w="2680" w:type="dxa"/>
            <w:vAlign w:val="bottom"/>
          </w:tcPr>
          <w:p>
            <w:pPr>
              <w:ind w:left="280"/>
              <w:spacing w:after="0"/>
              <w:rPr>
                <w:sz w:val="20"/>
                <w:szCs w:val="20"/>
                <w:color w:val="auto"/>
              </w:rPr>
            </w:pPr>
            <w:r>
              <w:rPr>
                <w:rFonts w:ascii="Arial" w:cs="Arial" w:eastAsia="Arial" w:hAnsi="Arial"/>
                <w:sz w:val="14"/>
                <w:szCs w:val="14"/>
                <w:color w:val="auto"/>
              </w:rPr>
              <w:t>Common Stock (15,750 shares)</w:t>
            </w:r>
          </w:p>
        </w:tc>
        <w:tc>
          <w:tcPr>
            <w:tcW w:w="720" w:type="dxa"/>
            <w:vAlign w:val="bottom"/>
          </w:tcPr>
          <w:p>
            <w:pPr>
              <w:spacing w:after="0"/>
              <w:rPr>
                <w:sz w:val="24"/>
                <w:szCs w:val="24"/>
                <w:color w:val="auto"/>
              </w:rPr>
            </w:pPr>
          </w:p>
        </w:tc>
      </w:tr>
      <w:tr>
        <w:trPr>
          <w:trHeight w:val="452"/>
        </w:trPr>
        <w:tc>
          <w:tcPr>
            <w:tcW w:w="2540" w:type="dxa"/>
            <w:vAlign w:val="bottom"/>
          </w:tcPr>
          <w:p>
            <w:pPr>
              <w:spacing w:after="0"/>
              <w:rPr>
                <w:sz w:val="20"/>
                <w:szCs w:val="20"/>
                <w:color w:val="auto"/>
              </w:rPr>
            </w:pPr>
            <w:r>
              <w:rPr>
                <w:rFonts w:ascii="Arial" w:cs="Arial" w:eastAsia="Arial" w:hAnsi="Arial"/>
                <w:sz w:val="14"/>
                <w:szCs w:val="14"/>
                <w:color w:val="auto"/>
              </w:rPr>
              <w:t>CSM Bakery Solutions, LLC</w:t>
            </w:r>
          </w:p>
        </w:tc>
        <w:tc>
          <w:tcPr>
            <w:tcW w:w="2000" w:type="dxa"/>
            <w:vAlign w:val="bottom"/>
          </w:tcPr>
          <w:p>
            <w:pPr>
              <w:ind w:left="100"/>
              <w:spacing w:after="0"/>
              <w:rPr>
                <w:sz w:val="20"/>
                <w:szCs w:val="20"/>
                <w:color w:val="auto"/>
              </w:rPr>
            </w:pPr>
            <w:r>
              <w:rPr>
                <w:rFonts w:ascii="Arial" w:cs="Arial" w:eastAsia="Arial" w:hAnsi="Arial"/>
                <w:sz w:val="14"/>
                <w:szCs w:val="14"/>
                <w:color w:val="auto"/>
              </w:rPr>
              <w:t>Bakery Supplies Distributor</w:t>
            </w:r>
          </w:p>
        </w:tc>
        <w:tc>
          <w:tcPr>
            <w:tcW w:w="2680" w:type="dxa"/>
            <w:vAlign w:val="bottom"/>
          </w:tcPr>
          <w:p>
            <w:pPr>
              <w:ind w:left="280"/>
              <w:spacing w:after="0"/>
              <w:rPr>
                <w:sz w:val="20"/>
                <w:szCs w:val="20"/>
                <w:color w:val="auto"/>
              </w:rPr>
            </w:pPr>
            <w:r>
              <w:rPr>
                <w:rFonts w:ascii="Arial" w:cs="Arial" w:eastAsia="Arial" w:hAnsi="Arial"/>
                <w:sz w:val="14"/>
                <w:szCs w:val="14"/>
                <w:color w:val="auto"/>
              </w:rPr>
              <w:t>Second Lien Debt (8.75% Cash (1</w:t>
            </w:r>
          </w:p>
        </w:tc>
        <w:tc>
          <w:tcPr>
            <w:tcW w:w="72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ind w:left="280"/>
              <w:spacing w:after="0" w:line="149" w:lineRule="exact"/>
              <w:rPr>
                <w:sz w:val="20"/>
                <w:szCs w:val="20"/>
                <w:color w:val="auto"/>
              </w:rPr>
            </w:pPr>
            <w:r>
              <w:rPr>
                <w:rFonts w:ascii="Arial" w:cs="Arial" w:eastAsia="Arial" w:hAnsi="Arial"/>
                <w:sz w:val="14"/>
                <w:szCs w:val="14"/>
                <w:color w:val="auto"/>
              </w:rPr>
              <w:t>month LIBOR + 7.75%, 1% Floor),</w:t>
            </w:r>
          </w:p>
        </w:tc>
        <w:tc>
          <w:tcPr>
            <w:tcW w:w="72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Arial" w:cs="Arial" w:eastAsia="Arial" w:hAnsi="Arial"/>
                <w:sz w:val="14"/>
                <w:szCs w:val="14"/>
                <w:color w:val="auto"/>
              </w:rPr>
              <w:t>Due 8/7/22)</w:t>
            </w:r>
          </w:p>
        </w:tc>
        <w:tc>
          <w:tcPr>
            <w:tcW w:w="72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452"/>
        </w:trPr>
        <w:tc>
          <w:tcPr>
            <w:tcW w:w="2540" w:type="dxa"/>
            <w:vAlign w:val="bottom"/>
          </w:tcPr>
          <w:p>
            <w:pPr>
              <w:spacing w:after="0"/>
              <w:rPr>
                <w:sz w:val="20"/>
                <w:szCs w:val="20"/>
                <w:color w:val="auto"/>
              </w:rPr>
            </w:pPr>
            <w:r>
              <w:rPr>
                <w:rFonts w:ascii="Arial" w:cs="Arial" w:eastAsia="Arial" w:hAnsi="Arial"/>
                <w:sz w:val="14"/>
                <w:szCs w:val="14"/>
                <w:color w:val="auto"/>
                <w:w w:val="98"/>
              </w:rPr>
              <w:t>Emerging Markets Communications, LLC</w:t>
            </w:r>
          </w:p>
        </w:tc>
        <w:tc>
          <w:tcPr>
            <w:tcW w:w="2000" w:type="dxa"/>
            <w:vAlign w:val="bottom"/>
          </w:tcPr>
          <w:p>
            <w:pPr>
              <w:ind w:left="100"/>
              <w:spacing w:after="0"/>
              <w:rPr>
                <w:sz w:val="20"/>
                <w:szCs w:val="20"/>
                <w:color w:val="auto"/>
              </w:rPr>
            </w:pPr>
            <w:r>
              <w:rPr>
                <w:rFonts w:ascii="Arial" w:cs="Arial" w:eastAsia="Arial" w:hAnsi="Arial"/>
                <w:sz w:val="14"/>
                <w:szCs w:val="14"/>
                <w:color w:val="auto"/>
              </w:rPr>
              <w:t>Satellite Communications</w:t>
            </w:r>
          </w:p>
        </w:tc>
        <w:tc>
          <w:tcPr>
            <w:tcW w:w="2680" w:type="dxa"/>
            <w:vAlign w:val="bottom"/>
          </w:tcPr>
          <w:p>
            <w:pPr>
              <w:ind w:left="280"/>
              <w:spacing w:after="0"/>
              <w:rPr>
                <w:sz w:val="20"/>
                <w:szCs w:val="20"/>
                <w:color w:val="auto"/>
              </w:rPr>
            </w:pPr>
            <w:r>
              <w:rPr>
                <w:rFonts w:ascii="Arial" w:cs="Arial" w:eastAsia="Arial" w:hAnsi="Arial"/>
                <w:sz w:val="14"/>
                <w:szCs w:val="14"/>
                <w:color w:val="auto"/>
              </w:rPr>
              <w:t>Second Lien Debt (10.625% Cash</w:t>
            </w:r>
          </w:p>
        </w:tc>
        <w:tc>
          <w:tcPr>
            <w:tcW w:w="72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ind w:left="280"/>
              <w:spacing w:after="0" w:line="149" w:lineRule="exact"/>
              <w:rPr>
                <w:sz w:val="20"/>
                <w:szCs w:val="20"/>
                <w:color w:val="auto"/>
              </w:rPr>
            </w:pPr>
            <w:r>
              <w:rPr>
                <w:rFonts w:ascii="Arial" w:cs="Arial" w:eastAsia="Arial" w:hAnsi="Arial"/>
                <w:sz w:val="14"/>
                <w:szCs w:val="14"/>
                <w:color w:val="auto"/>
              </w:rPr>
              <w:t>(1 month LIBOR + 9.625%, 1%</w:t>
            </w:r>
          </w:p>
        </w:tc>
        <w:tc>
          <w:tcPr>
            <w:tcW w:w="72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Arial" w:cs="Arial" w:eastAsia="Arial" w:hAnsi="Arial"/>
                <w:sz w:val="14"/>
                <w:szCs w:val="14"/>
                <w:color w:val="auto"/>
              </w:rPr>
              <w:t>Floor), Due 7/1/22)</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452"/>
        </w:trPr>
        <w:tc>
          <w:tcPr>
            <w:tcW w:w="2540" w:type="dxa"/>
            <w:vAlign w:val="bottom"/>
          </w:tcPr>
          <w:p>
            <w:pPr>
              <w:spacing w:after="0"/>
              <w:rPr>
                <w:sz w:val="20"/>
                <w:szCs w:val="20"/>
                <w:color w:val="auto"/>
              </w:rPr>
            </w:pPr>
            <w:r>
              <w:rPr>
                <w:rFonts w:ascii="Arial" w:cs="Arial" w:eastAsia="Arial" w:hAnsi="Arial"/>
                <w:sz w:val="14"/>
                <w:szCs w:val="14"/>
                <w:color w:val="auto"/>
              </w:rPr>
              <w:t>Flavors Holdings, Inc.</w:t>
            </w:r>
          </w:p>
        </w:tc>
        <w:tc>
          <w:tcPr>
            <w:tcW w:w="2000" w:type="dxa"/>
            <w:vAlign w:val="bottom"/>
          </w:tcPr>
          <w:p>
            <w:pPr>
              <w:ind w:left="100"/>
              <w:spacing w:after="0"/>
              <w:rPr>
                <w:sz w:val="20"/>
                <w:szCs w:val="20"/>
                <w:color w:val="auto"/>
              </w:rPr>
            </w:pPr>
            <w:r>
              <w:rPr>
                <w:rFonts w:ascii="Arial" w:cs="Arial" w:eastAsia="Arial" w:hAnsi="Arial"/>
                <w:sz w:val="14"/>
                <w:szCs w:val="14"/>
                <w:color w:val="auto"/>
              </w:rPr>
              <w:t>Food Product Manufacturer</w:t>
            </w:r>
          </w:p>
        </w:tc>
        <w:tc>
          <w:tcPr>
            <w:tcW w:w="2680" w:type="dxa"/>
            <w:vAlign w:val="bottom"/>
          </w:tcPr>
          <w:p>
            <w:pPr>
              <w:ind w:left="280"/>
              <w:spacing w:after="0"/>
              <w:rPr>
                <w:sz w:val="20"/>
                <w:szCs w:val="20"/>
                <w:color w:val="auto"/>
              </w:rPr>
            </w:pPr>
            <w:r>
              <w:rPr>
                <w:rFonts w:ascii="Arial" w:cs="Arial" w:eastAsia="Arial" w:hAnsi="Arial"/>
                <w:sz w:val="14"/>
                <w:szCs w:val="14"/>
                <w:color w:val="auto"/>
              </w:rPr>
              <w:t>First Lien Debt (6.75% Cash (1</w:t>
            </w:r>
          </w:p>
        </w:tc>
        <w:tc>
          <w:tcPr>
            <w:tcW w:w="720" w:type="dxa"/>
            <w:vAlign w:val="bottom"/>
          </w:tcPr>
          <w:p>
            <w:pPr>
              <w:spacing w:after="0"/>
              <w:rPr>
                <w:sz w:val="24"/>
                <w:szCs w:val="24"/>
                <w:color w:val="auto"/>
              </w:rPr>
            </w:pPr>
          </w:p>
        </w:tc>
      </w:tr>
      <w:tr>
        <w:trPr>
          <w:trHeight w:val="149"/>
        </w:trPr>
        <w:tc>
          <w:tcPr>
            <w:tcW w:w="2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80" w:type="dxa"/>
            <w:vAlign w:val="bottom"/>
          </w:tcPr>
          <w:p>
            <w:pPr>
              <w:ind w:left="280"/>
              <w:spacing w:after="0" w:line="149" w:lineRule="exact"/>
              <w:rPr>
                <w:sz w:val="20"/>
                <w:szCs w:val="20"/>
                <w:color w:val="auto"/>
              </w:rPr>
            </w:pPr>
            <w:r>
              <w:rPr>
                <w:rFonts w:ascii="Arial" w:cs="Arial" w:eastAsia="Arial" w:hAnsi="Arial"/>
                <w:sz w:val="14"/>
                <w:szCs w:val="14"/>
                <w:color w:val="auto"/>
              </w:rPr>
              <w:t>month LIBOR + 5.75%, 1% Floor),</w:t>
            </w:r>
          </w:p>
        </w:tc>
        <w:tc>
          <w:tcPr>
            <w:tcW w:w="72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Arial" w:cs="Arial" w:eastAsia="Arial" w:hAnsi="Arial"/>
                <w:sz w:val="14"/>
                <w:szCs w:val="14"/>
                <w:color w:val="auto"/>
              </w:rPr>
              <w:t>Due 4/3/20)</w:t>
            </w:r>
          </w:p>
        </w:tc>
        <w:tc>
          <w:tcPr>
            <w:tcW w:w="720" w:type="dxa"/>
            <w:vAlign w:val="bottom"/>
          </w:tcPr>
          <w:p>
            <w:pPr>
              <w:jc w:val="right"/>
              <w:spacing w:after="0"/>
              <w:rPr>
                <w:sz w:val="20"/>
                <w:szCs w:val="20"/>
                <w:color w:val="auto"/>
              </w:rPr>
            </w:pPr>
            <w:r>
              <w:rPr>
                <w:rFonts w:ascii="Arial" w:cs="Arial" w:eastAsia="Arial" w:hAnsi="Arial"/>
                <w:sz w:val="14"/>
                <w:szCs w:val="14"/>
                <w:color w:val="auto"/>
              </w:rPr>
              <w:t>7,100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-1689735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-1492250</wp:posOffset>
            </wp:positionV>
            <wp:extent cx="724662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-1286510</wp:posOffset>
            </wp:positionV>
            <wp:extent cx="724662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-892175</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16,267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15,648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6.2%</w:t>
            </w:r>
          </w:p>
        </w:tc>
      </w:tr>
      <w:tr>
        <w:trPr>
          <w:trHeight w:val="43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728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17,842</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16,376</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11,813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10,776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11,813</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10,776</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4,946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4,946</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6,930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6,411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2">
            <w:col w:w="7940" w:space="220"/>
            <w:col w:w="3260"/>
          </w:cols>
          <w:pgMar w:left="240" w:top="10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120" w:type="dxa"/>
            <w:vAlign w:val="bottom"/>
            <w:vMerge w:val="restart"/>
          </w:tcPr>
          <w:p>
            <w:pPr>
              <w:spacing w:after="0"/>
              <w:rPr>
                <w:sz w:val="14"/>
                <w:szCs w:val="14"/>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0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vMerge w:val="restart"/>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2"/>
        </w:trPr>
        <w:tc>
          <w:tcPr>
            <w:tcW w:w="2640" w:type="dxa"/>
            <w:vAlign w:val="bottom"/>
            <w:gridSpan w:val="2"/>
          </w:tcPr>
          <w:p>
            <w:pPr>
              <w:spacing w:after="0"/>
              <w:rPr>
                <w:sz w:val="20"/>
                <w:szCs w:val="20"/>
                <w:color w:val="auto"/>
              </w:rPr>
            </w:pPr>
            <w:r>
              <w:rPr>
                <w:rFonts w:ascii="Arial" w:cs="Arial" w:eastAsia="Arial" w:hAnsi="Arial"/>
                <w:sz w:val="14"/>
                <w:szCs w:val="14"/>
                <w:color w:val="auto"/>
              </w:rPr>
              <w:t>Flavors Holdings, Inc.</w:t>
            </w:r>
          </w:p>
        </w:tc>
        <w:tc>
          <w:tcPr>
            <w:tcW w:w="2060" w:type="dxa"/>
            <w:vAlign w:val="bottom"/>
          </w:tcPr>
          <w:p>
            <w:pPr>
              <w:spacing w:after="0"/>
              <w:rPr>
                <w:sz w:val="20"/>
                <w:szCs w:val="20"/>
                <w:color w:val="auto"/>
              </w:rPr>
            </w:pPr>
            <w:r>
              <w:rPr>
                <w:rFonts w:ascii="Arial" w:cs="Arial" w:eastAsia="Arial" w:hAnsi="Arial"/>
                <w:sz w:val="14"/>
                <w:szCs w:val="14"/>
                <w:color w:val="auto"/>
              </w:rPr>
              <w:t>Food Product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Second Lien Debt (11% Cash (1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+ 10%,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10/3/21)</w:t>
            </w:r>
          </w:p>
        </w:tc>
        <w:tc>
          <w:tcPr>
            <w:tcW w:w="920" w:type="dxa"/>
            <w:vAlign w:val="bottom"/>
          </w:tcPr>
          <w:p>
            <w:pPr>
              <w:jc w:val="right"/>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Group Cirque du Soleil, Inc.</w:t>
            </w:r>
          </w:p>
        </w:tc>
        <w:tc>
          <w:tcPr>
            <w:tcW w:w="2060" w:type="dxa"/>
            <w:vAlign w:val="bottom"/>
          </w:tcPr>
          <w:p>
            <w:pPr>
              <w:spacing w:after="0"/>
              <w:rPr>
                <w:sz w:val="20"/>
                <w:szCs w:val="20"/>
                <w:color w:val="auto"/>
              </w:rPr>
            </w:pPr>
            <w:r>
              <w:rPr>
                <w:rFonts w:ascii="Arial" w:cs="Arial" w:eastAsia="Arial" w:hAnsi="Arial"/>
                <w:sz w:val="14"/>
                <w:szCs w:val="14"/>
                <w:color w:val="auto"/>
              </w:rPr>
              <w:t>Entertainment</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Second Lien Debt (9.25% Cash (3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2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month LIBOR + 8.25%, 1% Floor),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Due 7/8/23) </w:t>
            </w:r>
            <w:r>
              <w:rPr>
                <w:rFonts w:ascii="Arial" w:cs="Arial" w:eastAsia="Arial" w:hAnsi="Arial"/>
                <w:sz w:val="23"/>
                <w:szCs w:val="23"/>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62"/>
        </w:trPr>
        <w:tc>
          <w:tcPr>
            <w:tcW w:w="2640" w:type="dxa"/>
            <w:vAlign w:val="bottom"/>
            <w:gridSpan w:val="2"/>
          </w:tcPr>
          <w:p>
            <w:pPr>
              <w:spacing w:after="0"/>
              <w:rPr>
                <w:sz w:val="20"/>
                <w:szCs w:val="20"/>
                <w:color w:val="auto"/>
              </w:rPr>
            </w:pPr>
            <w:r>
              <w:rPr>
                <w:rFonts w:ascii="Arial" w:cs="Arial" w:eastAsia="Arial" w:hAnsi="Arial"/>
                <w:sz w:val="14"/>
                <w:szCs w:val="14"/>
                <w:color w:val="auto"/>
              </w:rPr>
              <w:t>Immersive Media Tactical Solutions, LLC</w:t>
            </w:r>
          </w:p>
        </w:tc>
        <w:tc>
          <w:tcPr>
            <w:tcW w:w="2060" w:type="dxa"/>
            <w:vAlign w:val="bottom"/>
          </w:tcPr>
          <w:p>
            <w:pPr>
              <w:spacing w:after="0"/>
              <w:rPr>
                <w:sz w:val="20"/>
                <w:szCs w:val="20"/>
                <w:color w:val="auto"/>
              </w:rPr>
            </w:pPr>
            <w:r>
              <w:rPr>
                <w:rFonts w:ascii="Arial" w:cs="Arial" w:eastAsia="Arial" w:hAnsi="Arial"/>
                <w:sz w:val="14"/>
                <w:szCs w:val="14"/>
                <w:color w:val="auto"/>
              </w:rPr>
              <w:t>Specialty Defense Contractor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Subordinated Debt (Due 12/9/19)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0" w:type="dxa"/>
            <w:vAlign w:val="bottom"/>
            <w:gridSpan w:val="2"/>
          </w:tcPr>
          <w:p>
            <w:pPr>
              <w:ind w:left="12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Kelle's Transport Service, LLC</w:t>
            </w:r>
          </w:p>
        </w:tc>
        <w:tc>
          <w:tcPr>
            <w:tcW w:w="2060" w:type="dxa"/>
            <w:vAlign w:val="bottom"/>
          </w:tcPr>
          <w:p>
            <w:pPr>
              <w:spacing w:after="0"/>
              <w:rPr>
                <w:sz w:val="20"/>
                <w:szCs w:val="20"/>
                <w:color w:val="auto"/>
              </w:rPr>
            </w:pPr>
            <w:r>
              <w:rPr>
                <w:rFonts w:ascii="Arial" w:cs="Arial" w:eastAsia="Arial" w:hAnsi="Arial"/>
                <w:sz w:val="14"/>
                <w:szCs w:val="14"/>
                <w:color w:val="auto"/>
              </w:rPr>
              <w:t>Transportation</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(14%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3/31/19)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13,674</w:t>
            </w:r>
          </w:p>
        </w:tc>
        <w:tc>
          <w:tcPr>
            <w:tcW w:w="0" w:type="dxa"/>
            <w:vAlign w:val="bottom"/>
          </w:tcPr>
          <w:p>
            <w:pPr>
              <w:spacing w:after="0"/>
              <w:rPr>
                <w:sz w:val="1"/>
                <w:szCs w:val="1"/>
                <w:color w:val="auto"/>
              </w:rPr>
            </w:pPr>
          </w:p>
        </w:tc>
      </w:tr>
      <w:tr>
        <w:trPr>
          <w:trHeight w:val="273"/>
        </w:trPr>
        <w:tc>
          <w:tcPr>
            <w:tcW w:w="2640" w:type="dxa"/>
            <w:vAlign w:val="bottom"/>
            <w:gridSpan w:val="2"/>
          </w:tcPr>
          <w:p>
            <w:pPr>
              <w:spacing w:after="0"/>
              <w:rPr>
                <w:sz w:val="20"/>
                <w:szCs w:val="20"/>
                <w:color w:val="auto"/>
              </w:rPr>
            </w:pPr>
            <w:r>
              <w:rPr>
                <w:rFonts w:ascii="Arial" w:cs="Arial" w:eastAsia="Arial" w:hAnsi="Arial"/>
                <w:sz w:val="14"/>
                <w:szCs w:val="14"/>
                <w:color w:val="auto"/>
              </w:rPr>
              <w:t>Kelle's Transport Service, LLC</w:t>
            </w:r>
          </w:p>
        </w:tc>
        <w:tc>
          <w:tcPr>
            <w:tcW w:w="2060" w:type="dxa"/>
            <w:vAlign w:val="bottom"/>
          </w:tcPr>
          <w:p>
            <w:pPr>
              <w:spacing w:after="0"/>
              <w:rPr>
                <w:sz w:val="20"/>
                <w:szCs w:val="20"/>
                <w:color w:val="auto"/>
              </w:rPr>
            </w:pPr>
            <w:r>
              <w:rPr>
                <w:rFonts w:ascii="Arial" w:cs="Arial" w:eastAsia="Arial" w:hAnsi="Arial"/>
                <w:sz w:val="14"/>
                <w:szCs w:val="14"/>
                <w:color w:val="auto"/>
              </w:rPr>
              <w:t>Transportation</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Preferred Units (1,000 units, 10%</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PIK Dividend) </w:t>
            </w:r>
            <w:r>
              <w:rPr>
                <w:rFonts w:ascii="Arial" w:cs="Arial" w:eastAsia="Arial" w:hAnsi="Arial"/>
                <w:sz w:val="23"/>
                <w:szCs w:val="23"/>
                <w:color w:val="auto"/>
                <w:vertAlign w:val="superscript"/>
              </w:rPr>
              <w:t>(6)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Arial" w:cs="Arial" w:eastAsia="Arial" w:hAnsi="Arial"/>
                <w:sz w:val="14"/>
                <w:szCs w:val="14"/>
                <w:color w:val="auto"/>
              </w:rPr>
              <w:t>Kelle's Transport Service, LLC</w:t>
            </w:r>
          </w:p>
        </w:tc>
        <w:tc>
          <w:tcPr>
            <w:tcW w:w="2060" w:type="dxa"/>
            <w:vAlign w:val="bottom"/>
          </w:tcPr>
          <w:p>
            <w:pPr>
              <w:spacing w:after="0"/>
              <w:rPr>
                <w:sz w:val="20"/>
                <w:szCs w:val="20"/>
                <w:color w:val="auto"/>
              </w:rPr>
            </w:pPr>
            <w:r>
              <w:rPr>
                <w:rFonts w:ascii="Arial" w:cs="Arial" w:eastAsia="Arial" w:hAnsi="Arial"/>
                <w:sz w:val="14"/>
                <w:szCs w:val="14"/>
                <w:color w:val="auto"/>
              </w:rPr>
              <w:t>Transportation</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Common Stock Warrants (15%</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fully diluted)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2"/>
        </w:trPr>
        <w:tc>
          <w:tcPr>
            <w:tcW w:w="2640" w:type="dxa"/>
            <w:vAlign w:val="bottom"/>
            <w:gridSpan w:val="2"/>
          </w:tcPr>
          <w:p>
            <w:pPr>
              <w:spacing w:after="0"/>
              <w:rPr>
                <w:sz w:val="20"/>
                <w:szCs w:val="20"/>
                <w:color w:val="auto"/>
              </w:rPr>
            </w:pPr>
            <w:r>
              <w:rPr>
                <w:rFonts w:ascii="Arial" w:cs="Arial" w:eastAsia="Arial" w:hAnsi="Arial"/>
                <w:sz w:val="14"/>
                <w:szCs w:val="14"/>
                <w:color w:val="auto"/>
              </w:rPr>
              <w:t>Medical Depot, Inc.</w:t>
            </w:r>
          </w:p>
        </w:tc>
        <w:tc>
          <w:tcPr>
            <w:tcW w:w="206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w w:val="97"/>
              </w:rPr>
              <w:t>Subordinated Debt (14%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 xml:space="preserve">9/27/20)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14,667</w:t>
            </w:r>
          </w:p>
        </w:tc>
        <w:tc>
          <w:tcPr>
            <w:tcW w:w="0" w:type="dxa"/>
            <w:vAlign w:val="bottom"/>
          </w:tcPr>
          <w:p>
            <w:pPr>
              <w:spacing w:after="0"/>
              <w:rPr>
                <w:sz w:val="1"/>
                <w:szCs w:val="1"/>
                <w:color w:val="auto"/>
              </w:rPr>
            </w:pPr>
          </w:p>
        </w:tc>
      </w:tr>
      <w:tr>
        <w:trPr>
          <w:trHeight w:val="163"/>
        </w:trPr>
        <w:tc>
          <w:tcPr>
            <w:tcW w:w="2640" w:type="dxa"/>
            <w:vAlign w:val="bottom"/>
            <w:gridSpan w:val="2"/>
          </w:tcPr>
          <w:p>
            <w:pPr>
              <w:spacing w:after="0"/>
              <w:rPr>
                <w:sz w:val="20"/>
                <w:szCs w:val="20"/>
                <w:color w:val="auto"/>
              </w:rPr>
            </w:pPr>
            <w:r>
              <w:rPr>
                <w:rFonts w:ascii="Arial" w:cs="Arial" w:eastAsia="Arial" w:hAnsi="Arial"/>
                <w:sz w:val="14"/>
                <w:szCs w:val="14"/>
                <w:color w:val="auto"/>
              </w:rPr>
              <w:t>Medical Depot, Inc.</w:t>
            </w:r>
          </w:p>
        </w:tc>
        <w:tc>
          <w:tcPr>
            <w:tcW w:w="2060" w:type="dxa"/>
            <w:vAlign w:val="bottom"/>
          </w:tcPr>
          <w:p>
            <w:pPr>
              <w:spacing w:after="0"/>
              <w:rPr>
                <w:sz w:val="20"/>
                <w:szCs w:val="20"/>
                <w:color w:val="auto"/>
              </w:rPr>
            </w:pPr>
            <w:r>
              <w:rPr>
                <w:rFonts w:ascii="Arial" w:cs="Arial" w:eastAsia="Arial" w:hAnsi="Arial"/>
                <w:sz w:val="14"/>
                <w:szCs w:val="14"/>
                <w:color w:val="auto"/>
              </w:rPr>
              <w:t>Medical Device Distributor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Series C Convertible Preferred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Stock (740 shares)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Nielsen &amp; Bainbridge, LLC</w:t>
            </w:r>
          </w:p>
        </w:tc>
        <w:tc>
          <w:tcPr>
            <w:tcW w:w="2060" w:type="dxa"/>
            <w:vAlign w:val="bottom"/>
          </w:tcPr>
          <w:p>
            <w:pPr>
              <w:spacing w:after="0"/>
              <w:rPr>
                <w:sz w:val="20"/>
                <w:szCs w:val="20"/>
                <w:color w:val="auto"/>
              </w:rPr>
            </w:pPr>
            <w:r>
              <w:rPr>
                <w:rFonts w:ascii="Arial" w:cs="Arial" w:eastAsia="Arial" w:hAnsi="Arial"/>
                <w:sz w:val="14"/>
                <w:szCs w:val="14"/>
                <w:color w:val="auto"/>
              </w:rPr>
              <w:t>Home Décor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Second Lien Debt (10.5% Cash (6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+ 9.25%,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8/15/21)</w:t>
            </w:r>
          </w:p>
        </w:tc>
        <w:tc>
          <w:tcPr>
            <w:tcW w:w="92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(8.0% Cash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+ 7%,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1% PIK, Due 12/14/20)</w:t>
            </w:r>
          </w:p>
        </w:tc>
        <w:tc>
          <w:tcPr>
            <w:tcW w:w="920" w:type="dxa"/>
            <w:vAlign w:val="bottom"/>
          </w:tcPr>
          <w:p>
            <w:pPr>
              <w:jc w:val="right"/>
              <w:spacing w:after="0"/>
              <w:rPr>
                <w:sz w:val="20"/>
                <w:szCs w:val="20"/>
                <w:color w:val="auto"/>
              </w:rPr>
            </w:pPr>
            <w:r>
              <w:rPr>
                <w:rFonts w:ascii="Arial" w:cs="Arial" w:eastAsia="Arial" w:hAnsi="Arial"/>
                <w:sz w:val="14"/>
                <w:szCs w:val="14"/>
                <w:color w:val="auto"/>
              </w:rPr>
              <w:t>9,904</w:t>
            </w: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(12.5% Cash (1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+ 11.5%,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2% PIK, Due 12/14/20)</w:t>
            </w:r>
          </w:p>
        </w:tc>
        <w:tc>
          <w:tcPr>
            <w:tcW w:w="920" w:type="dxa"/>
            <w:vAlign w:val="bottom"/>
          </w:tcPr>
          <w:p>
            <w:pPr>
              <w:jc w:val="right"/>
              <w:spacing w:after="0"/>
              <w:rPr>
                <w:sz w:val="20"/>
                <w:szCs w:val="20"/>
                <w:color w:val="auto"/>
              </w:rPr>
            </w:pPr>
            <w:r>
              <w:rPr>
                <w:rFonts w:ascii="Arial" w:cs="Arial" w:eastAsia="Arial" w:hAnsi="Arial"/>
                <w:sz w:val="14"/>
                <w:szCs w:val="14"/>
                <w:color w:val="auto"/>
              </w:rPr>
              <w:t>7,351</w:t>
            </w:r>
          </w:p>
        </w:tc>
        <w:tc>
          <w:tcPr>
            <w:tcW w:w="0" w:type="dxa"/>
            <w:vAlign w:val="bottom"/>
          </w:tcPr>
          <w:p>
            <w:pPr>
              <w:spacing w:after="0"/>
              <w:rPr>
                <w:sz w:val="1"/>
                <w:szCs w:val="1"/>
                <w:color w:val="auto"/>
              </w:rPr>
            </w:pPr>
          </w:p>
        </w:tc>
      </w:tr>
      <w:tr>
        <w:trPr>
          <w:trHeight w:val="273"/>
        </w:trPr>
        <w:tc>
          <w:tcPr>
            <w:tcW w:w="2640" w:type="dxa"/>
            <w:vAlign w:val="bottom"/>
            <w:gridSpan w:val="2"/>
          </w:tcPr>
          <w:p>
            <w:pPr>
              <w:spacing w:after="0"/>
              <w:rPr>
                <w:sz w:val="20"/>
                <w:szCs w:val="20"/>
                <w:color w:val="auto"/>
              </w:rPr>
            </w:pPr>
            <w:r>
              <w:rPr>
                <w:rFonts w:ascii="Arial" w:cs="Arial" w:eastAsia="Arial" w:hAnsi="Arial"/>
                <w:sz w:val="14"/>
                <w:szCs w:val="14"/>
                <w:color w:val="auto"/>
              </w:rPr>
              <w:t>Nth Degree, Inc.</w:t>
            </w:r>
          </w:p>
        </w:tc>
        <w:tc>
          <w:tcPr>
            <w:tcW w:w="2060" w:type="dxa"/>
            <w:vAlign w:val="bottom"/>
          </w:tcPr>
          <w:p>
            <w:pPr>
              <w:spacing w:after="0"/>
              <w:rPr>
                <w:sz w:val="20"/>
                <w:szCs w:val="20"/>
                <w:color w:val="auto"/>
              </w:rPr>
            </w:pPr>
            <w:r>
              <w:rPr>
                <w:rFonts w:ascii="Arial" w:cs="Arial" w:eastAsia="Arial" w:hAnsi="Arial"/>
                <w:sz w:val="14"/>
                <w:szCs w:val="14"/>
                <w:color w:val="auto"/>
              </w:rPr>
              <w:t>Business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Preferred Stock (10% PIK</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 xml:space="preserve">dividend) </w:t>
            </w:r>
            <w:r>
              <w:rPr>
                <w:rFonts w:ascii="Arial" w:cs="Arial" w:eastAsia="Arial" w:hAnsi="Arial"/>
                <w:sz w:val="23"/>
                <w:szCs w:val="23"/>
                <w:color w:val="auto"/>
                <w:vertAlign w:val="superscript"/>
              </w:rPr>
              <w:t>(6)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4"/>
                <w:szCs w:val="14"/>
                <w:color w:val="auto"/>
              </w:rPr>
              <w:t>Portrait Innovations, Inc.</w:t>
            </w:r>
          </w:p>
        </w:tc>
        <w:tc>
          <w:tcPr>
            <w:tcW w:w="2060" w:type="dxa"/>
            <w:vAlign w:val="bottom"/>
          </w:tcPr>
          <w:p>
            <w:pPr>
              <w:spacing w:after="0"/>
              <w:rPr>
                <w:sz w:val="20"/>
                <w:szCs w:val="20"/>
                <w:color w:val="auto"/>
              </w:rPr>
            </w:pPr>
            <w:r>
              <w:rPr>
                <w:rFonts w:ascii="Arial" w:cs="Arial" w:eastAsia="Arial" w:hAnsi="Arial"/>
                <w:sz w:val="14"/>
                <w:szCs w:val="14"/>
                <w:color w:val="auto"/>
                <w:w w:val="98"/>
              </w:rPr>
              <w:t>Professional and Personal Digital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w w:val="97"/>
              </w:rPr>
              <w:t>Subordinated Debt (12%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Imaging</w:t>
            </w: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2/26/20)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Sequoia Healthcare Management, LLC</w:t>
            </w:r>
          </w:p>
        </w:tc>
        <w:tc>
          <w:tcPr>
            <w:tcW w:w="2060" w:type="dxa"/>
            <w:vAlign w:val="bottom"/>
          </w:tcPr>
          <w:p>
            <w:pPr>
              <w:spacing w:after="0"/>
              <w:rPr>
                <w:sz w:val="20"/>
                <w:szCs w:val="20"/>
                <w:color w:val="auto"/>
              </w:rPr>
            </w:pPr>
            <w:r>
              <w:rPr>
                <w:rFonts w:ascii="Arial" w:cs="Arial" w:eastAsia="Arial" w:hAnsi="Arial"/>
                <w:sz w:val="14"/>
                <w:szCs w:val="14"/>
                <w:color w:val="auto"/>
              </w:rPr>
              <w:t>Healthcare Management</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 Cash, 4%</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PIK, Due 7/17/19)</w:t>
            </w:r>
          </w:p>
        </w:tc>
        <w:tc>
          <w:tcPr>
            <w:tcW w:w="920" w:type="dxa"/>
            <w:vAlign w:val="bottom"/>
          </w:tcPr>
          <w:p>
            <w:pPr>
              <w:jc w:val="right"/>
              <w:spacing w:after="0"/>
              <w:rPr>
                <w:sz w:val="20"/>
                <w:szCs w:val="20"/>
                <w:color w:val="auto"/>
              </w:rPr>
            </w:pPr>
            <w:r>
              <w:rPr>
                <w:rFonts w:ascii="Arial" w:cs="Arial" w:eastAsia="Arial" w:hAnsi="Arial"/>
                <w:sz w:val="14"/>
                <w:szCs w:val="14"/>
                <w:color w:val="auto"/>
              </w:rPr>
              <w:t>10,851</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Sierra Hamilton, LLC</w:t>
            </w:r>
          </w:p>
        </w:tc>
        <w:tc>
          <w:tcPr>
            <w:tcW w:w="2060" w:type="dxa"/>
            <w:vAlign w:val="bottom"/>
          </w:tcPr>
          <w:p>
            <w:pPr>
              <w:spacing w:after="0"/>
              <w:rPr>
                <w:sz w:val="20"/>
                <w:szCs w:val="20"/>
                <w:color w:val="auto"/>
              </w:rPr>
            </w:pPr>
            <w:r>
              <w:rPr>
                <w:rFonts w:ascii="Arial" w:cs="Arial" w:eastAsia="Arial" w:hAnsi="Arial"/>
                <w:sz w:val="14"/>
                <w:szCs w:val="14"/>
                <w:color w:val="auto"/>
              </w:rPr>
              <w:t>Oil &amp; Gas Engineering and</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(12.25%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Consulting Services</w:t>
            </w: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12/15/18)</w:t>
            </w:r>
            <w:r>
              <w:rPr>
                <w:rFonts w:ascii="Arial" w:cs="Arial" w:eastAsia="Arial" w:hAnsi="Arial"/>
                <w:sz w:val="23"/>
                <w:szCs w:val="23"/>
                <w:color w:val="auto"/>
                <w:vertAlign w:val="superscript"/>
              </w:rPr>
              <w:t>(2)</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4"/>
                <w:szCs w:val="14"/>
                <w:color w:val="auto"/>
              </w:rPr>
              <w:t>Sur La Table, Inc.</w:t>
            </w:r>
          </w:p>
        </w:tc>
        <w:tc>
          <w:tcPr>
            <w:tcW w:w="2060" w:type="dxa"/>
            <w:vAlign w:val="bottom"/>
          </w:tcPr>
          <w:p>
            <w:pPr>
              <w:spacing w:after="0"/>
              <w:rPr>
                <w:sz w:val="20"/>
                <w:szCs w:val="20"/>
                <w:color w:val="auto"/>
              </w:rPr>
            </w:pPr>
            <w:r>
              <w:rPr>
                <w:rFonts w:ascii="Arial" w:cs="Arial" w:eastAsia="Arial" w:hAnsi="Arial"/>
                <w:sz w:val="14"/>
                <w:szCs w:val="14"/>
                <w:color w:val="auto"/>
              </w:rPr>
              <w:t>Retail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(12%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7/28/20)</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Taylor Precision Products, Inc.</w:t>
            </w:r>
          </w:p>
        </w:tc>
        <w:tc>
          <w:tcPr>
            <w:tcW w:w="2060" w:type="dxa"/>
            <w:vAlign w:val="bottom"/>
          </w:tcPr>
          <w:p>
            <w:pPr>
              <w:spacing w:after="0"/>
              <w:rPr>
                <w:sz w:val="20"/>
                <w:szCs w:val="20"/>
                <w:color w:val="auto"/>
              </w:rPr>
            </w:pPr>
            <w:r>
              <w:rPr>
                <w:rFonts w:ascii="Arial" w:cs="Arial" w:eastAsia="Arial" w:hAnsi="Arial"/>
                <w:sz w:val="14"/>
                <w:szCs w:val="14"/>
                <w:color w:val="auto"/>
                <w:w w:val="99"/>
              </w:rPr>
              <w:t>Household Product Manufacturer</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Series C Preferred Stock (379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U.S. Well Services, LLC</w:t>
            </w:r>
          </w:p>
        </w:tc>
        <w:tc>
          <w:tcPr>
            <w:tcW w:w="2060" w:type="dxa"/>
            <w:vAlign w:val="bottom"/>
          </w:tcPr>
          <w:p>
            <w:pPr>
              <w:spacing w:after="0"/>
              <w:rPr>
                <w:sz w:val="20"/>
                <w:szCs w:val="20"/>
                <w:color w:val="auto"/>
              </w:rPr>
            </w:pPr>
            <w:r>
              <w:rPr>
                <w:rFonts w:ascii="Arial" w:cs="Arial" w:eastAsia="Arial" w:hAnsi="Arial"/>
                <w:sz w:val="14"/>
                <w:szCs w:val="14"/>
                <w:color w:val="auto"/>
              </w:rPr>
              <w:t>Oil &amp; Gas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(14.1% PIK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+ 13.5%, 0.5%</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floor), Due 5/2/19)</w:t>
            </w:r>
          </w:p>
        </w:tc>
        <w:tc>
          <w:tcPr>
            <w:tcW w:w="920" w:type="dxa"/>
            <w:vAlign w:val="bottom"/>
          </w:tcPr>
          <w:p>
            <w:pPr>
              <w:jc w:val="right"/>
              <w:spacing w:after="0"/>
              <w:rPr>
                <w:sz w:val="20"/>
                <w:szCs w:val="20"/>
                <w:color w:val="auto"/>
              </w:rPr>
            </w:pPr>
            <w:r>
              <w:rPr>
                <w:rFonts w:ascii="Arial" w:cs="Arial" w:eastAsia="Arial" w:hAnsi="Arial"/>
                <w:sz w:val="14"/>
                <w:szCs w:val="14"/>
                <w:color w:val="auto"/>
              </w:rPr>
              <w:t>15,083</w:t>
            </w:r>
          </w:p>
        </w:tc>
        <w:tc>
          <w:tcPr>
            <w:tcW w:w="0" w:type="dxa"/>
            <w:vAlign w:val="bottom"/>
          </w:tcPr>
          <w:p>
            <w:pPr>
              <w:spacing w:after="0"/>
              <w:rPr>
                <w:sz w:val="1"/>
                <w:szCs w:val="1"/>
                <w:color w:val="auto"/>
              </w:rPr>
            </w:pPr>
          </w:p>
        </w:tc>
      </w:tr>
      <w:tr>
        <w:trPr>
          <w:trHeight w:val="462"/>
        </w:trPr>
        <w:tc>
          <w:tcPr>
            <w:tcW w:w="2640" w:type="dxa"/>
            <w:vAlign w:val="bottom"/>
            <w:gridSpan w:val="2"/>
          </w:tcPr>
          <w:p>
            <w:pPr>
              <w:spacing w:after="0"/>
              <w:rPr>
                <w:sz w:val="20"/>
                <w:szCs w:val="20"/>
                <w:color w:val="auto"/>
              </w:rPr>
            </w:pPr>
            <w:r>
              <w:rPr>
                <w:rFonts w:ascii="Arial" w:cs="Arial" w:eastAsia="Arial" w:hAnsi="Arial"/>
                <w:sz w:val="14"/>
                <w:szCs w:val="14"/>
                <w:color w:val="auto"/>
              </w:rPr>
              <w:t>Velum Global Credit Management, LLC</w:t>
            </w:r>
          </w:p>
        </w:tc>
        <w:tc>
          <w:tcPr>
            <w:tcW w:w="2060" w:type="dxa"/>
            <w:vAlign w:val="bottom"/>
          </w:tcPr>
          <w:p>
            <w:pPr>
              <w:spacing w:after="0"/>
              <w:rPr>
                <w:sz w:val="20"/>
                <w:szCs w:val="20"/>
                <w:color w:val="auto"/>
              </w:rPr>
            </w:pPr>
            <w:r>
              <w:rPr>
                <w:rFonts w:ascii="Arial" w:cs="Arial" w:eastAsia="Arial" w:hAnsi="Arial"/>
                <w:sz w:val="14"/>
                <w:szCs w:val="14"/>
                <w:color w:val="auto"/>
              </w:rPr>
              <w:t>Financial Services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(15% PIK,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 xml:space="preserve">12/31/17) </w:t>
            </w:r>
            <w:r>
              <w:rPr>
                <w:rFonts w:ascii="Arial" w:cs="Arial" w:eastAsia="Arial" w:hAnsi="Arial"/>
                <w:sz w:val="23"/>
                <w:szCs w:val="23"/>
                <w:color w:val="auto"/>
                <w:vertAlign w:val="superscript"/>
              </w:rPr>
              <w:t>(1) (8)</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10,553</w:t>
            </w:r>
          </w:p>
        </w:tc>
        <w:tc>
          <w:tcPr>
            <w:tcW w:w="0" w:type="dxa"/>
            <w:vAlign w:val="bottom"/>
          </w:tcPr>
          <w:p>
            <w:pPr>
              <w:spacing w:after="0"/>
              <w:rPr>
                <w:sz w:val="1"/>
                <w:szCs w:val="1"/>
                <w:color w:val="auto"/>
              </w:rPr>
            </w:pPr>
          </w:p>
        </w:tc>
      </w:tr>
      <w:tr>
        <w:trPr>
          <w:trHeight w:val="352"/>
        </w:trPr>
        <w:tc>
          <w:tcPr>
            <w:tcW w:w="2640" w:type="dxa"/>
            <w:vAlign w:val="bottom"/>
            <w:gridSpan w:val="2"/>
          </w:tcPr>
          <w:p>
            <w:pPr>
              <w:spacing w:after="0"/>
              <w:rPr>
                <w:sz w:val="20"/>
                <w:szCs w:val="20"/>
                <w:color w:val="auto"/>
              </w:rPr>
            </w:pPr>
            <w:r>
              <w:rPr>
                <w:rFonts w:ascii="Arial" w:cs="Arial" w:eastAsia="Arial" w:hAnsi="Arial"/>
                <w:sz w:val="14"/>
                <w:szCs w:val="14"/>
                <w:color w:val="auto"/>
              </w:rPr>
              <w:t>Vintage Stock, Inc.</w:t>
            </w:r>
          </w:p>
        </w:tc>
        <w:tc>
          <w:tcPr>
            <w:tcW w:w="2060" w:type="dxa"/>
            <w:vAlign w:val="bottom"/>
          </w:tcPr>
          <w:p>
            <w:pPr>
              <w:spacing w:after="0"/>
              <w:rPr>
                <w:sz w:val="20"/>
                <w:szCs w:val="20"/>
                <w:color w:val="auto"/>
              </w:rPr>
            </w:pPr>
            <w:r>
              <w:rPr>
                <w:rFonts w:ascii="Arial" w:cs="Arial" w:eastAsia="Arial" w:hAnsi="Arial"/>
                <w:sz w:val="14"/>
                <w:szCs w:val="14"/>
                <w:color w:val="auto"/>
              </w:rPr>
              <w:t>Specialty Retail</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(13.1% Cash (1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+ 12.5%, 0.5%</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floor), 3% PIK, Due 11/3/21)</w:t>
            </w:r>
          </w:p>
        </w:tc>
        <w:tc>
          <w:tcPr>
            <w:tcW w:w="920" w:type="dxa"/>
            <w:vAlign w:val="bottom"/>
          </w:tcPr>
          <w:p>
            <w:pPr>
              <w:jc w:val="right"/>
              <w:spacing w:after="0"/>
              <w:rPr>
                <w:sz w:val="20"/>
                <w:szCs w:val="20"/>
                <w:color w:val="auto"/>
              </w:rPr>
            </w:pPr>
            <w:r>
              <w:rPr>
                <w:rFonts w:ascii="Arial" w:cs="Arial" w:eastAsia="Arial" w:hAnsi="Arial"/>
                <w:sz w:val="14"/>
                <w:szCs w:val="14"/>
                <w:color w:val="auto"/>
              </w:rPr>
              <w:t>22,067</w:t>
            </w:r>
          </w:p>
        </w:tc>
        <w:tc>
          <w:tcPr>
            <w:tcW w:w="0" w:type="dxa"/>
            <w:vAlign w:val="bottom"/>
          </w:tcPr>
          <w:p>
            <w:pPr>
              <w:spacing w:after="0"/>
              <w:rPr>
                <w:sz w:val="1"/>
                <w:szCs w:val="1"/>
                <w:color w:val="auto"/>
              </w:rPr>
            </w:pPr>
          </w:p>
        </w:tc>
      </w:tr>
      <w:tr>
        <w:trPr>
          <w:trHeight w:val="439"/>
        </w:trPr>
        <w:tc>
          <w:tcPr>
            <w:tcW w:w="2640" w:type="dxa"/>
            <w:vAlign w:val="bottom"/>
            <w:gridSpan w:val="2"/>
          </w:tcPr>
          <w:p>
            <w:pPr>
              <w:spacing w:after="0"/>
              <w:rPr>
                <w:sz w:val="20"/>
                <w:szCs w:val="20"/>
                <w:color w:val="auto"/>
              </w:rPr>
            </w:pPr>
            <w:r>
              <w:rPr>
                <w:rFonts w:ascii="Arial" w:cs="Arial" w:eastAsia="Arial" w:hAnsi="Arial"/>
                <w:sz w:val="14"/>
                <w:szCs w:val="14"/>
                <w:color w:val="auto"/>
              </w:rPr>
              <w:t>Vology, Inc.</w:t>
            </w:r>
          </w:p>
        </w:tc>
        <w:tc>
          <w:tcPr>
            <w:tcW w:w="2060" w:type="dxa"/>
            <w:vAlign w:val="bottom"/>
          </w:tcPr>
          <w:p>
            <w:pPr>
              <w:spacing w:after="0"/>
              <w:rPr>
                <w:sz w:val="20"/>
                <w:szCs w:val="20"/>
                <w:color w:val="auto"/>
              </w:rPr>
            </w:pPr>
            <w:r>
              <w:rPr>
                <w:rFonts w:ascii="Arial" w:cs="Arial" w:eastAsia="Arial" w:hAnsi="Arial"/>
                <w:sz w:val="14"/>
                <w:szCs w:val="14"/>
                <w:color w:val="auto"/>
              </w:rPr>
              <w:t>Information Technology</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Subordinated Debt (15% Cash (3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month LIBOR + 14%, 1% Floor,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2% PIK), Due 1/24/21)</w:t>
            </w:r>
          </w:p>
        </w:tc>
        <w:tc>
          <w:tcPr>
            <w:tcW w:w="920" w:type="dxa"/>
            <w:vAlign w:val="bottom"/>
          </w:tcPr>
          <w:p>
            <w:pPr>
              <w:jc w:val="right"/>
              <w:spacing w:after="0"/>
              <w:rPr>
                <w:sz w:val="20"/>
                <w:szCs w:val="20"/>
                <w:color w:val="auto"/>
              </w:rPr>
            </w:pPr>
            <w:r>
              <w:rPr>
                <w:rFonts w:ascii="Arial" w:cs="Arial" w:eastAsia="Arial" w:hAnsi="Arial"/>
                <w:sz w:val="14"/>
                <w:szCs w:val="14"/>
                <w:color w:val="auto"/>
              </w:rPr>
              <w:t>8,082</w:t>
            </w:r>
          </w:p>
        </w:tc>
        <w:tc>
          <w:tcPr>
            <w:tcW w:w="0" w:type="dxa"/>
            <w:vAlign w:val="bottom"/>
          </w:tcPr>
          <w:p>
            <w:pPr>
              <w:spacing w:after="0"/>
              <w:rPr>
                <w:sz w:val="1"/>
                <w:szCs w:val="1"/>
                <w:color w:val="auto"/>
              </w:rPr>
            </w:pPr>
          </w:p>
        </w:tc>
      </w:tr>
      <w:tr>
        <w:trPr>
          <w:trHeight w:val="462"/>
        </w:trPr>
        <w:tc>
          <w:tcPr>
            <w:tcW w:w="2640" w:type="dxa"/>
            <w:vAlign w:val="bottom"/>
            <w:gridSpan w:val="2"/>
          </w:tcPr>
          <w:p>
            <w:pPr>
              <w:spacing w:after="0"/>
              <w:rPr>
                <w:sz w:val="20"/>
                <w:szCs w:val="20"/>
                <w:color w:val="auto"/>
              </w:rPr>
            </w:pPr>
            <w:r>
              <w:rPr>
                <w:rFonts w:ascii="Arial" w:cs="Arial" w:eastAsia="Arial" w:hAnsi="Arial"/>
                <w:sz w:val="14"/>
                <w:szCs w:val="14"/>
                <w:color w:val="auto"/>
              </w:rPr>
              <w:t>Western Windows Systems, LLC</w:t>
            </w:r>
          </w:p>
        </w:tc>
        <w:tc>
          <w:tcPr>
            <w:tcW w:w="2060" w:type="dxa"/>
            <w:vAlign w:val="bottom"/>
          </w:tcPr>
          <w:p>
            <w:pPr>
              <w:spacing w:after="0"/>
              <w:rPr>
                <w:sz w:val="20"/>
                <w:szCs w:val="20"/>
                <w:color w:val="auto"/>
              </w:rPr>
            </w:pPr>
            <w:r>
              <w:rPr>
                <w:rFonts w:ascii="Arial" w:cs="Arial" w:eastAsia="Arial" w:hAnsi="Arial"/>
                <w:sz w:val="14"/>
                <w:szCs w:val="14"/>
                <w:color w:val="auto"/>
              </w:rPr>
              <w:t>Building Products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First Lien Debt (11.7% Cash, Due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 xml:space="preserve">7/31/20) </w:t>
            </w:r>
            <w:r>
              <w:rPr>
                <w:rFonts w:ascii="Arial" w:cs="Arial" w:eastAsia="Arial" w:hAnsi="Arial"/>
                <w:sz w:val="23"/>
                <w:szCs w:val="23"/>
                <w:color w:val="auto"/>
                <w:vertAlign w:val="superscript"/>
              </w:rPr>
              <w:t>(3)</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97"/>
        </w:trPr>
        <w:tc>
          <w:tcPr>
            <w:tcW w:w="2640" w:type="dxa"/>
            <w:vAlign w:val="bottom"/>
            <w:gridSpan w:val="2"/>
          </w:tcPr>
          <w:p>
            <w:pPr>
              <w:spacing w:after="0"/>
              <w:rPr>
                <w:sz w:val="20"/>
                <w:szCs w:val="20"/>
                <w:color w:val="auto"/>
              </w:rPr>
            </w:pPr>
            <w:r>
              <w:rPr>
                <w:rFonts w:ascii="Arial" w:cs="Arial" w:eastAsia="Arial" w:hAnsi="Arial"/>
                <w:sz w:val="14"/>
                <w:szCs w:val="14"/>
                <w:color w:val="auto"/>
              </w:rPr>
              <w:t>Western Windows Systems, LLC</w:t>
            </w:r>
          </w:p>
        </w:tc>
        <w:tc>
          <w:tcPr>
            <w:tcW w:w="2060" w:type="dxa"/>
            <w:vAlign w:val="bottom"/>
          </w:tcPr>
          <w:p>
            <w:pPr>
              <w:spacing w:after="0"/>
              <w:rPr>
                <w:sz w:val="20"/>
                <w:szCs w:val="20"/>
                <w:color w:val="auto"/>
              </w:rPr>
            </w:pPr>
            <w:r>
              <w:rPr>
                <w:rFonts w:ascii="Arial" w:cs="Arial" w:eastAsia="Arial" w:hAnsi="Arial"/>
                <w:sz w:val="14"/>
                <w:szCs w:val="14"/>
                <w:color w:val="auto"/>
              </w:rPr>
              <w:t>Building Products</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Membership Units (39,860 units)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640" w:type="dxa"/>
            <w:vAlign w:val="bottom"/>
            <w:gridSpan w:val="2"/>
          </w:tcPr>
          <w:p>
            <w:pPr>
              <w:spacing w:after="0"/>
              <w:rPr>
                <w:sz w:val="20"/>
                <w:szCs w:val="20"/>
                <w:color w:val="auto"/>
              </w:rPr>
            </w:pPr>
            <w:r>
              <w:rPr>
                <w:rFonts w:ascii="Arial" w:cs="Arial" w:eastAsia="Arial" w:hAnsi="Arial"/>
                <w:sz w:val="14"/>
                <w:szCs w:val="14"/>
                <w:color w:val="auto"/>
              </w:rPr>
              <w:t>Xirgo Technologies, LLC</w:t>
            </w:r>
          </w:p>
        </w:tc>
        <w:tc>
          <w:tcPr>
            <w:tcW w:w="2060" w:type="dxa"/>
            <w:vAlign w:val="bottom"/>
          </w:tcPr>
          <w:p>
            <w:pPr>
              <w:spacing w:after="0"/>
              <w:rPr>
                <w:sz w:val="20"/>
                <w:szCs w:val="20"/>
                <w:color w:val="auto"/>
              </w:rPr>
            </w:pPr>
            <w:r>
              <w:rPr>
                <w:rFonts w:ascii="Arial" w:cs="Arial" w:eastAsia="Arial" w:hAnsi="Arial"/>
                <w:sz w:val="14"/>
                <w:szCs w:val="14"/>
                <w:color w:val="auto"/>
              </w:rPr>
              <w:t>Information Technology</w:t>
            </w: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Subordinated Debt (11.5% Cash,</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20" w:type="dxa"/>
            <w:vAlign w:val="bottom"/>
            <w:gridSpan w:val="3"/>
          </w:tcPr>
          <w:p>
            <w:pPr>
              <w:ind w:left="120"/>
              <w:spacing w:after="0"/>
              <w:rPr>
                <w:sz w:val="20"/>
                <w:szCs w:val="20"/>
                <w:color w:val="auto"/>
              </w:rPr>
            </w:pPr>
            <w:r>
              <w:rPr>
                <w:rFonts w:ascii="Arial" w:cs="Arial" w:eastAsia="Arial" w:hAnsi="Arial"/>
                <w:sz w:val="14"/>
                <w:szCs w:val="14"/>
                <w:color w:val="auto"/>
              </w:rPr>
              <w:t>Due 3/1/22)</w:t>
            </w:r>
          </w:p>
        </w:tc>
        <w:tc>
          <w:tcPr>
            <w:tcW w:w="920" w:type="dxa"/>
            <w:vAlign w:val="bottom"/>
          </w:tcPr>
          <w:p>
            <w:pPr>
              <w:jc w:val="right"/>
              <w:spacing w:after="0"/>
              <w:rPr>
                <w:sz w:val="20"/>
                <w:szCs w:val="20"/>
                <w:color w:val="auto"/>
              </w:rPr>
            </w:pPr>
            <w:r>
              <w:rPr>
                <w:rFonts w:ascii="Arial" w:cs="Arial" w:eastAsia="Arial" w:hAnsi="Arial"/>
                <w:sz w:val="14"/>
                <w:szCs w:val="14"/>
                <w:color w:val="auto"/>
              </w:rPr>
              <w:t>15,750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-9587865</wp:posOffset>
            </wp:positionV>
            <wp:extent cx="72466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-9193530</wp:posOffset>
            </wp:positionV>
            <wp:extent cx="724662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-8773160</wp:posOffset>
            </wp:positionV>
            <wp:extent cx="724662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-8567420</wp:posOffset>
            </wp:positionV>
            <wp:extent cx="72466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-8258810</wp:posOffset>
            </wp:positionV>
            <wp:extent cx="72466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-7967345</wp:posOffset>
            </wp:positionV>
            <wp:extent cx="724662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-7658735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-7366635</wp:posOffset>
            </wp:positionV>
            <wp:extent cx="72466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-7160895</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-6852285</wp:posOffset>
            </wp:positionV>
            <wp:extent cx="7246620"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-6551930</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-6157595</wp:posOffset>
            </wp:positionV>
            <wp:extent cx="72466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-5951855</wp:posOffset>
            </wp:positionV>
            <wp:extent cx="72466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-5574665</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-5197475</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-4871085</wp:posOffset>
            </wp:positionV>
            <wp:extent cx="72466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-4571365</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-4365625</wp:posOffset>
            </wp:positionV>
            <wp:extent cx="7246620"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-4065270</wp:posOffset>
            </wp:positionV>
            <wp:extent cx="72466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-3739515</wp:posOffset>
            </wp:positionV>
            <wp:extent cx="72466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-3533775</wp:posOffset>
            </wp:positionV>
            <wp:extent cx="724662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-3233420</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-2933065</wp:posOffset>
            </wp:positionV>
            <wp:extent cx="724662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-2727325</wp:posOffset>
            </wp:positionV>
            <wp:extent cx="72466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-2332990</wp:posOffset>
            </wp:positionV>
            <wp:extent cx="72466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-2007235</wp:posOffset>
            </wp:positionV>
            <wp:extent cx="724662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7246620" cy="283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-1415415</wp:posOffset>
            </wp:positionV>
            <wp:extent cx="72466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-1021080</wp:posOffset>
            </wp:positionV>
            <wp:extent cx="72466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20" w:type="dxa"/>
            <w:vAlign w:val="bottom"/>
            <w:vMerge w:val="restart"/>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102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11,671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10,188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18,601</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16,599</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63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987</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60"/>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1,532</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13,668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13,252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3,433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3,433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3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171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17,123</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16,856</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14,667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43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1,333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6,440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21,107</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14,849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14,670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14,849</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14,670</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6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9,904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9,904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59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7,351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7,351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78"/>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2,662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4,581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19,917</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21,836</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9,000</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10,750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10,851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10,750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10,851</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87"/>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4,500</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1,001</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5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15,054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15,083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15,054</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15,083</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87"/>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10,553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10,553</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10,553</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569"/>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22,067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1"/>
        </w:trPr>
        <w:tc>
          <w:tcPr>
            <w:tcW w:w="900" w:type="dxa"/>
            <w:vAlign w:val="bottom"/>
          </w:tcPr>
          <w:p>
            <w:pPr>
              <w:jc w:val="right"/>
              <w:spacing w:after="0"/>
              <w:rPr>
                <w:sz w:val="20"/>
                <w:szCs w:val="20"/>
                <w:color w:val="auto"/>
              </w:rPr>
            </w:pPr>
            <w:r>
              <w:rPr>
                <w:rFonts w:ascii="Arial" w:cs="Arial" w:eastAsia="Arial" w:hAnsi="Arial"/>
                <w:sz w:val="14"/>
                <w:szCs w:val="14"/>
                <w:color w:val="auto"/>
              </w:rPr>
              <w:t>22,067</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22,067</w:t>
            </w: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900" w:type="dxa"/>
            <w:vAlign w:val="bottom"/>
          </w:tcPr>
          <w:p>
            <w:pPr>
              <w:jc w:val="right"/>
              <w:spacing w:after="0"/>
              <w:rPr>
                <w:sz w:val="20"/>
                <w:szCs w:val="20"/>
                <w:color w:val="auto"/>
              </w:rPr>
            </w:pPr>
            <w:r>
              <w:rPr>
                <w:rFonts w:ascii="Arial" w:cs="Arial" w:eastAsia="Arial" w:hAnsi="Arial"/>
                <w:sz w:val="14"/>
                <w:szCs w:val="14"/>
                <w:color w:val="auto"/>
              </w:rPr>
              <w:t>8,082</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8,082</w:t>
            </w: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8,082</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8,082</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95"/>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89"/>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7,652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13,500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18,152</w:t>
            </w: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454"/>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15,750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ectPr>
          <w:pgSz w:w="11900" w:h="16838" w:orient="portrait"/>
          <w:cols w:equalWidth="0" w:num="2">
            <w:col w:w="7940" w:space="220"/>
            <w:col w:w="3260"/>
          </w:cols>
          <w:pgMar w:left="240" w:top="888"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20" w:type="dxa"/>
            <w:vAlign w:val="bottom"/>
            <w:gridSpan w:val="2"/>
          </w:tcPr>
          <w:p>
            <w:pPr>
              <w:spacing w:after="0"/>
              <w:rPr>
                <w:sz w:val="20"/>
                <w:szCs w:val="20"/>
                <w:color w:val="auto"/>
              </w:rPr>
            </w:pPr>
            <w:r>
              <w:rPr>
                <w:rFonts w:ascii="Arial" w:cs="Arial" w:eastAsia="Arial" w:hAnsi="Arial"/>
                <w:sz w:val="14"/>
                <w:szCs w:val="14"/>
                <w:color w:val="auto"/>
              </w:rPr>
              <w:t>Xirgo Technologies, LLC</w:t>
            </w:r>
          </w:p>
        </w:tc>
        <w:tc>
          <w:tcPr>
            <w:tcW w:w="2400" w:type="dxa"/>
            <w:vAlign w:val="bottom"/>
          </w:tcPr>
          <w:p>
            <w:pPr>
              <w:ind w:left="420"/>
              <w:spacing w:after="0"/>
              <w:rPr>
                <w:sz w:val="20"/>
                <w:szCs w:val="20"/>
                <w:color w:val="auto"/>
              </w:rPr>
            </w:pPr>
            <w:r>
              <w:rPr>
                <w:rFonts w:ascii="Arial" w:cs="Arial" w:eastAsia="Arial" w:hAnsi="Arial"/>
                <w:sz w:val="14"/>
                <w:szCs w:val="14"/>
                <w:color w:val="auto"/>
              </w:rPr>
              <w:t>Information Technology</w:t>
            </w:r>
          </w:p>
        </w:tc>
        <w:tc>
          <w:tcPr>
            <w:tcW w:w="2340" w:type="dxa"/>
            <w:vAlign w:val="bottom"/>
          </w:tcPr>
          <w:p>
            <w:pPr>
              <w:ind w:left="200"/>
              <w:spacing w:after="0"/>
              <w:rPr>
                <w:sz w:val="20"/>
                <w:szCs w:val="20"/>
                <w:color w:val="auto"/>
              </w:rPr>
            </w:pPr>
            <w:r>
              <w:rPr>
                <w:rFonts w:ascii="Arial" w:cs="Arial" w:eastAsia="Arial" w:hAnsi="Arial"/>
                <w:sz w:val="14"/>
                <w:szCs w:val="14"/>
                <w:color w:val="auto"/>
              </w:rPr>
              <w:t>Membership Units (400,000 units)</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16,150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16,150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391,706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393,525</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157.1</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2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- 24.5%</w:t>
            </w:r>
          </w:p>
        </w:tc>
        <w:tc>
          <w:tcPr>
            <w:tcW w:w="24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40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Automobile Part Manufacturer</w:t>
            </w:r>
          </w:p>
        </w:tc>
        <w:tc>
          <w:tcPr>
            <w:tcW w:w="234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4"/>
              </w:rPr>
              <w:t>Subordinated Debt (14% Cash, Due</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Burgaflex Holdings, LLC</w:t>
            </w:r>
          </w:p>
        </w:tc>
        <w:tc>
          <w:tcPr>
            <w:tcW w:w="2400" w:type="dxa"/>
            <w:vAlign w:val="bottom"/>
            <w:shd w:val="clear" w:color="auto" w:fill="CCEEFF"/>
          </w:tcPr>
          <w:p>
            <w:pPr>
              <w:ind w:left="420"/>
              <w:spacing w:after="0" w:line="140" w:lineRule="exact"/>
              <w:rPr>
                <w:sz w:val="20"/>
                <w:szCs w:val="20"/>
                <w:color w:val="auto"/>
              </w:rPr>
            </w:pPr>
            <w:r>
              <w:rPr>
                <w:rFonts w:ascii="Arial" w:cs="Arial" w:eastAsia="Arial" w:hAnsi="Arial"/>
                <w:sz w:val="14"/>
                <w:szCs w:val="14"/>
                <w:color w:val="auto"/>
              </w:rPr>
              <w:t>Automobile Part Manufacturer</w:t>
            </w:r>
          </w:p>
        </w:tc>
        <w:tc>
          <w:tcPr>
            <w:tcW w:w="234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w w:val="94"/>
              </w:rPr>
              <w:t>Subordinated Debt (12% Cash, Due</w:t>
            </w: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34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 xml:space="preserve">8/9/19) </w:t>
            </w:r>
            <w:r>
              <w:rPr>
                <w:rFonts w:ascii="Arial" w:cs="Arial" w:eastAsia="Arial" w:hAnsi="Arial"/>
                <w:sz w:val="22"/>
                <w:szCs w:val="22"/>
                <w:color w:val="auto"/>
                <w:vertAlign w:val="superscript"/>
              </w:rPr>
              <w:t>(10)</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3"/>
                <w:szCs w:val="23"/>
                <w:b w:val="1"/>
                <w:bCs w:val="1"/>
                <w:color w:val="auto"/>
                <w:vertAlign w:val="superscript"/>
              </w:rPr>
              <w:t>(4) , (5)</w:t>
            </w: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Burgaflex Holdings,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Automobile Part Manufacturer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Common Stock (1,253,198 shares)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10,076</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w w:val="94"/>
              </w:rPr>
              <w:t>Subordinated Debt (13% Cash, Due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gridSpan w:val="2"/>
          </w:tcPr>
          <w:p>
            <w:pPr>
              <w:ind w:left="120"/>
              <w:spacing w:after="0" w:line="198" w:lineRule="exact"/>
              <w:rPr>
                <w:sz w:val="20"/>
                <w:szCs w:val="20"/>
                <w:color w:val="auto"/>
              </w:rPr>
            </w:pPr>
            <w:r>
              <w:rPr>
                <w:rFonts w:ascii="Arial" w:cs="Arial" w:eastAsia="Arial" w:hAnsi="Arial"/>
                <w:sz w:val="14"/>
                <w:szCs w:val="14"/>
                <w:color w:val="auto"/>
              </w:rPr>
              <w:t xml:space="preserve">9/28/17) </w:t>
            </w:r>
            <w:r>
              <w:rPr>
                <w:rFonts w:ascii="Arial" w:cs="Arial" w:eastAsia="Arial" w:hAnsi="Arial"/>
                <w:sz w:val="22"/>
                <w:szCs w:val="22"/>
                <w:color w:val="auto"/>
                <w:vertAlign w:val="superscript"/>
              </w:rPr>
              <w:t>(1)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8,231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Preferred Membership Units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(2.78% fully diluted, 9% Cash</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60" w:type="dxa"/>
            <w:vAlign w:val="bottom"/>
            <w:gridSpan w:val="3"/>
          </w:tcPr>
          <w:p>
            <w:pPr>
              <w:ind w:left="120"/>
              <w:spacing w:after="0" w:line="198" w:lineRule="exact"/>
              <w:rPr>
                <w:sz w:val="20"/>
                <w:szCs w:val="20"/>
                <w:color w:val="auto"/>
              </w:rPr>
            </w:pPr>
            <w:r>
              <w:rPr>
                <w:rFonts w:ascii="Arial" w:cs="Arial" w:eastAsia="Arial" w:hAnsi="Arial"/>
                <w:sz w:val="14"/>
                <w:szCs w:val="14"/>
                <w:color w:val="auto"/>
              </w:rPr>
              <w:t xml:space="preserve">Dividend) </w:t>
            </w:r>
            <w:r>
              <w:rPr>
                <w:rFonts w:ascii="Arial" w:cs="Arial" w:eastAsia="Arial" w:hAnsi="Arial"/>
                <w:sz w:val="22"/>
                <w:szCs w:val="22"/>
                <w:color w:val="auto"/>
                <w:vertAlign w:val="superscript"/>
              </w:rPr>
              <w:t>(6)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1,269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City Gear,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Footwear Retail</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 Warrants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(11.38% fully diluted)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9,736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19,236</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GA Communications, Inc.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w w:val="99"/>
              </w:rPr>
              <w:t>Advertising &amp; Marketing Services</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Series A-1 Preferred Stock (1,998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shares, 8% PIK dividend) </w:t>
            </w:r>
            <w:r>
              <w:rPr>
                <w:rFonts w:ascii="Arial" w:cs="Arial" w:eastAsia="Arial" w:hAnsi="Arial"/>
                <w:sz w:val="22"/>
                <w:szCs w:val="22"/>
                <w:color w:val="auto"/>
                <w:vertAlign w:val="superscript"/>
              </w:rPr>
              <w:t>(6)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 Communications, Inc.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Advertising &amp; Marketing Services</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Series B-1 Common Stock</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(200,000 shares)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3,910</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Subordinated Debt (13% Cash, Due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0" w:type="dxa"/>
            <w:vAlign w:val="bottom"/>
            <w:gridSpan w:val="2"/>
          </w:tcPr>
          <w:p>
            <w:pPr>
              <w:ind w:left="120"/>
              <w:spacing w:after="0"/>
              <w:rPr>
                <w:sz w:val="20"/>
                <w:szCs w:val="20"/>
                <w:color w:val="auto"/>
              </w:rPr>
            </w:pPr>
            <w:r>
              <w:rPr>
                <w:rFonts w:ascii="Arial" w:cs="Arial" w:eastAsia="Arial" w:hAnsi="Arial"/>
                <w:sz w:val="14"/>
                <w:szCs w:val="14"/>
                <w:color w:val="auto"/>
              </w:rPr>
              <w:t>7/16/18)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6,182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6,182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Common Stock (8,182 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J&amp;J Produce Holdings, Inc.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Produce Distribution</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Common Stock Warrants (6,369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6,182</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LJS Partners,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QSR Franchisor</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Common Stock (1,500,000 shares)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8,497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8,497</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MJC Holdings,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Specialty Clothing</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Series A Preferred Units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(2,000,000 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5,011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5,011</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First Lien Debt (12%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8"/>
              </w:rPr>
              <w:t>Subordinated Debt (6%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1/31/18) </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Medical Device Distributor</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rPr>
              <w:t>Preferred Units (1,000 units, 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PIK dividend) </w:t>
            </w:r>
            <w:r>
              <w:rPr>
                <w:rFonts w:ascii="Arial" w:cs="Arial" w:eastAsia="Arial" w:hAnsi="Arial"/>
                <w:sz w:val="22"/>
                <w:szCs w:val="22"/>
                <w:color w:val="auto"/>
                <w:vertAlign w:val="superscript"/>
              </w:rPr>
              <w:t>(6)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MMI Holdings,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Medical Device Distributor</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Membership Units (45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MTI Holdings,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w w:val="96"/>
              </w:rPr>
              <w:t>Retail Display &amp; Security Services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Membership Units (2,000,000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units) </w:t>
            </w:r>
            <w:r>
              <w:rPr>
                <w:rFonts w:ascii="Arial" w:cs="Arial" w:eastAsia="Arial" w:hAnsi="Arial"/>
                <w:sz w:val="23"/>
                <w:szCs w:val="23"/>
                <w:color w:val="auto"/>
                <w:vertAlign w:val="superscript"/>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537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537</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Penray,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Automotive Chemicals &amp;</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4"/>
              </w:rPr>
              <w:t>Subordinated Debt (13% Cash, Due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Lubricants</w:t>
            </w:r>
          </w:p>
        </w:tc>
        <w:tc>
          <w:tcPr>
            <w:tcW w:w="2200" w:type="dxa"/>
            <w:vAlign w:val="bottom"/>
            <w:gridSpan w:val="2"/>
          </w:tcPr>
          <w:p>
            <w:pPr>
              <w:ind w:left="120"/>
              <w:spacing w:after="0" w:line="208" w:lineRule="exact"/>
              <w:rPr>
                <w:sz w:val="20"/>
                <w:szCs w:val="20"/>
                <w:color w:val="auto"/>
              </w:rPr>
            </w:pPr>
            <w:r>
              <w:rPr>
                <w:rFonts w:ascii="Arial" w:cs="Arial" w:eastAsia="Arial" w:hAnsi="Arial"/>
                <w:sz w:val="14"/>
                <w:szCs w:val="14"/>
                <w:color w:val="auto"/>
              </w:rPr>
              <w:t xml:space="preserve">4/8/19) </w:t>
            </w:r>
            <w:r>
              <w:rPr>
                <w:rFonts w:ascii="Arial" w:cs="Arial" w:eastAsia="Arial" w:hAnsi="Arial"/>
                <w:sz w:val="23"/>
                <w:szCs w:val="23"/>
                <w:color w:val="auto"/>
                <w:vertAlign w:val="superscript"/>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Source Capital Penray,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Automotive Chemicals &amp;</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Membership Units (11.3%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Lubricants</w:t>
            </w: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ownership)</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805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2,230</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STX Healthcare Management Services,</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Dental Practice Management</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Common Stock (1,200,000 shares)</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w:t>
            </w:r>
          </w:p>
        </w:tc>
        <w:tc>
          <w:tcPr>
            <w:tcW w:w="206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V12 Holdings, Inc.</w:t>
            </w:r>
          </w:p>
        </w:tc>
        <w:tc>
          <w:tcPr>
            <w:tcW w:w="2060" w:type="dxa"/>
            <w:vAlign w:val="bottom"/>
          </w:tcPr>
          <w:p>
            <w:pPr>
              <w:spacing w:after="0"/>
              <w:rPr>
                <w:sz w:val="20"/>
                <w:szCs w:val="20"/>
                <w:color w:val="auto"/>
              </w:rPr>
            </w:pPr>
            <w:r>
              <w:rPr>
                <w:rFonts w:ascii="Arial" w:cs="Arial" w:eastAsia="Arial" w:hAnsi="Arial"/>
                <w:sz w:val="14"/>
                <w:szCs w:val="14"/>
                <w:color w:val="auto"/>
              </w:rPr>
              <w:t>Data Processing &amp; Digital</w:t>
            </w:r>
          </w:p>
        </w:tc>
        <w:tc>
          <w:tcPr>
            <w:tcW w:w="2260" w:type="dxa"/>
            <w:vAlign w:val="bottom"/>
            <w:gridSpan w:val="3"/>
          </w:tcPr>
          <w:p>
            <w:pPr>
              <w:ind w:left="120"/>
              <w:spacing w:after="0" w:line="162" w:lineRule="exact"/>
              <w:rPr>
                <w:sz w:val="20"/>
                <w:szCs w:val="20"/>
                <w:color w:val="auto"/>
              </w:rPr>
            </w:pPr>
            <w:r>
              <w:rPr>
                <w:rFonts w:ascii="Arial" w:cs="Arial" w:eastAsia="Arial" w:hAnsi="Arial"/>
                <w:sz w:val="12"/>
                <w:szCs w:val="12"/>
                <w:color w:val="auto"/>
              </w:rPr>
              <w:t xml:space="preserve">Subordinated Debt </w:t>
            </w:r>
            <w:r>
              <w:rPr>
                <w:rFonts w:ascii="Arial" w:cs="Arial" w:eastAsia="Arial" w:hAnsi="Arial"/>
                <w:sz w:val="18"/>
                <w:szCs w:val="18"/>
                <w:color w:val="auto"/>
                <w:vertAlign w:val="superscript"/>
              </w:rPr>
              <w:t>(12)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1,015</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 Total Affiliate investments</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61,464</w:t>
            </w:r>
          </w:p>
        </w:tc>
        <w:tc>
          <w:tcPr>
            <w:tcW w:w="10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24.5</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investments- 34.6%</w:t>
            </w: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Debt (12% Cash, 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PIK, Due 5/24/18)</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w:t>
            </w: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(19.7% fully</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diluted ownership)</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CableOrganizer Acquisition, LLC</w:t>
            </w: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Computer Supply Retail</w:t>
            </w:r>
          </w:p>
        </w:tc>
        <w:tc>
          <w:tcPr>
            <w:tcW w:w="22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Common Stock Warrants (10%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fully diluted ownership)</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13,276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12,183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Eastport Holdings, LLC</w:t>
            </w: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7"/>
              </w:rPr>
              <w:t>Subordinated Debt (13.9% Cash (3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month LIBOR + 13%, 0.5% Floor),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gridSpan w:val="3"/>
          </w:tcPr>
          <w:p>
            <w:pPr>
              <w:ind w:left="120"/>
              <w:spacing w:after="0"/>
              <w:rPr>
                <w:sz w:val="20"/>
                <w:szCs w:val="20"/>
                <w:color w:val="auto"/>
              </w:rPr>
            </w:pPr>
            <w:r>
              <w:rPr>
                <w:rFonts w:ascii="Arial" w:cs="Arial" w:eastAsia="Arial" w:hAnsi="Arial"/>
                <w:sz w:val="14"/>
                <w:szCs w:val="14"/>
                <w:color w:val="auto"/>
              </w:rPr>
              <w:t>Due 4/29/20)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16,500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13,982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tcPr>
          <w:p>
            <w:pPr>
              <w:spacing w:after="0" w:line="140" w:lineRule="exact"/>
              <w:rPr>
                <w:sz w:val="20"/>
                <w:szCs w:val="20"/>
                <w:color w:val="auto"/>
              </w:rPr>
            </w:pPr>
            <w:r>
              <w:rPr>
                <w:rFonts w:ascii="Arial" w:cs="Arial" w:eastAsia="Arial" w:hAnsi="Arial"/>
                <w:sz w:val="14"/>
                <w:szCs w:val="14"/>
                <w:color w:val="auto"/>
              </w:rPr>
              <w:t>Eastport Holdings, LLC</w:t>
            </w:r>
          </w:p>
        </w:tc>
        <w:tc>
          <w:tcPr>
            <w:tcW w:w="2060" w:type="dxa"/>
            <w:vAlign w:val="bottom"/>
          </w:tcPr>
          <w:p>
            <w:pPr>
              <w:spacing w:after="0" w:line="140" w:lineRule="exact"/>
              <w:rPr>
                <w:sz w:val="20"/>
                <w:szCs w:val="20"/>
                <w:color w:val="auto"/>
              </w:rPr>
            </w:pPr>
            <w:r>
              <w:rPr>
                <w:rFonts w:ascii="Arial" w:cs="Arial" w:eastAsia="Arial" w:hAnsi="Arial"/>
                <w:sz w:val="14"/>
                <w:szCs w:val="14"/>
                <w:color w:val="auto"/>
              </w:rPr>
              <w:t>Business Services</w:t>
            </w:r>
          </w:p>
        </w:tc>
        <w:tc>
          <w:tcPr>
            <w:tcW w:w="2260" w:type="dxa"/>
            <w:vAlign w:val="bottom"/>
            <w:gridSpan w:val="3"/>
          </w:tcPr>
          <w:p>
            <w:pPr>
              <w:ind w:left="120"/>
              <w:spacing w:after="0" w:line="140" w:lineRule="exact"/>
              <w:rPr>
                <w:sz w:val="20"/>
                <w:szCs w:val="20"/>
                <w:color w:val="auto"/>
              </w:rPr>
            </w:pPr>
            <w:r>
              <w:rPr>
                <w:rFonts w:ascii="Arial" w:cs="Arial" w:eastAsia="Arial" w:hAnsi="Arial"/>
                <w:sz w:val="14"/>
                <w:szCs w:val="14"/>
                <w:color w:val="auto"/>
              </w:rPr>
              <w:t>Membership Units (30.1% fully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60" w:type="dxa"/>
            <w:vAlign w:val="bottom"/>
            <w:gridSpan w:val="3"/>
          </w:tcPr>
          <w:p>
            <w:pPr>
              <w:ind w:left="120"/>
              <w:spacing w:after="0" w:line="211"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23"/>
                <w:szCs w:val="23"/>
                <w:color w:val="auto"/>
                <w:vertAlign w:val="superscript"/>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13,395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29,895</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Micro Precision, LLC</w:t>
            </w:r>
          </w:p>
        </w:tc>
        <w:tc>
          <w:tcPr>
            <w:tcW w:w="206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Conglomerate</w:t>
            </w:r>
          </w:p>
        </w:tc>
        <w:tc>
          <w:tcPr>
            <w:tcW w:w="2260" w:type="dxa"/>
            <w:vAlign w:val="bottom"/>
            <w:gridSpan w:val="3"/>
            <w:shd w:val="clear" w:color="auto" w:fill="CCEEFF"/>
          </w:tcPr>
          <w:p>
            <w:pPr>
              <w:ind w:left="120"/>
              <w:spacing w:after="0" w:line="140" w:lineRule="exact"/>
              <w:rPr>
                <w:sz w:val="20"/>
                <w:szCs w:val="20"/>
                <w:color w:val="auto"/>
              </w:rPr>
            </w:pPr>
            <w:r>
              <w:rPr>
                <w:rFonts w:ascii="Arial" w:cs="Arial" w:eastAsia="Arial" w:hAnsi="Arial"/>
                <w:sz w:val="14"/>
                <w:szCs w:val="14"/>
                <w:color w:val="auto"/>
                <w:w w:val="94"/>
              </w:rPr>
              <w:t>Subordinated Debt (10% Cash, Due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4"/>
                <w:szCs w:val="14"/>
                <w:color w:val="auto"/>
              </w:rPr>
              <w:t xml:space="preserve">9/15/18) </w:t>
            </w:r>
            <w:r>
              <w:rPr>
                <w:rFonts w:ascii="Arial" w:cs="Arial" w:eastAsia="Arial" w:hAnsi="Arial"/>
                <w:sz w:val="22"/>
                <w:szCs w:val="22"/>
                <w:color w:val="auto"/>
                <w:vertAlign w:val="superscript"/>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Micro Precision, LLC</w:t>
            </w: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Conglomerate</w:t>
            </w: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7"/>
              </w:rPr>
              <w:t>Subordinated Debt (14% Cash, 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ectPr>
          <w:pgSz w:w="11900" w:h="16900" w:orient="portrait"/>
          <w:cols w:equalWidth="0" w:num="1">
            <w:col w:w="11420"/>
          </w:cols>
          <w:pgMar w:left="240" w:top="888"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2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 xml:space="preserve">PIK, Due 9/15/18) </w:t>
            </w:r>
            <w:r>
              <w:rPr>
                <w:rFonts w:ascii="Arial" w:cs="Arial" w:eastAsia="Arial" w:hAnsi="Arial"/>
                <w:sz w:val="23"/>
                <w:szCs w:val="23"/>
                <w:color w:val="auto"/>
                <w:vertAlign w:val="superscript"/>
              </w:rPr>
              <w:t>(1)</w:t>
            </w:r>
          </w:p>
        </w:tc>
      </w:tr>
      <w:tr>
        <w:trPr>
          <w:trHeight w:val="197"/>
        </w:trPr>
        <w:tc>
          <w:tcPr>
            <w:tcW w:w="2100" w:type="dxa"/>
            <w:vAlign w:val="bottom"/>
          </w:tcPr>
          <w:p>
            <w:pPr>
              <w:spacing w:after="0"/>
              <w:rPr>
                <w:sz w:val="20"/>
                <w:szCs w:val="20"/>
                <w:color w:val="auto"/>
              </w:rPr>
            </w:pPr>
            <w:r>
              <w:rPr>
                <w:rFonts w:ascii="Arial" w:cs="Arial" w:eastAsia="Arial" w:hAnsi="Arial"/>
                <w:sz w:val="14"/>
                <w:szCs w:val="14"/>
                <w:color w:val="auto"/>
              </w:rPr>
              <w:t>Micro Precision, LLC</w:t>
            </w:r>
          </w:p>
        </w:tc>
        <w:tc>
          <w:tcPr>
            <w:tcW w:w="2580" w:type="dxa"/>
            <w:vAlign w:val="bottom"/>
          </w:tcPr>
          <w:p>
            <w:pPr>
              <w:ind w:left="540"/>
              <w:spacing w:after="0"/>
              <w:rPr>
                <w:sz w:val="20"/>
                <w:szCs w:val="20"/>
                <w:color w:val="auto"/>
              </w:rPr>
            </w:pPr>
            <w:r>
              <w:rPr>
                <w:rFonts w:ascii="Arial" w:cs="Arial" w:eastAsia="Arial" w:hAnsi="Arial"/>
                <w:sz w:val="14"/>
                <w:szCs w:val="14"/>
                <w:color w:val="auto"/>
              </w:rPr>
              <w:t>Conglomerate</w:t>
            </w:r>
          </w:p>
        </w:tc>
        <w:tc>
          <w:tcPr>
            <w:tcW w:w="2160" w:type="dxa"/>
            <w:vAlign w:val="bottom"/>
          </w:tcPr>
          <w:p>
            <w:pPr>
              <w:ind w:left="140"/>
              <w:spacing w:after="0"/>
              <w:rPr>
                <w:sz w:val="20"/>
                <w:szCs w:val="20"/>
                <w:color w:val="auto"/>
              </w:rPr>
            </w:pPr>
            <w:r>
              <w:rPr>
                <w:rFonts w:ascii="Arial" w:cs="Arial" w:eastAsia="Arial" w:hAnsi="Arial"/>
                <w:sz w:val="14"/>
                <w:szCs w:val="14"/>
                <w:color w:val="auto"/>
                <w:w w:val="93"/>
              </w:rPr>
              <w:t>Series A Preferred Units (47 units)</w:t>
            </w:r>
          </w:p>
        </w:tc>
      </w:tr>
      <w:tr>
        <w:trPr>
          <w:trHeight w:val="462"/>
        </w:trPr>
        <w:tc>
          <w:tcPr>
            <w:tcW w:w="2100" w:type="dxa"/>
            <w:vAlign w:val="bottom"/>
          </w:tcPr>
          <w:p>
            <w:pPr>
              <w:spacing w:after="0"/>
              <w:rPr>
                <w:sz w:val="20"/>
                <w:szCs w:val="20"/>
                <w:color w:val="auto"/>
              </w:rPr>
            </w:pPr>
            <w:r>
              <w:rPr>
                <w:rFonts w:ascii="Arial" w:cs="Arial" w:eastAsia="Arial" w:hAnsi="Arial"/>
                <w:sz w:val="14"/>
                <w:szCs w:val="14"/>
                <w:color w:val="auto"/>
              </w:rPr>
              <w:t>Navis Holdings, Inc.</w:t>
            </w:r>
          </w:p>
        </w:tc>
        <w:tc>
          <w:tcPr>
            <w:tcW w:w="2580" w:type="dxa"/>
            <w:vAlign w:val="bottom"/>
          </w:tcPr>
          <w:p>
            <w:pPr>
              <w:ind w:left="540"/>
              <w:spacing w:after="0"/>
              <w:rPr>
                <w:sz w:val="20"/>
                <w:szCs w:val="20"/>
                <w:color w:val="auto"/>
              </w:rPr>
            </w:pPr>
            <w:r>
              <w:rPr>
                <w:rFonts w:ascii="Arial" w:cs="Arial" w:eastAsia="Arial" w:hAnsi="Arial"/>
                <w:sz w:val="14"/>
                <w:szCs w:val="14"/>
                <w:color w:val="auto"/>
              </w:rPr>
              <w:t>Textile Equipment Manufacturer</w:t>
            </w:r>
          </w:p>
        </w:tc>
        <w:tc>
          <w:tcPr>
            <w:tcW w:w="2160" w:type="dxa"/>
            <w:vAlign w:val="bottom"/>
          </w:tcPr>
          <w:p>
            <w:pPr>
              <w:ind w:left="140"/>
              <w:spacing w:after="0"/>
              <w:rPr>
                <w:sz w:val="20"/>
                <w:szCs w:val="20"/>
                <w:color w:val="auto"/>
              </w:rPr>
            </w:pPr>
            <w:r>
              <w:rPr>
                <w:rFonts w:ascii="Arial" w:cs="Arial" w:eastAsia="Arial" w:hAnsi="Arial"/>
                <w:sz w:val="14"/>
                <w:szCs w:val="14"/>
                <w:color w:val="auto"/>
              </w:rPr>
              <w:t>First Lien Debt (15% Cash, Due</w:t>
            </w:r>
          </w:p>
        </w:tc>
      </w:tr>
      <w:tr>
        <w:trPr>
          <w:trHeight w:val="313"/>
        </w:trPr>
        <w:tc>
          <w:tcPr>
            <w:tcW w:w="2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 xml:space="preserve">10/30/20) </w:t>
            </w:r>
            <w:r>
              <w:rPr>
                <w:rFonts w:ascii="Arial" w:cs="Arial" w:eastAsia="Arial" w:hAnsi="Arial"/>
                <w:sz w:val="23"/>
                <w:szCs w:val="23"/>
                <w:color w:val="auto"/>
                <w:vertAlign w:val="superscript"/>
              </w:rPr>
              <w:t>(1)</w:t>
            </w:r>
          </w:p>
        </w:tc>
      </w:tr>
      <w:tr>
        <w:trPr>
          <w:trHeight w:val="163"/>
        </w:trPr>
        <w:tc>
          <w:tcPr>
            <w:tcW w:w="2100" w:type="dxa"/>
            <w:vAlign w:val="bottom"/>
          </w:tcPr>
          <w:p>
            <w:pPr>
              <w:spacing w:after="0"/>
              <w:rPr>
                <w:sz w:val="20"/>
                <w:szCs w:val="20"/>
                <w:color w:val="auto"/>
              </w:rPr>
            </w:pPr>
            <w:r>
              <w:rPr>
                <w:rFonts w:ascii="Arial" w:cs="Arial" w:eastAsia="Arial" w:hAnsi="Arial"/>
                <w:sz w:val="14"/>
                <w:szCs w:val="14"/>
                <w:color w:val="auto"/>
              </w:rPr>
              <w:t>Navis Holdings, Inc.</w:t>
            </w:r>
          </w:p>
        </w:tc>
        <w:tc>
          <w:tcPr>
            <w:tcW w:w="2580" w:type="dxa"/>
            <w:vAlign w:val="bottom"/>
          </w:tcPr>
          <w:p>
            <w:pPr>
              <w:ind w:left="540"/>
              <w:spacing w:after="0"/>
              <w:rPr>
                <w:sz w:val="20"/>
                <w:szCs w:val="20"/>
                <w:color w:val="auto"/>
              </w:rPr>
            </w:pPr>
            <w:r>
              <w:rPr>
                <w:rFonts w:ascii="Arial" w:cs="Arial" w:eastAsia="Arial" w:hAnsi="Arial"/>
                <w:sz w:val="14"/>
                <w:szCs w:val="14"/>
                <w:color w:val="auto"/>
              </w:rPr>
              <w:t>Textile Equipment Manufacturer</w:t>
            </w:r>
          </w:p>
        </w:tc>
        <w:tc>
          <w:tcPr>
            <w:tcW w:w="2160" w:type="dxa"/>
            <w:vAlign w:val="bottom"/>
          </w:tcPr>
          <w:p>
            <w:pPr>
              <w:ind w:left="140"/>
              <w:spacing w:after="0"/>
              <w:rPr>
                <w:sz w:val="20"/>
                <w:szCs w:val="20"/>
                <w:color w:val="auto"/>
              </w:rPr>
            </w:pPr>
            <w:r>
              <w:rPr>
                <w:rFonts w:ascii="Arial" w:cs="Arial" w:eastAsia="Arial" w:hAnsi="Arial"/>
                <w:sz w:val="14"/>
                <w:szCs w:val="14"/>
                <w:color w:val="auto"/>
              </w:rPr>
              <w:t>Class A Preferred Stock (1,000</w:t>
            </w:r>
          </w:p>
        </w:tc>
      </w:tr>
      <w:tr>
        <w:trPr>
          <w:trHeight w:val="182"/>
        </w:trPr>
        <w:tc>
          <w:tcPr>
            <w:tcW w:w="2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shares, 10% Cash Dividend)</w:t>
            </w:r>
          </w:p>
        </w:tc>
      </w:tr>
      <w:tr>
        <w:trPr>
          <w:trHeight w:val="297"/>
        </w:trPr>
        <w:tc>
          <w:tcPr>
            <w:tcW w:w="2100" w:type="dxa"/>
            <w:vAlign w:val="bottom"/>
          </w:tcPr>
          <w:p>
            <w:pPr>
              <w:spacing w:after="0"/>
              <w:rPr>
                <w:sz w:val="20"/>
                <w:szCs w:val="20"/>
                <w:color w:val="auto"/>
              </w:rPr>
            </w:pPr>
            <w:r>
              <w:rPr>
                <w:rFonts w:ascii="Arial" w:cs="Arial" w:eastAsia="Arial" w:hAnsi="Arial"/>
                <w:sz w:val="14"/>
                <w:szCs w:val="14"/>
                <w:color w:val="auto"/>
              </w:rPr>
              <w:t>Navis Holdings, Inc.</w:t>
            </w:r>
          </w:p>
        </w:tc>
        <w:tc>
          <w:tcPr>
            <w:tcW w:w="2580" w:type="dxa"/>
            <w:vAlign w:val="bottom"/>
          </w:tcPr>
          <w:p>
            <w:pPr>
              <w:ind w:left="540"/>
              <w:spacing w:after="0"/>
              <w:rPr>
                <w:sz w:val="20"/>
                <w:szCs w:val="20"/>
                <w:color w:val="auto"/>
              </w:rPr>
            </w:pPr>
            <w:r>
              <w:rPr>
                <w:rFonts w:ascii="Arial" w:cs="Arial" w:eastAsia="Arial" w:hAnsi="Arial"/>
                <w:sz w:val="14"/>
                <w:szCs w:val="14"/>
                <w:color w:val="auto"/>
              </w:rPr>
              <w:t>Textile Equipment Manufacturer</w:t>
            </w:r>
          </w:p>
        </w:tc>
        <w:tc>
          <w:tcPr>
            <w:tcW w:w="2160" w:type="dxa"/>
            <w:vAlign w:val="bottom"/>
          </w:tcPr>
          <w:p>
            <w:pPr>
              <w:ind w:left="140"/>
              <w:spacing w:after="0"/>
              <w:rPr>
                <w:sz w:val="20"/>
                <w:szCs w:val="20"/>
                <w:color w:val="auto"/>
              </w:rPr>
            </w:pPr>
            <w:r>
              <w:rPr>
                <w:rFonts w:ascii="Arial" w:cs="Arial" w:eastAsia="Arial" w:hAnsi="Arial"/>
                <w:sz w:val="14"/>
                <w:szCs w:val="14"/>
                <w:color w:val="auto"/>
                <w:w w:val="97"/>
              </w:rPr>
              <w:t>Common Stock (300,000 shares)</w:t>
            </w:r>
          </w:p>
        </w:tc>
      </w:tr>
      <w:tr>
        <w:trPr>
          <w:trHeight w:val="462"/>
        </w:trPr>
        <w:tc>
          <w:tcPr>
            <w:tcW w:w="2100" w:type="dxa"/>
            <w:vAlign w:val="bottom"/>
          </w:tcPr>
          <w:p>
            <w:pPr>
              <w:spacing w:after="0"/>
              <w:rPr>
                <w:sz w:val="20"/>
                <w:szCs w:val="20"/>
                <w:color w:val="auto"/>
              </w:rPr>
            </w:pPr>
            <w:r>
              <w:rPr>
                <w:rFonts w:ascii="Arial" w:cs="Arial" w:eastAsia="Arial" w:hAnsi="Arial"/>
                <w:sz w:val="14"/>
                <w:szCs w:val="14"/>
                <w:color w:val="auto"/>
              </w:rPr>
              <w:t>On-Site Fuel Services, Inc.</w:t>
            </w:r>
          </w:p>
        </w:tc>
        <w:tc>
          <w:tcPr>
            <w:tcW w:w="2580" w:type="dxa"/>
            <w:vAlign w:val="bottom"/>
          </w:tcPr>
          <w:p>
            <w:pPr>
              <w:ind w:left="540"/>
              <w:spacing w:after="0"/>
              <w:rPr>
                <w:sz w:val="20"/>
                <w:szCs w:val="20"/>
                <w:color w:val="auto"/>
              </w:rPr>
            </w:pPr>
            <w:r>
              <w:rPr>
                <w:rFonts w:ascii="Arial" w:cs="Arial" w:eastAsia="Arial" w:hAnsi="Arial"/>
                <w:sz w:val="14"/>
                <w:szCs w:val="14"/>
                <w:color w:val="auto"/>
              </w:rPr>
              <w:t>Fuel Transportation Services</w:t>
            </w:r>
          </w:p>
        </w:tc>
        <w:tc>
          <w:tcPr>
            <w:tcW w:w="2160" w:type="dxa"/>
            <w:vAlign w:val="bottom"/>
          </w:tcPr>
          <w:p>
            <w:pPr>
              <w:ind w:left="140"/>
              <w:spacing w:after="0"/>
              <w:rPr>
                <w:sz w:val="20"/>
                <w:szCs w:val="20"/>
                <w:color w:val="auto"/>
              </w:rPr>
            </w:pPr>
            <w:r>
              <w:rPr>
                <w:rFonts w:ascii="Arial" w:cs="Arial" w:eastAsia="Arial" w:hAnsi="Arial"/>
                <w:sz w:val="14"/>
                <w:szCs w:val="14"/>
                <w:color w:val="auto"/>
                <w:w w:val="91"/>
              </w:rPr>
              <w:t>Subordinated Debt (14% Cash, 4%</w:t>
            </w:r>
          </w:p>
        </w:tc>
      </w:tr>
      <w:tr>
        <w:trPr>
          <w:trHeight w:val="313"/>
        </w:trPr>
        <w:tc>
          <w:tcPr>
            <w:tcW w:w="2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 xml:space="preserve">PIK, Due 12/19/17) </w:t>
            </w:r>
            <w:r>
              <w:rPr>
                <w:rFonts w:ascii="Arial" w:cs="Arial" w:eastAsia="Arial" w:hAnsi="Arial"/>
                <w:sz w:val="23"/>
                <w:szCs w:val="23"/>
                <w:color w:val="auto"/>
                <w:vertAlign w:val="superscript"/>
              </w:rPr>
              <w:t>(1)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-1710690</wp:posOffset>
            </wp:positionV>
            <wp:extent cx="72466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-1496060</wp:posOffset>
            </wp:positionV>
            <wp:extent cx="724662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-1290320</wp:posOffset>
            </wp:positionV>
            <wp:extent cx="724662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-972820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1,629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149"/>
        </w:trPr>
        <w:tc>
          <w:tcPr>
            <w:tcW w:w="6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7,480</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8,374</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495"/>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6,500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w:t>
            </w:r>
          </w:p>
        </w:tc>
      </w:tr>
      <w:tr>
        <w:trPr>
          <w:trHeight w:val="446"/>
        </w:trPr>
        <w:tc>
          <w:tcPr>
            <w:tcW w:w="6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89"/>
        </w:trPr>
        <w:tc>
          <w:tcPr>
            <w:tcW w:w="6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5,634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149"/>
        </w:trPr>
        <w:tc>
          <w:tcPr>
            <w:tcW w:w="6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7,501</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13,134</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r>
      <w:tr>
        <w:trPr>
          <w:trHeight w:val="495"/>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10,303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9,837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10,303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w:t>
            </w:r>
          </w:p>
        </w:tc>
      </w:tr>
    </w:tbl>
    <w:p>
      <w:pPr>
        <w:sectPr>
          <w:pgSz w:w="11900" w:h="16838" w:orient="portrait"/>
          <w:cols w:equalWidth="0" w:num="2">
            <w:col w:w="6840" w:space="700"/>
            <w:col w:w="3880"/>
          </w:cols>
          <w:pgMar w:left="240" w:top="131"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00" w:type="dxa"/>
            <w:vAlign w:val="bottom"/>
            <w:vMerge w:val="restart"/>
          </w:tcPr>
          <w:p>
            <w:pPr>
              <w:ind w:left="740"/>
              <w:spacing w:after="0"/>
              <w:rPr>
                <w:sz w:val="20"/>
                <w:szCs w:val="20"/>
                <w:color w:val="auto"/>
              </w:rPr>
            </w:pPr>
            <w:r>
              <w:rPr>
                <w:rFonts w:ascii="Arial" w:cs="Arial" w:eastAsia="Arial" w:hAnsi="Arial"/>
                <w:sz w:val="28"/>
                <w:szCs w:val="28"/>
                <w:b w:val="1"/>
                <w:bCs w:val="1"/>
                <w:color w:val="auto"/>
                <w:vertAlign w:val="subscript"/>
              </w:rPr>
              <w:t>Company</w:t>
            </w:r>
            <w:r>
              <w:rPr>
                <w:rFonts w:ascii="Arial" w:cs="Arial" w:eastAsia="Arial" w:hAnsi="Arial"/>
                <w:sz w:val="12"/>
                <w:szCs w:val="12"/>
                <w:b w:val="1"/>
                <w:bCs w:val="1"/>
                <w:color w:val="auto"/>
              </w:rPr>
              <w:t xml:space="preserve"> (4) , (5)</w:t>
            </w:r>
          </w:p>
        </w:tc>
        <w:tc>
          <w:tcPr>
            <w:tcW w:w="100" w:type="dxa"/>
            <w:vAlign w:val="bottom"/>
          </w:tcPr>
          <w:p>
            <w:pPr>
              <w:spacing w:after="0"/>
              <w:rPr>
                <w:sz w:val="16"/>
                <w:szCs w:val="16"/>
                <w:color w:val="auto"/>
              </w:rPr>
            </w:pPr>
          </w:p>
        </w:tc>
        <w:tc>
          <w:tcPr>
            <w:tcW w:w="20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6"/>
                <w:szCs w:val="16"/>
                <w:color w:val="auto"/>
              </w:rPr>
            </w:pPr>
          </w:p>
        </w:tc>
        <w:tc>
          <w:tcPr>
            <w:tcW w:w="21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Type of Investment</w:t>
            </w:r>
          </w:p>
        </w:tc>
        <w:tc>
          <w:tcPr>
            <w:tcW w:w="1320" w:type="dxa"/>
            <w:vAlign w:val="bottom"/>
            <w:gridSpan w:val="3"/>
          </w:tcPr>
          <w:p>
            <w:pPr>
              <w:jc w:val="right"/>
              <w:ind w:right="549"/>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jc w:val="right"/>
              <w:ind w:right="49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320" w:type="dxa"/>
            <w:vAlign w:val="bottom"/>
            <w:gridSpan w:val="3"/>
          </w:tcPr>
          <w:p>
            <w:pPr>
              <w:jc w:val="right"/>
              <w:ind w:right="549"/>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A Preferred Stock (32,782</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Series B Preferred Stock (23,648</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On-Site Fuel Services, Inc.</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Fuel Transportation Services</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Common Stock (33,107 shares)</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15,513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10,303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Printing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Debt (10% Cash, 2%</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PIK, Due 2/24/19)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17,316</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17,316</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12,761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Printing Services</w:t>
            </w:r>
          </w:p>
        </w:tc>
        <w:tc>
          <w:tcPr>
            <w:tcW w:w="22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(18,543 shares)</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Print Direction, Inc.</w:t>
            </w:r>
          </w:p>
        </w:tc>
        <w:tc>
          <w:tcPr>
            <w:tcW w:w="21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Printing Services</w:t>
            </w:r>
          </w:p>
        </w:tc>
        <w:tc>
          <w:tcPr>
            <w:tcW w:w="22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Common Stock Warrants (820</w:t>
            </w: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shares)</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20,306</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12,761</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4"/>
                <w:szCs w:val="14"/>
                <w:b w:val="1"/>
                <w:bCs w:val="1"/>
                <w:color w:val="auto"/>
              </w:rPr>
              <w:t>Sub Total Control investments</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82,791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86,650</w:t>
            </w:r>
          </w:p>
        </w:tc>
        <w:tc>
          <w:tcPr>
            <w:tcW w:w="1100" w:type="dxa"/>
            <w:vAlign w:val="bottom"/>
            <w:gridSpan w:val="3"/>
          </w:tcPr>
          <w:p>
            <w:pPr>
              <w:jc w:val="right"/>
              <w:ind w:right="80"/>
              <w:spacing w:after="0" w:line="176" w:lineRule="exact"/>
              <w:rPr>
                <w:sz w:val="20"/>
                <w:szCs w:val="20"/>
                <w:color w:val="auto"/>
              </w:rPr>
            </w:pPr>
            <w:r>
              <w:rPr>
                <w:rFonts w:ascii="Arial" w:cs="Arial" w:eastAsia="Arial" w:hAnsi="Arial"/>
                <w:sz w:val="12"/>
                <w:szCs w:val="12"/>
                <w:color w:val="auto"/>
              </w:rPr>
              <w:t>34.6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4"/>
                <w:szCs w:val="14"/>
                <w:b w:val="1"/>
                <w:bCs w:val="1"/>
                <w:color w:val="auto"/>
              </w:rPr>
              <w:t>TOTAL INVESTMENTS - 216.2%</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513,776</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541,639</w:t>
            </w:r>
          </w:p>
        </w:tc>
        <w:tc>
          <w:tcPr>
            <w:tcW w:w="1100" w:type="dxa"/>
            <w:vAlign w:val="bottom"/>
            <w:gridSpan w:val="3"/>
          </w:tcPr>
          <w:p>
            <w:pPr>
              <w:jc w:val="right"/>
              <w:ind w:right="60"/>
              <w:spacing w:after="0" w:line="176" w:lineRule="exact"/>
              <w:rPr>
                <w:sz w:val="20"/>
                <w:szCs w:val="20"/>
                <w:color w:val="auto"/>
              </w:rPr>
            </w:pPr>
            <w:r>
              <w:rPr>
                <w:rFonts w:ascii="Arial" w:cs="Arial" w:eastAsia="Arial" w:hAnsi="Arial"/>
                <w:sz w:val="12"/>
                <w:szCs w:val="12"/>
                <w:b w:val="1"/>
                <w:bCs w:val="1"/>
                <w:color w:val="auto"/>
              </w:rPr>
              <w:t>216.2</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Derivatives - (1.1)%</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4"/>
                <w:szCs w:val="14"/>
                <w:color w:val="auto"/>
              </w:rPr>
              <w:t>Eastport Holdings, LLC</w:t>
            </w:r>
          </w:p>
        </w:tc>
        <w:tc>
          <w:tcPr>
            <w:tcW w:w="2160" w:type="dxa"/>
            <w:vAlign w:val="bottom"/>
            <w:gridSpan w:val="2"/>
          </w:tcPr>
          <w:p>
            <w:pPr>
              <w:ind w:left="100"/>
              <w:spacing w:after="0"/>
              <w:rPr>
                <w:sz w:val="20"/>
                <w:szCs w:val="20"/>
                <w:color w:val="auto"/>
              </w:rPr>
            </w:pPr>
            <w:r>
              <w:rPr>
                <w:rFonts w:ascii="Arial" w:cs="Arial" w:eastAsia="Arial" w:hAnsi="Arial"/>
                <w:sz w:val="14"/>
                <w:szCs w:val="14"/>
                <w:color w:val="auto"/>
              </w:rPr>
              <w:t>Business Services</w:t>
            </w:r>
          </w:p>
        </w:tc>
        <w:tc>
          <w:tcPr>
            <w:tcW w:w="2260" w:type="dxa"/>
            <w:vAlign w:val="bottom"/>
            <w:gridSpan w:val="3"/>
          </w:tcPr>
          <w:p>
            <w:pPr>
              <w:ind w:left="100"/>
              <w:spacing w:after="0" w:line="202" w:lineRule="exact"/>
              <w:rPr>
                <w:sz w:val="20"/>
                <w:szCs w:val="20"/>
                <w:color w:val="auto"/>
              </w:rPr>
            </w:pPr>
            <w:r>
              <w:rPr>
                <w:rFonts w:ascii="Arial" w:cs="Arial" w:eastAsia="Arial" w:hAnsi="Arial"/>
                <w:sz w:val="14"/>
                <w:szCs w:val="14"/>
                <w:color w:val="auto"/>
              </w:rPr>
              <w:t xml:space="preserve">Written Call Option </w:t>
            </w:r>
            <w:r>
              <w:rPr>
                <w:rFonts w:ascii="Arial" w:cs="Arial" w:eastAsia="Arial" w:hAnsi="Arial"/>
                <w:sz w:val="23"/>
                <w:szCs w:val="23"/>
                <w:color w:val="auto"/>
                <w:vertAlign w:val="superscript"/>
              </w:rPr>
              <w:t>(11)</w:t>
            </w:r>
          </w:p>
        </w:tc>
        <w:tc>
          <w:tcPr>
            <w:tcW w:w="1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39"/>
              <w:spacing w:after="0"/>
              <w:rPr>
                <w:sz w:val="20"/>
                <w:szCs w:val="20"/>
                <w:color w:val="auto"/>
              </w:rPr>
            </w:pPr>
            <w:r>
              <w:rPr>
                <w:rFonts w:ascii="Arial" w:cs="Arial" w:eastAsia="Arial" w:hAnsi="Arial"/>
                <w:sz w:val="14"/>
                <w:szCs w:val="14"/>
                <w:color w:val="auto"/>
              </w:rPr>
              <w:t>(20)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39"/>
              <w:spacing w:after="0"/>
              <w:rPr>
                <w:sz w:val="20"/>
                <w:szCs w:val="20"/>
                <w:color w:val="auto"/>
              </w:rPr>
            </w:pPr>
            <w:r>
              <w:rPr>
                <w:rFonts w:ascii="Arial" w:cs="Arial" w:eastAsia="Arial" w:hAnsi="Arial"/>
                <w:sz w:val="14"/>
                <w:szCs w:val="14"/>
                <w:color w:val="auto"/>
              </w:rPr>
              <w:t>(2,736)</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(2,736</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line="155" w:lineRule="exact"/>
              <w:rPr>
                <w:sz w:val="20"/>
                <w:szCs w:val="20"/>
                <w:color w:val="auto"/>
              </w:rPr>
            </w:pPr>
            <w:r>
              <w:rPr>
                <w:rFonts w:ascii="Arial" w:cs="Arial" w:eastAsia="Arial" w:hAnsi="Arial"/>
                <w:sz w:val="14"/>
                <w:szCs w:val="14"/>
                <w:b w:val="1"/>
                <w:bCs w:val="1"/>
                <w:color w:val="auto"/>
              </w:rPr>
              <w:t>TOTAL DERIVATIVES- (1.1)%</w:t>
            </w: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(2,736</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noted. Equity and warrant investments are non-income producing, unless otherwise noted.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Percentages are based on net assets of $250,582 as of December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9" w:lineRule="exact"/>
        <w:rPr>
          <w:rFonts w:ascii="Arial" w:cs="Arial" w:eastAsia="Arial" w:hAnsi="Arial"/>
          <w:sz w:val="18"/>
          <w:szCs w:val="18"/>
          <w:color w:val="auto"/>
        </w:rPr>
      </w:pPr>
    </w:p>
    <w:p>
      <w:pPr>
        <w:jc w:val="both"/>
        <w:ind w:right="60"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2016, 4.5% of the Company's total assets were non-qualifying assets.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 was amended to zero. The Company is entitled to receive earn-out payments of up to $2.4 million in satisfaction of the debt.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the stated rate, the investment is paying 3% default interest.</w:t>
      </w:r>
    </w:p>
    <w:p>
      <w:pPr>
        <w:spacing w:after="0" w:line="9" w:lineRule="exact"/>
        <w:rPr>
          <w:rFonts w:ascii="Arial" w:cs="Arial" w:eastAsia="Arial" w:hAnsi="Arial"/>
          <w:sz w:val="18"/>
          <w:szCs w:val="18"/>
          <w:color w:val="auto"/>
        </w:rPr>
      </w:pPr>
    </w:p>
    <w:p>
      <w:pPr>
        <w:ind w:right="300" w:firstLine="8"/>
        <w:spacing w:after="0" w:line="250" w:lineRule="auto"/>
        <w:tabs>
          <w:tab w:leader="none" w:pos="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written a call option that enables CapitalSouth Partners Florida Sidecar Fund II, L.P. to purchase up to 31.25% of the Company's interest at a strike price of $1.5 million. As of December 31, 2016, the fair value of the written call option is approximately $2.7 million. See Note 4 to the consolidated financial statements for further detail on the written call option transaction.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has been exited. The residual value reflects estimated escrow to be settled post-closing.</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portfolio company is currently being charged default interest rate of prime plus 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6"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and Capitala Advisors Corp. (the “Administrator”) provides the administrative services necessary for the Company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subordinated loans, and, to a lesser extent, equity securities issued by lower middle-market companies and traditional middle-market companies.</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Company is considered an investment company as defined in Accounting Standards Codification (“ASC”) Topic 946 – </w:t>
      </w:r>
      <w:r>
        <w:rPr>
          <w:rFonts w:ascii="Arial" w:cs="Arial" w:eastAsia="Arial" w:hAnsi="Arial"/>
          <w:sz w:val="17"/>
          <w:szCs w:val="17"/>
          <w:i w:val="1"/>
          <w:iCs w:val="1"/>
          <w:color w:val="auto"/>
        </w:rPr>
        <w:t>Financial Services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Companies </w:t>
      </w:r>
      <w:r>
        <w:rPr>
          <w:rFonts w:ascii="Arial" w:cs="Arial" w:eastAsia="Arial" w:hAnsi="Arial"/>
          <w:sz w:val="17"/>
          <w:szCs w:val="17"/>
          <w:color w:val="auto"/>
        </w:rPr>
        <w:t>(“ASC 946”). The accompanying unaudited consolidated financial statements have been prepared on the accrual basis of accounting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ind w:right="280" w:firstLine="648"/>
        <w:spacing w:after="0" w:line="257" w:lineRule="auto"/>
        <w:rPr>
          <w:sz w:val="20"/>
          <w:szCs w:val="20"/>
          <w:color w:val="auto"/>
        </w:rPr>
      </w:pPr>
      <w:r>
        <w:rPr>
          <w:rFonts w:ascii="Arial" w:cs="Arial" w:eastAsia="Arial" w:hAnsi="Arial"/>
          <w:sz w:val="18"/>
          <w:szCs w:val="18"/>
          <w:color w:val="auto"/>
        </w:rPr>
        <w:t>The Company’s financial statements as of September 30, 2017 are presented on a consolidated basis. The effects of all intercompany transactions between the Company and its subsidiaries (Fund II, Fund III, Florida Sidecar,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2016, filed with the U.S. Securities and Exchange Commission (“SEC”) on March 7,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a description of the Company’s investment in CSLLF.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In accordance with ASC 820, the Company has categorized its financial instruments carried at fair value, based on the priority of the valuation technique, into a three-level fair value hierarchy, as discussed in Note 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200" w:firstLine="648"/>
        <w:spacing w:after="0" w:line="259" w:lineRule="auto"/>
        <w:rPr>
          <w:sz w:val="20"/>
          <w:szCs w:val="20"/>
          <w:color w:val="auto"/>
        </w:rPr>
      </w:pPr>
      <w:r>
        <w:rPr>
          <w:rFonts w:ascii="Arial" w:cs="Arial" w:eastAsia="Arial" w:hAnsi="Arial"/>
          <w:sz w:val="18"/>
          <w:szCs w:val="18"/>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estimating the fair value of portfolio investments, the Company starts with the cost basis of the investment, which includes original issue discount or premium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4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As a practical expedient, the Company used the net asset value (“NAV”) as the basis for the fair value of its investment in CSLLF for the periods held. CSLLF recorded its underlying investments at fair value on a daily basis utilizing pricing information from third-party sources.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asset approach values an investment based on the value of the underlying collateral securing the investment. This approach is used when the Company has reason to believe that it will not collect all principal and interest in accordance with the contractual terms of the debt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when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amendment fees, consent fees, and other fees associated with investments in portfolio companies are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when the investment transaction closes (to the extent services are performed to earn such income). Prepayment penalties received by the Company for debt instruments repaid prior to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 xml:space="preserve">The Company follows the guidance in ASC Topic 860 —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General and administrative expenses are paid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Deferred Financing Fees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September 30, 2017, the Company had outstanding unfunded commitments related to debt investments in existing portfolio companies of $4.0 million (CIS Secure Computing, Inc.), $2.0 million (Portrait Innovations, Inc.), $1.5 million (Kelle’s Transport Service, LLC), and $1.0 million (US Well Services, LLC). As of December 31, 2016, the Company had outstanding unfunded commitments related to debt investments in an existing portfolio company of $1.2 million (On-Site Fuel Services, Inc.).</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addition to unfunded commitments related to debt investments, the Company also has extended a guaranty on behalf of one of our portfolio companies, whereby we have guaranteed $1.5 million of obligations of Kelle’s Transport Service, LLC. As of September 30, 2017 we have not been required to make payments on this or any previous guaranties, and we consider the credit risks to be remote and the fair value of this guaranty to be immaterial.</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as of September 30, 2017 and December 31, 2016.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requirements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Company’s Taxable Subsidiaries accrue income taxes payable based on the applicable statutory rates on the unrealized appreciation of the underlying investments held by the Taxable Subsidiaries. As of September 30, 2017, and December 31, 2016, the Company recorded a deferred tax liability of $2.7 million and $0.0 million, respectively. For the three and nine months ended September 30, 2017, the Company recorded a change in provision for deferred taxes on unrealized appreciation on investments of $2.7 million. For the three and nine months ended September 30, 2016, no change in provision for deferred taxes on unrealized appreciation on investments was recorded.</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firstLine="648"/>
        <w:spacing w:after="0" w:line="255"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2017 and December 31, 2016, there were no uncertain tax positions.</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for the three and nine months ended September 30, 2017 and September 30, 2016. If the Company was required to recognize interest and penalties, if any, related to unrecognized tax benefits this would be recognized as income tax expense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Distributions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has adopted an “opt out” dividend reinvestment plan (“DRIP”) for common stockholders. As a result, if the Company declares a cash dividend or other distribution, each stockholder that has not “opted out” of the DRIP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5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17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 xml:space="preserve">In January 2016, FASB issued ASU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xml:space="preserve"> (Subtopic 825-10): </w:t>
      </w:r>
      <w:r>
        <w:rPr>
          <w:rFonts w:ascii="Arial" w:cs="Arial" w:eastAsia="Arial" w:hAnsi="Arial"/>
          <w:sz w:val="16"/>
          <w:szCs w:val="16"/>
          <w:i w:val="1"/>
          <w:iCs w:val="1"/>
          <w:color w:val="auto"/>
        </w:rPr>
        <w:t>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20" w:firstLine="8"/>
        <w:spacing w:after="0" w:line="25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these changes will have on the Company’s consolidated financial position or results of operations.</w:t>
      </w:r>
    </w:p>
    <w:p>
      <w:pPr>
        <w:spacing w:after="0" w:line="1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October 2016, the SEC adopted new rules and amended existing rules (together, “final rules”) intended to modernize the reporting and disclosure of information by registered investment companies. In part, the final rules amend Regulation S-X and require standardized, enhanced disclosures about derivatives in investment company financial statements, as well as other amendments. The compliance date for the amendments to Regulation S-X is August 1, 2017. Management has adopted the amendments to Regulation S-X and included required disclosures in the Company’s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the Company’s subsidiaries that are licensed by the SBA under the SBIC Act, the Company offers customized financing to business owners, management teams and financial sponsors for change of ownership transactions, recapitalizations, strategic acquisitions, business expansion and other growth initiatives. The Company invests in first lien, second lien, and subordinated loans. Most of the Company’s debt investments are coupled with equity interests, whether in the form of detachable “penny” warrants or equity co-investments made pari-passu with our borrowers’ financial sponsors. As of September 30, 2017, our portfolio consisted of investments in 46 portfolio companies with a fair value of approximately $471.1 million.</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or delayed draw facilities. In some cases, first lien loans may be subordinated, solely with respect to the payment of cash interest, to an asset based revolving credit facility.</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which are not subject to the blockage of cash interest payments to the Company at the first lien lender’s discretion.</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addition to first and second lien loans, the Company may also invest in subordinated loans. Subordinated loans typically have a second lien on all or substantially all of the borrower’s assets, and unlike second lien loans, may be subject to the interruption of cash interest payments upon certain events of default, at the discretion of the first lien lender.</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three months ended September 30, 2017, the Company made approximately $11.4 million of investments and had approximately $22.4 million in repayments and sales resulting in net repayments and sales of approximately $11.0 million for the period. During the three months ended September 30, 2016, the Company made approximately $26.0 million of investments and had approximately $111.9 million in repayments and sales of investments resulting in net repayments and sales of approximately $85.9 million for the period.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nine months ended September 30, 2017, the Company made approximately $39.7 million of investments and had approximately $104.7 million in repayments and sales resulting in net repayments and sales of approximately $65.0 million for the period. During the nine months ended September 30, 2016, the Company made approximately $53.9 million of investments and had approximately $128.6 million in repayments and sales of investments resulting in net repayments and sales of approximately $74.7 million for the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and nine months ended September 30, 2017, the Company funded $0.4 million and $0.7 million, respectively, of previously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committed capital to existing portfolio companies. During the three and nine months ended September 30, 2017, the Company funded $11.0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$21.7 million, respectively, of investments in portfolio companies for which it was not previously committed to fund.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Company funded $0.0 million and $2.8 million, respectively, of previously committed capital to existing portfolio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2016, the Company funded $26.0 million and $51.1 million, respectively, of investments in portfolio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companies for which it was not previously committed to fund. In addition to investing directly in portfolio companies, the Company may assist portfolio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companies in securing financing from other sources by introducing portfolio companies to sponsors or by leading a syndicate of investors to provide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 companies with financing. During the three and nine months ended September 30, 2017 and September 30, 2016, the Company did not lead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syndicates and did not assist any portfolio companies in obtaining indirect financing.</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ind w:right="60" w:firstLine="648"/>
        <w:spacing w:after="0" w:line="255" w:lineRule="auto"/>
        <w:rPr>
          <w:sz w:val="20"/>
          <w:szCs w:val="20"/>
          <w:color w:val="auto"/>
        </w:rPr>
      </w:pPr>
      <w:r>
        <w:rPr>
          <w:rFonts w:ascii="Arial" w:cs="Arial" w:eastAsia="Arial" w:hAnsi="Arial"/>
          <w:sz w:val="18"/>
          <w:szCs w:val="18"/>
          <w:color w:val="auto"/>
        </w:rPr>
        <w:t>On August 31, 2016, the Company sold a portion of 14 securities across 10 portfolio companies to CapitalSouth Partners Florida Sidecar Fund II, L.P. (“FSC II”), including granting an option to acquire a portion of the Company’s equity investment in Eastport Holdings, LLC (the “Written Call Option”), in exchange for 100% of the partnership interests in FSC II. Concurrent with the sale of these assets to FSC II, the Company received cash consideration of $47.6 million from an affiliated third-party purchaser in exchange for 100% of the partnership interests of FSC II. These assets were sold to FSC II at their June 30, 2016 fair market values, resulting in a net realized gain of $0.1 million. The Company’s Board pre-approved this transaction pursuant to Section 57(f) of the 1940 Act.</w:t>
      </w:r>
    </w:p>
    <w:p>
      <w:pPr>
        <w:spacing w:after="0" w:line="19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Written Call Option granted FSC II the right to purchase up to 31.25% of the Company’s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the Company’s consolidated statements of assets and liabilities, was approximately $5.6 million as of September 30, 2017. For purposes of determining the fair value of the Written Call Option, the Company calculated the difference in the fair value of the underlying equity investment in Eastport Holdings, LLC and the strike price of the Written Call Option, or intrinsic value. The time value of the Written Call Option as of September 30, 2017 was determined to be insignificant. The Written Call Option is classified as a Level 3 financial instrument.</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composition of our investments as of September 30, 2017,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Investments</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6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at</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246,188</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6"/>
              </w:rPr>
              <w:t>221,205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32,284</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30,774</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6.5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106,019</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56,081</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113,108</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24.0</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6"/>
              </w:rPr>
              <w:t>471,106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December 31, 2016, at amortized cost and fair value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Investments</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6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at</w:t>
            </w:r>
          </w:p>
        </w:tc>
        <w:tc>
          <w:tcPr>
            <w:tcW w:w="16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74,559</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71,483</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13.2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45,721</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93,346</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17.2</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40"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fair value measurements of investments, by major class, as of September 30,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221,205</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Second Lien Debt</w:t>
            </w: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30,774</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106,019</w:t>
            </w:r>
          </w:p>
        </w:tc>
        <w:tc>
          <w:tcPr>
            <w:tcW w:w="120" w:type="dxa"/>
            <w:vAlign w:val="bottom"/>
            <w:shd w:val="clear" w:color="auto" w:fill="CCEEFF"/>
          </w:tcPr>
          <w:p>
            <w:pPr>
              <w:spacing w:after="0"/>
              <w:rPr>
                <w:sz w:val="18"/>
                <w:szCs w:val="18"/>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113,108</w:t>
            </w:r>
          </w:p>
        </w:tc>
        <w:tc>
          <w:tcPr>
            <w:tcW w:w="12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471,106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471,106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729"/>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September 30, 2017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2016 (dollars in thousands), according to the fair value hierarchy:</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100" w:type="dxa"/>
            <w:vAlign w:val="bottom"/>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Second Lien Debt</w:t>
            </w: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71,483</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120" w:type="dxa"/>
            <w:vAlign w:val="bottom"/>
            <w:shd w:val="clear" w:color="auto" w:fill="CCEEFF"/>
          </w:tcPr>
          <w:p>
            <w:pPr>
              <w:spacing w:after="0"/>
              <w:rPr>
                <w:sz w:val="18"/>
                <w:szCs w:val="18"/>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and Warrants</w:t>
            </w: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93,346</w:t>
            </w:r>
          </w:p>
        </w:tc>
        <w:tc>
          <w:tcPr>
            <w:tcW w:w="120" w:type="dxa"/>
            <w:vAlign w:val="bottom"/>
            <w:tcBorders>
              <w:bottom w:val="single" w:sz="8" w:color="CCEEFF"/>
            </w:tcBorders>
          </w:tcPr>
          <w:p>
            <w:pPr>
              <w:spacing w:after="0"/>
              <w:rPr>
                <w:sz w:val="19"/>
                <w:szCs w:val="19"/>
                <w:color w:val="auto"/>
              </w:rPr>
            </w:pPr>
          </w:p>
        </w:tc>
      </w:tr>
      <w:tr>
        <w:trPr>
          <w:trHeight w:val="22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The following table presents fair value measurements of the Written Call Option as of December 31, 2016 (dollars in thousands), according to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Written Call Option</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29"/>
        </w:trPr>
        <w:tc>
          <w:tcPr>
            <w:tcW w:w="3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First Lien</w:t>
            </w: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Second Lien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and Warrants</w:t>
            </w: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(4,659)</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13,659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Repayments/sales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(21,798)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(15,015)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(104,709)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31,308</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39,690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from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(6,913)</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1,564</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(15,524)</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9,402</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(11,471)</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nine months ended September 30, 2017 (dollars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Written</w:t>
            </w: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Call Option</w:t>
            </w: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7"/>
              </w:rPr>
              <w:t>(2,736)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100" w:type="dxa"/>
            <w:vAlign w:val="bottom"/>
          </w:tcPr>
          <w:p>
            <w:pPr>
              <w:spacing w:after="0"/>
              <w:rPr>
                <w:sz w:val="19"/>
                <w:szCs w:val="19"/>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w w:val="91"/>
              </w:rPr>
              <w:t>(2,819)</w:t>
            </w:r>
          </w:p>
        </w:tc>
      </w:tr>
      <w:tr>
        <w:trPr>
          <w:trHeight w:val="223"/>
        </w:trPr>
        <w:tc>
          <w:tcPr>
            <w:tcW w:w="20" w:type="dxa"/>
            <w:vAlign w:val="bottom"/>
          </w:tcPr>
          <w:p>
            <w:pPr>
              <w:spacing w:after="0"/>
              <w:rPr>
                <w:sz w:val="19"/>
                <w:szCs w:val="19"/>
                <w:color w:val="auto"/>
              </w:rPr>
            </w:pPr>
          </w:p>
        </w:tc>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6"/>
              </w:rPr>
              <w:t>(5,555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First Lien</w:t>
            </w: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Second Lien</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Subordinated</w:t>
            </w:r>
          </w:p>
        </w:tc>
        <w:tc>
          <w:tcPr>
            <w:tcW w:w="2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w w:val="93"/>
              </w:rPr>
              <w:t xml:space="preserve">Total </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Debt</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and Warrants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199,843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Repayments/sales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(25,149)</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(12,750)</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(67,899)</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(127,532)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24,489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19,474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Payment in-kind interest and dividends accrued</w:t>
            </w: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Realized gain (loss) from investments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(5,024)</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(26,783)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(25,571)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(3,709)</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13,808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Balance as of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193,228</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135,545</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our $20.4 million investment in CSLLF, measured at NAV.</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the Written Call Option that use Level 3 inputs for the nine months ended September 30, 2016 (dollars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9"/>
              </w:rPr>
              <w:t>Written Call Option</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(898)</w:t>
            </w: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Written Call Option</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Balance as of September 30, 2016</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net change in unrealized depreciation on investments held as of September 30, 2017 and September 30, 2016, was $(14.0) million and $(1.7) million, respectively, and is included in net unrealized appreciation (depreciation) on investments in the consolidated statements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Fair Value</w:t>
            </w:r>
          </w:p>
        </w:tc>
        <w:tc>
          <w:tcPr>
            <w:tcW w:w="40" w:type="dxa"/>
            <w:vAlign w:val="bottom"/>
          </w:tcPr>
          <w:p>
            <w:pPr>
              <w:spacing w:after="0"/>
              <w:rPr>
                <w:sz w:val="18"/>
                <w:szCs w:val="18"/>
                <w:color w:val="auto"/>
              </w:rPr>
            </w:pPr>
          </w:p>
        </w:tc>
        <w:tc>
          <w:tcPr>
            <w:tcW w:w="3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Valuation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(in millions)</w:t>
            </w:r>
          </w:p>
        </w:tc>
        <w:tc>
          <w:tcPr>
            <w:tcW w:w="40" w:type="dxa"/>
            <w:vAlign w:val="bottom"/>
          </w:tcPr>
          <w:p>
            <w:pPr>
              <w:spacing w:after="0"/>
              <w:rPr>
                <w:sz w:val="20"/>
                <w:szCs w:val="20"/>
                <w:color w:val="auto"/>
              </w:rPr>
            </w:pPr>
          </w:p>
        </w:tc>
        <w:tc>
          <w:tcPr>
            <w:tcW w:w="3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Approach</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Unobservable Input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tcPr>
          <w:p>
            <w:pPr>
              <w:ind w:left="36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5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184.8</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80" w:type="dxa"/>
            <w:vAlign w:val="bottom"/>
            <w:tcBorders>
              <w:top w:val="single" w:sz="8" w:color="CCEEFF"/>
            </w:tcBorders>
            <w:shd w:val="clear" w:color="auto" w:fill="CCEEFF"/>
          </w:tcPr>
          <w:p>
            <w:pPr>
              <w:spacing w:after="0"/>
              <w:rPr>
                <w:sz w:val="16"/>
                <w:szCs w:val="16"/>
                <w:color w:val="auto"/>
              </w:rPr>
            </w:pPr>
          </w:p>
        </w:tc>
        <w:tc>
          <w:tcPr>
            <w:tcW w:w="34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10.7% - 23.0% (13.8%)</w:t>
            </w:r>
          </w:p>
        </w:tc>
      </w:tr>
      <w:tr>
        <w:trPr>
          <w:trHeight w:val="216"/>
        </w:trPr>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1.3x</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7.0x (3.4x)</w:t>
            </w:r>
          </w:p>
        </w:tc>
      </w:tr>
      <w:tr>
        <w:trPr>
          <w:trHeight w:val="230"/>
        </w:trPr>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$1.7 million - $128.1 million ($23.2 million)</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First lien debt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36.4</w:t>
            </w:r>
          </w:p>
        </w:tc>
        <w:tc>
          <w:tcPr>
            <w:tcW w:w="3100" w:type="dxa"/>
            <w:vAlign w:val="bottom"/>
            <w:gridSpan w:val="3"/>
          </w:tcPr>
          <w:p>
            <w:pPr>
              <w:ind w:left="40"/>
              <w:spacing w:after="0" w:line="202" w:lineRule="exact"/>
              <w:rPr>
                <w:sz w:val="20"/>
                <w:szCs w:val="20"/>
                <w:color w:val="auto"/>
              </w:rPr>
            </w:pPr>
            <w:r>
              <w:rPr>
                <w:rFonts w:ascii="Arial" w:cs="Arial" w:eastAsia="Arial" w:hAnsi="Arial"/>
                <w:sz w:val="15"/>
                <w:szCs w:val="15"/>
                <w:color w:val="auto"/>
              </w:rPr>
              <w:t xml:space="preserve">Enterprise Value Waterfall and Asset </w:t>
            </w:r>
            <w:r>
              <w:rPr>
                <w:rFonts w:ascii="Arial" w:cs="Arial" w:eastAsia="Arial" w:hAnsi="Arial"/>
                <w:sz w:val="23"/>
                <w:szCs w:val="23"/>
                <w:color w:val="auto"/>
                <w:vertAlign w:val="superscript"/>
              </w:rPr>
              <w:t>(1)</w:t>
            </w: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EBITDA Multiple</w:t>
            </w:r>
          </w:p>
        </w:tc>
        <w:tc>
          <w:tcPr>
            <w:tcW w:w="42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3"/>
              </w:rPr>
              <w:t>5.8x</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 5.8x (5.8x)</w:t>
            </w:r>
          </w:p>
        </w:tc>
      </w:tr>
      <w:tr>
        <w:trPr>
          <w:trHeight w:val="215"/>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rPr>
              <w:t>$2.5 million - $4.0 million ($3.0 million)</w:t>
            </w:r>
          </w:p>
        </w:tc>
      </w:t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Multiple</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0.2x</w:t>
            </w:r>
          </w:p>
        </w:tc>
        <w:tc>
          <w:tcPr>
            <w:tcW w:w="3120" w:type="dxa"/>
            <w:vAlign w:val="bottom"/>
          </w:tcPr>
          <w:p>
            <w:pPr>
              <w:ind w:left="20"/>
              <w:spacing w:after="0"/>
              <w:rPr>
                <w:sz w:val="20"/>
                <w:szCs w:val="20"/>
                <w:color w:val="auto"/>
              </w:rPr>
            </w:pPr>
            <w:r>
              <w:rPr>
                <w:rFonts w:ascii="Arial" w:cs="Arial" w:eastAsia="Arial" w:hAnsi="Arial"/>
                <w:sz w:val="18"/>
                <w:szCs w:val="18"/>
                <w:color w:val="auto"/>
              </w:rPr>
              <w:t>– 0.2x (0.2x)</w:t>
            </w:r>
          </w:p>
        </w:tc>
      </w:tr>
      <w:tr>
        <w:trPr>
          <w:trHeight w:val="230"/>
        </w:trPr>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rPr>
              <w:t>$56.2 million -$56.2 million ($56.2 million)</w:t>
            </w:r>
          </w:p>
        </w:tc>
      </w:tr>
      <w:tr>
        <w:trPr>
          <w:trHeight w:val="202"/>
        </w:trPr>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15.4</w:t>
            </w:r>
          </w:p>
        </w:tc>
        <w:tc>
          <w:tcPr>
            <w:tcW w:w="31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Income</w:t>
            </w: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Required Rate of Return</w:t>
            </w:r>
          </w:p>
        </w:tc>
        <w:tc>
          <w:tcPr>
            <w:tcW w:w="35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11.3% - 17.5% (15.5%)</w:t>
            </w:r>
          </w:p>
        </w:tc>
      </w:tr>
      <w:tr>
        <w:trPr>
          <w:trHeight w:val="216"/>
        </w:trPr>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4.8x</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4.9x (4.9x)</w:t>
            </w:r>
          </w:p>
        </w:tc>
      </w:tr>
      <w:tr>
        <w:trPr>
          <w:trHeight w:val="230"/>
        </w:trPr>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$72.0 million - $79.5 million ($77.1 million)</w:t>
            </w:r>
          </w:p>
        </w:tc>
      </w:tr>
      <w:tr>
        <w:trPr>
          <w:trHeight w:val="202"/>
        </w:trPr>
        <w:tc>
          <w:tcPr>
            <w:tcW w:w="1520" w:type="dxa"/>
            <w:vAlign w:val="bottom"/>
          </w:tcPr>
          <w:p>
            <w:pPr>
              <w:spacing w:after="0" w:line="201" w:lineRule="exact"/>
              <w:rPr>
                <w:sz w:val="20"/>
                <w:szCs w:val="20"/>
                <w:color w:val="auto"/>
              </w:rPr>
            </w:pPr>
            <w:r>
              <w:rPr>
                <w:rFonts w:ascii="Arial" w:cs="Arial" w:eastAsia="Arial" w:hAnsi="Arial"/>
                <w:sz w:val="18"/>
                <w:szCs w:val="18"/>
                <w:color w:val="auto"/>
              </w:rPr>
              <w:t>Second lien debt</w:t>
            </w: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15.4</w:t>
            </w:r>
          </w:p>
        </w:tc>
        <w:tc>
          <w:tcPr>
            <w:tcW w:w="31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Enterprise Value Waterfall</w:t>
            </w: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EBITDA Multiple</w:t>
            </w:r>
          </w:p>
        </w:tc>
        <w:tc>
          <w:tcPr>
            <w:tcW w:w="4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3"/>
              </w:rPr>
              <w:t>6.5x</w:t>
            </w:r>
          </w:p>
        </w:tc>
        <w:tc>
          <w:tcPr>
            <w:tcW w:w="3120" w:type="dxa"/>
            <w:vAlign w:val="bottom"/>
          </w:tcPr>
          <w:p>
            <w:pPr>
              <w:ind w:left="20"/>
              <w:spacing w:after="0" w:line="201" w:lineRule="exact"/>
              <w:rPr>
                <w:sz w:val="20"/>
                <w:szCs w:val="20"/>
                <w:color w:val="auto"/>
              </w:rPr>
            </w:pPr>
            <w:r>
              <w:rPr>
                <w:rFonts w:ascii="Arial" w:cs="Arial" w:eastAsia="Arial" w:hAnsi="Arial"/>
                <w:sz w:val="18"/>
                <w:szCs w:val="18"/>
                <w:color w:val="auto"/>
              </w:rPr>
              <w:t>– 6.5x (6.5x)</w:t>
            </w:r>
          </w:p>
        </w:tc>
      </w:tr>
      <w:tr>
        <w:trPr>
          <w:trHeight w:val="230"/>
        </w:trPr>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rPr>
              <w:t>$7.7 million - $7.7 million ($7.7 million)</w:t>
            </w:r>
          </w:p>
        </w:tc>
      </w:tr>
      <w:tr>
        <w:trPr>
          <w:trHeight w:val="202"/>
        </w:trPr>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Subordinated debt</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62.0</w:t>
            </w:r>
          </w:p>
        </w:tc>
        <w:tc>
          <w:tcPr>
            <w:tcW w:w="31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Income</w:t>
            </w: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Required Rate of Return</w:t>
            </w:r>
          </w:p>
        </w:tc>
        <w:tc>
          <w:tcPr>
            <w:tcW w:w="354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11.5% – 20.3% (14.4%)</w:t>
            </w:r>
          </w:p>
        </w:tc>
      </w:tr>
      <w:tr>
        <w:trPr>
          <w:trHeight w:val="216"/>
        </w:trPr>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3.2x</w:t>
            </w: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7.1x (5.1x)</w:t>
            </w:r>
          </w:p>
        </w:tc>
      </w:tr>
      <w:tr>
        <w:trPr>
          <w:trHeight w:val="230"/>
        </w:trPr>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3.2 million - $15.1 million ($10.1 million)</w:t>
            </w:r>
          </w:p>
        </w:tc>
      </w:tr>
      <w:tr>
        <w:trPr>
          <w:trHeight w:val="203"/>
        </w:trPr>
        <w:tc>
          <w:tcPr>
            <w:tcW w:w="1520" w:type="dxa"/>
            <w:vAlign w:val="bottom"/>
          </w:tcPr>
          <w:p>
            <w:pPr>
              <w:spacing w:after="0" w:line="202" w:lineRule="exact"/>
              <w:rPr>
                <w:sz w:val="20"/>
                <w:szCs w:val="20"/>
                <w:color w:val="auto"/>
              </w:rPr>
            </w:pPr>
            <w:r>
              <w:rPr>
                <w:rFonts w:ascii="Arial" w:cs="Arial" w:eastAsia="Arial" w:hAnsi="Arial"/>
                <w:sz w:val="18"/>
                <w:szCs w:val="18"/>
                <w:color w:val="auto"/>
              </w:rPr>
              <w:t>Subordinated debt</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44.0</w:t>
            </w:r>
          </w:p>
        </w:tc>
        <w:tc>
          <w:tcPr>
            <w:tcW w:w="3100" w:type="dxa"/>
            <w:vAlign w:val="bottom"/>
            <w:gridSpan w:val="3"/>
          </w:tcPr>
          <w:p>
            <w:pPr>
              <w:ind w:left="40"/>
              <w:spacing w:after="0" w:line="202" w:lineRule="exact"/>
              <w:rPr>
                <w:sz w:val="20"/>
                <w:szCs w:val="20"/>
                <w:color w:val="auto"/>
              </w:rPr>
            </w:pPr>
            <w:r>
              <w:rPr>
                <w:rFonts w:ascii="Arial" w:cs="Arial" w:eastAsia="Arial" w:hAnsi="Arial"/>
                <w:sz w:val="15"/>
                <w:szCs w:val="15"/>
                <w:color w:val="auto"/>
              </w:rPr>
              <w:t xml:space="preserve">Enterprise Value Waterfall and Asset </w:t>
            </w:r>
            <w:r>
              <w:rPr>
                <w:rFonts w:ascii="Arial" w:cs="Arial" w:eastAsia="Arial" w:hAnsi="Arial"/>
                <w:sz w:val="23"/>
                <w:szCs w:val="23"/>
                <w:color w:val="auto"/>
                <w:vertAlign w:val="superscript"/>
              </w:rPr>
              <w:t>(1)</w:t>
            </w:r>
          </w:p>
        </w:tc>
        <w:tc>
          <w:tcPr>
            <w:tcW w:w="2080" w:type="dxa"/>
            <w:vAlign w:val="bottom"/>
          </w:tcPr>
          <w:p>
            <w:pPr>
              <w:spacing w:after="0" w:line="202" w:lineRule="exact"/>
              <w:rPr>
                <w:sz w:val="20"/>
                <w:szCs w:val="20"/>
                <w:color w:val="auto"/>
              </w:rPr>
            </w:pPr>
            <w:r>
              <w:rPr>
                <w:rFonts w:ascii="Arial" w:cs="Arial" w:eastAsia="Arial" w:hAnsi="Arial"/>
                <w:sz w:val="18"/>
                <w:szCs w:val="18"/>
                <w:color w:val="auto"/>
              </w:rPr>
              <w:t>EBITDA Multiple</w:t>
            </w:r>
          </w:p>
        </w:tc>
        <w:tc>
          <w:tcPr>
            <w:tcW w:w="42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3"/>
              </w:rPr>
              <w:t>6.0x</w:t>
            </w: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 7.3x (6.7x)</w:t>
            </w:r>
          </w:p>
        </w:tc>
      </w:tr>
      <w:tr>
        <w:trPr>
          <w:trHeight w:val="215"/>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rPr>
              <w:t>$1.7 million - $26.1 million ($17.7 million)</w:t>
            </w:r>
          </w:p>
        </w:tc>
      </w:tr>
      <w:tr>
        <w:trPr>
          <w:trHeight w:val="216"/>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Multiple</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w w:val="93"/>
              </w:rPr>
              <w:t>0.2x</w:t>
            </w:r>
          </w:p>
        </w:tc>
        <w:tc>
          <w:tcPr>
            <w:tcW w:w="3120" w:type="dxa"/>
            <w:vAlign w:val="bottom"/>
          </w:tcPr>
          <w:p>
            <w:pPr>
              <w:ind w:left="20"/>
              <w:spacing w:after="0"/>
              <w:rPr>
                <w:sz w:val="20"/>
                <w:szCs w:val="20"/>
                <w:color w:val="auto"/>
              </w:rPr>
            </w:pPr>
            <w:r>
              <w:rPr>
                <w:rFonts w:ascii="Arial" w:cs="Arial" w:eastAsia="Arial" w:hAnsi="Arial"/>
                <w:sz w:val="18"/>
                <w:szCs w:val="18"/>
                <w:color w:val="auto"/>
              </w:rPr>
              <w:t>– 0.2x (0.2x)</w:t>
            </w:r>
          </w:p>
        </w:tc>
      </w:tr>
      <w:tr>
        <w:trPr>
          <w:trHeight w:val="230"/>
        </w:trPr>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w w:val="95"/>
              </w:rPr>
              <w:t>$140.5 million -$140.5 million ($140.5 million)</w:t>
            </w:r>
          </w:p>
        </w:tc>
      </w:tr>
      <w:tr>
        <w:trPr>
          <w:trHeight w:val="202"/>
        </w:trPr>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Equity and warrants</w:t>
            </w:r>
          </w:p>
        </w:tc>
        <w:tc>
          <w:tcPr>
            <w:tcW w:w="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113.1</w:t>
            </w:r>
          </w:p>
        </w:tc>
        <w:tc>
          <w:tcPr>
            <w:tcW w:w="310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Enterprise Value Waterfall</w:t>
            </w: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4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5.0x</w:t>
            </w:r>
          </w:p>
        </w:tc>
        <w:tc>
          <w:tcPr>
            <w:tcW w:w="3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14.2x (7.8x)</w:t>
            </w:r>
          </w:p>
        </w:tc>
      </w:tr>
      <w:tr>
        <w:trPr>
          <w:trHeight w:val="230"/>
        </w:trPr>
        <w:tc>
          <w:tcPr>
            <w:tcW w:w="1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$0.9 million - $78.7 million ($21.8 million)</w:t>
            </w:r>
          </w:p>
        </w:tc>
      </w:tr>
      <w:tr>
        <w:trPr>
          <w:trHeight w:val="202"/>
        </w:trPr>
        <w:tc>
          <w:tcPr>
            <w:tcW w:w="1520" w:type="dxa"/>
            <w:vAlign w:val="bottom"/>
          </w:tcPr>
          <w:p>
            <w:pPr>
              <w:spacing w:after="0" w:line="201" w:lineRule="exact"/>
              <w:rPr>
                <w:sz w:val="20"/>
                <w:szCs w:val="20"/>
                <w:color w:val="auto"/>
              </w:rPr>
            </w:pPr>
            <w:r>
              <w:rPr>
                <w:rFonts w:ascii="Arial" w:cs="Arial" w:eastAsia="Arial" w:hAnsi="Arial"/>
                <w:sz w:val="18"/>
                <w:szCs w:val="18"/>
                <w:color w:val="auto"/>
                <w:w w:val="99"/>
              </w:rPr>
              <w:t>Written Call Option</w:t>
            </w: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(5.6)</w:t>
            </w:r>
          </w:p>
        </w:tc>
        <w:tc>
          <w:tcPr>
            <w:tcW w:w="31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Enterprise Value Waterfall</w:t>
            </w: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EBITDA Multiple</w:t>
            </w:r>
          </w:p>
        </w:tc>
        <w:tc>
          <w:tcPr>
            <w:tcW w:w="42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3"/>
              </w:rPr>
              <w:t>7.3x</w:t>
            </w:r>
          </w:p>
        </w:tc>
        <w:tc>
          <w:tcPr>
            <w:tcW w:w="3120" w:type="dxa"/>
            <w:vAlign w:val="bottom"/>
          </w:tcPr>
          <w:p>
            <w:pPr>
              <w:ind w:left="20"/>
              <w:spacing w:after="0" w:line="201" w:lineRule="exact"/>
              <w:rPr>
                <w:sz w:val="20"/>
                <w:szCs w:val="20"/>
                <w:color w:val="auto"/>
              </w:rPr>
            </w:pPr>
            <w:r>
              <w:rPr>
                <w:rFonts w:ascii="Arial" w:cs="Arial" w:eastAsia="Arial" w:hAnsi="Arial"/>
                <w:sz w:val="18"/>
                <w:szCs w:val="18"/>
                <w:color w:val="auto"/>
              </w:rPr>
              <w:t>– 7.3x (7.3x)</w:t>
            </w:r>
          </w:p>
        </w:tc>
      </w:tr>
      <w:tr>
        <w:trPr>
          <w:trHeight w:val="230"/>
        </w:trPr>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540" w:type="dxa"/>
            <w:vAlign w:val="bottom"/>
            <w:gridSpan w:val="3"/>
          </w:tcPr>
          <w:p>
            <w:pPr>
              <w:ind w:left="80"/>
              <w:spacing w:after="0"/>
              <w:rPr>
                <w:sz w:val="20"/>
                <w:szCs w:val="20"/>
                <w:color w:val="auto"/>
              </w:rPr>
            </w:pPr>
            <w:r>
              <w:rPr>
                <w:rFonts w:ascii="Arial" w:cs="Arial" w:eastAsia="Arial" w:hAnsi="Arial"/>
                <w:sz w:val="18"/>
                <w:szCs w:val="18"/>
                <w:color w:val="auto"/>
              </w:rPr>
              <w:t>$26.1 million - $26.1 million ($26.1 million)</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$1.0 million in subordinated debt and $6.7 million in first lien debt were valued using the asset approach.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of assets and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Fair Value</w:t>
            </w:r>
          </w:p>
        </w:tc>
        <w:tc>
          <w:tcPr>
            <w:tcW w:w="3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Valuation</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(in millions)</w:t>
            </w:r>
          </w:p>
        </w:tc>
        <w:tc>
          <w:tcPr>
            <w:tcW w:w="3060" w:type="dxa"/>
            <w:vAlign w:val="bottom"/>
            <w:gridSpan w:val="2"/>
          </w:tcPr>
          <w:p>
            <w:pPr>
              <w:ind w:left="1100"/>
              <w:spacing w:after="0"/>
              <w:rPr>
                <w:sz w:val="20"/>
                <w:szCs w:val="20"/>
                <w:color w:val="auto"/>
              </w:rPr>
            </w:pPr>
            <w:r>
              <w:rPr>
                <w:rFonts w:ascii="Arial" w:cs="Arial" w:eastAsia="Arial" w:hAnsi="Arial"/>
                <w:sz w:val="18"/>
                <w:szCs w:val="18"/>
                <w:b w:val="1"/>
                <w:bCs w:val="1"/>
                <w:color w:val="auto"/>
              </w:rPr>
              <w:t>Approach</w:t>
            </w:r>
          </w:p>
        </w:tc>
        <w:tc>
          <w:tcPr>
            <w:tcW w:w="2220" w:type="dxa"/>
            <w:vAlign w:val="bottom"/>
          </w:tcPr>
          <w:p>
            <w:pPr>
              <w:ind w:left="340"/>
              <w:spacing w:after="0"/>
              <w:rPr>
                <w:sz w:val="20"/>
                <w:szCs w:val="20"/>
                <w:color w:val="auto"/>
              </w:rPr>
            </w:pPr>
            <w:r>
              <w:rPr>
                <w:rFonts w:ascii="Arial" w:cs="Arial" w:eastAsia="Arial" w:hAnsi="Arial"/>
                <w:sz w:val="18"/>
                <w:szCs w:val="18"/>
                <w:b w:val="1"/>
                <w:bCs w:val="1"/>
                <w:color w:val="auto"/>
              </w:rPr>
              <w:t>Unobservable Input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tcPr>
          <w:p>
            <w:pPr>
              <w:ind w:left="260"/>
              <w:spacing w:after="0"/>
              <w:rPr>
                <w:sz w:val="20"/>
                <w:szCs w:val="20"/>
                <w:color w:val="auto"/>
              </w:rPr>
            </w:pPr>
            <w:r>
              <w:rPr>
                <w:rFonts w:ascii="Arial" w:cs="Arial" w:eastAsia="Arial" w:hAnsi="Arial"/>
                <w:sz w:val="18"/>
                <w:szCs w:val="18"/>
                <w:b w:val="1"/>
                <w:bCs w:val="1"/>
                <w:color w:val="auto"/>
              </w:rPr>
              <w:t>Range (Weighted Average)</w:t>
            </w:r>
          </w:p>
        </w:tc>
      </w:tr>
      <w:tr>
        <w:trPr>
          <w:trHeight w:val="195"/>
        </w:trPr>
        <w:tc>
          <w:tcPr>
            <w:tcW w:w="16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First lien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173.3</w:t>
            </w:r>
          </w:p>
        </w:tc>
        <w:tc>
          <w:tcPr>
            <w:tcW w:w="180" w:type="dxa"/>
            <w:vAlign w:val="bottom"/>
            <w:tcBorders>
              <w:top w:val="single" w:sz="8" w:color="CCEEFF"/>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8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Required Rate of Return</w:t>
            </w:r>
          </w:p>
        </w:tc>
        <w:tc>
          <w:tcPr>
            <w:tcW w:w="8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9.5% - 18.0% (14.2%)</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2.0x</w:t>
            </w: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6.4x (4.1x)</w:t>
            </w:r>
          </w:p>
        </w:tc>
      </w:tr>
      <w:tr>
        <w:trPr>
          <w:trHeight w:val="230"/>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$1.8 million - $166.0 million ($24.1 million)</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First lien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53.3</w:t>
            </w:r>
          </w:p>
        </w:tc>
        <w:tc>
          <w:tcPr>
            <w:tcW w:w="30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Enterprise Value Waterfall and Asset </w:t>
            </w:r>
            <w:r>
              <w:rPr>
                <w:rFonts w:ascii="Arial" w:cs="Arial" w:eastAsia="Arial" w:hAnsi="Arial"/>
                <w:sz w:val="23"/>
                <w:szCs w:val="23"/>
                <w:color w:val="auto"/>
                <w:vertAlign w:val="superscript"/>
              </w:rPr>
              <w:t>(1)</w:t>
            </w: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EBITDA Multiple</w:t>
            </w:r>
          </w:p>
        </w:tc>
        <w:tc>
          <w:tcPr>
            <w:tcW w:w="4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88"/>
              </w:rPr>
              <w:t>4.5x</w:t>
            </w:r>
          </w:p>
        </w:tc>
        <w:tc>
          <w:tcPr>
            <w:tcW w:w="2900" w:type="dxa"/>
            <w:vAlign w:val="bottom"/>
          </w:tcPr>
          <w:p>
            <w:pPr>
              <w:ind w:left="40"/>
              <w:spacing w:after="0" w:line="202" w:lineRule="exact"/>
              <w:rPr>
                <w:sz w:val="20"/>
                <w:szCs w:val="20"/>
                <w:color w:val="auto"/>
              </w:rPr>
            </w:pPr>
            <w:r>
              <w:rPr>
                <w:rFonts w:ascii="Arial" w:cs="Arial" w:eastAsia="Arial" w:hAnsi="Arial"/>
                <w:sz w:val="18"/>
                <w:szCs w:val="18"/>
                <w:color w:val="auto"/>
              </w:rPr>
              <w:t>– 9.0x (6.3x)</w:t>
            </w:r>
          </w:p>
        </w:tc>
      </w:tr>
      <w:tr>
        <w:trPr>
          <w:trHeight w:val="215"/>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tcPr>
          <w:p>
            <w:pPr>
              <w:ind w:left="80"/>
              <w:spacing w:after="0"/>
              <w:rPr>
                <w:sz w:val="20"/>
                <w:szCs w:val="20"/>
                <w:color w:val="auto"/>
              </w:rPr>
            </w:pPr>
            <w:r>
              <w:rPr>
                <w:rFonts w:ascii="Arial" w:cs="Arial" w:eastAsia="Arial" w:hAnsi="Arial"/>
                <w:sz w:val="18"/>
                <w:szCs w:val="18"/>
                <w:color w:val="auto"/>
                <w:w w:val="98"/>
              </w:rPr>
              <w:t>$2.5 million - $34.3 million ($13.1 million)</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Revenue Multiple</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88"/>
              </w:rPr>
              <w:t>0.3x</w:t>
            </w:r>
          </w:p>
        </w:tc>
        <w:tc>
          <w:tcPr>
            <w:tcW w:w="2900" w:type="dxa"/>
            <w:vAlign w:val="bottom"/>
          </w:tcPr>
          <w:p>
            <w:pPr>
              <w:ind w:left="40"/>
              <w:spacing w:after="0"/>
              <w:rPr>
                <w:sz w:val="20"/>
                <w:szCs w:val="20"/>
                <w:color w:val="auto"/>
              </w:rPr>
            </w:pPr>
            <w:r>
              <w:rPr>
                <w:rFonts w:ascii="Arial" w:cs="Arial" w:eastAsia="Arial" w:hAnsi="Arial"/>
                <w:sz w:val="18"/>
                <w:szCs w:val="18"/>
                <w:color w:val="auto"/>
              </w:rPr>
              <w:t>– 0.3x (0.3x)</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3"/>
          </w:tcPr>
          <w:p>
            <w:pPr>
              <w:ind w:left="80"/>
              <w:spacing w:after="0"/>
              <w:rPr>
                <w:sz w:val="20"/>
                <w:szCs w:val="20"/>
                <w:color w:val="auto"/>
              </w:rPr>
            </w:pPr>
            <w:r>
              <w:rPr>
                <w:rFonts w:ascii="Arial" w:cs="Arial" w:eastAsia="Arial" w:hAnsi="Arial"/>
                <w:sz w:val="18"/>
                <w:szCs w:val="18"/>
                <w:color w:val="auto"/>
                <w:w w:val="95"/>
              </w:rPr>
              <w:t>$88.1 million - $88.1 million ($88.1 million)</w:t>
            </w: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71.5</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w:t>
            </w: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Required Rate of Return</w:t>
            </w:r>
          </w:p>
        </w:tc>
        <w:tc>
          <w:tcPr>
            <w:tcW w:w="33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10.0% - 17.3% (13.3%)</w:t>
            </w:r>
          </w:p>
        </w:tc>
      </w:tr>
      <w:tr>
        <w:trPr>
          <w:trHeight w:val="216"/>
        </w:trPr>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8"/>
              </w:rPr>
              <w:t>0.0x</w:t>
            </w: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7.5x (5.0x)</w:t>
            </w:r>
          </w:p>
        </w:tc>
      </w:tr>
      <w:tr>
        <w:trPr>
          <w:trHeight w:val="230"/>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$8.1 million - $166.0 million ($76.5 million)</w:t>
            </w: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Subordinated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114.6</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Income</w:t>
            </w: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Required Rate of Return</w:t>
            </w:r>
          </w:p>
        </w:tc>
        <w:tc>
          <w:tcPr>
            <w:tcW w:w="330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11.5% – 20.0% (13.6%)</w:t>
            </w: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Leverage Ratio</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w w:val="88"/>
              </w:rPr>
              <w:t>1.5x</w:t>
            </w:r>
          </w:p>
        </w:tc>
        <w:tc>
          <w:tcPr>
            <w:tcW w:w="2900" w:type="dxa"/>
            <w:vAlign w:val="bottom"/>
          </w:tcPr>
          <w:p>
            <w:pPr>
              <w:ind w:left="40"/>
              <w:spacing w:after="0"/>
              <w:rPr>
                <w:sz w:val="20"/>
                <w:szCs w:val="20"/>
                <w:color w:val="auto"/>
              </w:rPr>
            </w:pPr>
            <w:r>
              <w:rPr>
                <w:rFonts w:ascii="Arial" w:cs="Arial" w:eastAsia="Arial" w:hAnsi="Arial"/>
                <w:sz w:val="18"/>
                <w:szCs w:val="18"/>
                <w:color w:val="auto"/>
              </w:rPr>
              <w:t>– 6.7x (4.1x)</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tcPr>
          <w:p>
            <w:pPr>
              <w:ind w:left="80"/>
              <w:spacing w:after="0"/>
              <w:rPr>
                <w:sz w:val="20"/>
                <w:szCs w:val="20"/>
                <w:color w:val="auto"/>
              </w:rPr>
            </w:pPr>
            <w:r>
              <w:rPr>
                <w:rFonts w:ascii="Arial" w:cs="Arial" w:eastAsia="Arial" w:hAnsi="Arial"/>
                <w:sz w:val="18"/>
                <w:szCs w:val="18"/>
                <w:color w:val="auto"/>
              </w:rPr>
              <w:t>2.0 million - $63.7 million ($21.4 million)</w:t>
            </w: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35.6</w:t>
            </w: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Enterprise Value Waterfall and Asset </w:t>
            </w:r>
            <w:r>
              <w:rPr>
                <w:rFonts w:ascii="Arial" w:cs="Arial" w:eastAsia="Arial" w:hAnsi="Arial"/>
                <w:sz w:val="23"/>
                <w:szCs w:val="23"/>
                <w:color w:val="auto"/>
                <w:vertAlign w:val="superscript"/>
              </w:rPr>
              <w:t>(1)</w:t>
            </w:r>
          </w:p>
        </w:tc>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 Multiple</w:t>
            </w:r>
          </w:p>
        </w:tc>
        <w:tc>
          <w:tcPr>
            <w:tcW w:w="4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w w:val="88"/>
              </w:rPr>
              <w:t>5.0x</w:t>
            </w:r>
          </w:p>
        </w:tc>
        <w:tc>
          <w:tcPr>
            <w:tcW w:w="2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8.7x (6.3x)</w:t>
            </w:r>
          </w:p>
        </w:tc>
      </w:tr>
      <w:tr>
        <w:trPr>
          <w:trHeight w:val="230"/>
        </w:trPr>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6"/>
              </w:rPr>
              <w:t>$1.8 million – $27.6 million ($15.7 million)</w:t>
            </w: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Equity and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93.3</w:t>
            </w: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Enterprise Value Waterfall</w:t>
            </w: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EBITDA Multiple</w:t>
            </w:r>
          </w:p>
        </w:tc>
        <w:tc>
          <w:tcPr>
            <w:tcW w:w="4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88"/>
              </w:rPr>
              <w:t>4.5x</w:t>
            </w:r>
          </w:p>
        </w:tc>
        <w:tc>
          <w:tcPr>
            <w:tcW w:w="2900" w:type="dxa"/>
            <w:vAlign w:val="bottom"/>
          </w:tcPr>
          <w:p>
            <w:pPr>
              <w:ind w:left="40"/>
              <w:spacing w:after="0" w:line="201" w:lineRule="exact"/>
              <w:rPr>
                <w:sz w:val="20"/>
                <w:szCs w:val="20"/>
                <w:color w:val="auto"/>
              </w:rPr>
            </w:pPr>
            <w:r>
              <w:rPr>
                <w:rFonts w:ascii="Arial" w:cs="Arial" w:eastAsia="Arial" w:hAnsi="Arial"/>
                <w:sz w:val="18"/>
                <w:szCs w:val="18"/>
                <w:color w:val="auto"/>
              </w:rPr>
              <w:t>– 12.2x (7.6%)</w:t>
            </w:r>
          </w:p>
        </w:tc>
      </w:tr>
      <w:tr>
        <w:trPr>
          <w:trHeight w:val="230"/>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tcPr>
          <w:p>
            <w:pPr>
              <w:ind w:left="80"/>
              <w:spacing w:after="0"/>
              <w:rPr>
                <w:sz w:val="20"/>
                <w:szCs w:val="20"/>
                <w:color w:val="auto"/>
              </w:rPr>
            </w:pPr>
            <w:r>
              <w:rPr>
                <w:rFonts w:ascii="Arial" w:cs="Arial" w:eastAsia="Arial" w:hAnsi="Arial"/>
                <w:sz w:val="18"/>
                <w:szCs w:val="18"/>
                <w:color w:val="auto"/>
                <w:w w:val="98"/>
              </w:rPr>
              <w:t>$1.8 million - $63.7 million ($17.5 million)</w:t>
            </w:r>
          </w:p>
        </w:tc>
      </w:tr>
      <w:tr>
        <w:trPr>
          <w:trHeight w:val="202"/>
        </w:trPr>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Written Call Option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(2.7)</w:t>
            </w: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Enterprise Value Waterfall</w:t>
            </w: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EBITDA Multiple</w:t>
            </w:r>
          </w:p>
        </w:tc>
        <w:tc>
          <w:tcPr>
            <w:tcW w:w="33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6.25x – 6.25x (6.25x)</w:t>
            </w:r>
          </w:p>
        </w:tc>
      </w:tr>
      <w:tr>
        <w:trPr>
          <w:trHeight w:val="230"/>
        </w:trPr>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$27.6 million - $27.6 million ($27.6 million)</w:t>
            </w:r>
          </w:p>
        </w:tc>
      </w:tr>
    </w:tbl>
    <w:p>
      <w:pPr>
        <w:spacing w:after="0" w:line="202" w:lineRule="exact"/>
        <w:rPr>
          <w:sz w:val="20"/>
          <w:szCs w:val="20"/>
          <w:color w:val="auto"/>
        </w:rPr>
      </w:pPr>
    </w:p>
    <w:p>
      <w:pPr>
        <w:ind w:left="5640" w:right="3320" w:hanging="5348"/>
        <w:spacing w:after="0" w:line="778"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$2.5 million in subordinated debt and $2.6 million in first lien debt were valued using the asset approach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180" w:firstLine="648"/>
        <w:spacing w:after="0" w:line="302"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and leverage ratios.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or revenue multiples will result in a higher (lower) estimate of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w:t>
      </w:r>
    </w:p>
    <w:p>
      <w:pPr>
        <w:spacing w:after="0" w:line="16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Because the TRS was wound down in a prior period, only comparative period disclosures are included herein. For the three and nine months ended September 30, 2016, the Company received $0.5 million and $1.6 million, respectively, in dividend income from its equity interest in CSLLF.</w:t>
      </w:r>
    </w:p>
    <w:p>
      <w:pPr>
        <w:spacing w:after="0" w:line="14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66"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was recorded on CSLLF’s statements of assets and liabilities as cash held as collateral on total return swap. The cash collateral represented CSLLF’s maximum credit exposure as of December 31, 2016.</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180" w:firstLine="648"/>
        <w:spacing w:after="0" w:line="277" w:lineRule="auto"/>
        <w:rPr>
          <w:sz w:val="20"/>
          <w:szCs w:val="20"/>
          <w:color w:val="auto"/>
        </w:rPr>
      </w:pPr>
      <w:r>
        <w:rPr>
          <w:rFonts w:ascii="Arial" w:cs="Arial" w:eastAsia="Arial" w:hAnsi="Arial"/>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CSLLF’s receivable due on the TRS represents realized amounts from payments on underlying loans in the total return swap portfolio. At December 31, 2016, the receivable due on TRS was $0.1 million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147"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Transactions in TRS contracts during the three and nine months ended September 30, 2016 resulted in $1.4 million and $2.8 million, respectively, in realized gains and $0.8 million and $2.4 million, respectively, in unrealized appreciation, which was recorded on CSLLF’s statements of operations below.</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three and nine months ended September 30,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2016</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 2016</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notional par amount of contract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three and nine months ended September 30, 2016 (dollars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Selected Statements of Assets and Liabilities:</w:t>
            </w: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26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Receivable due on Total Return Swap</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Distribution payable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net assets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2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liabilities and net assets</w:t>
            </w:r>
          </w:p>
        </w:tc>
        <w:tc>
          <w:tcPr>
            <w:tcW w:w="2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ind w:left="640"/>
              <w:spacing w:after="0"/>
              <w:rPr>
                <w:sz w:val="20"/>
                <w:szCs w:val="20"/>
                <w:color w:val="auto"/>
              </w:rPr>
            </w:pPr>
            <w:r>
              <w:rPr>
                <w:rFonts w:ascii="Arial" w:cs="Arial" w:eastAsia="Arial" w:hAnsi="Arial"/>
                <w:sz w:val="18"/>
                <w:szCs w:val="18"/>
                <w:b w:val="1"/>
                <w:bCs w:val="1"/>
                <w:color w:val="auto"/>
              </w:rPr>
              <w:t>Selected Statements of Operations (unaudited):</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 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operating loss</w:t>
            </w:r>
          </w:p>
        </w:tc>
        <w:tc>
          <w:tcPr>
            <w:tcW w:w="19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realized gain on Total Return Swap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Total Return Swap</w:t>
            </w: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19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960" w:type="dxa"/>
            <w:vAlign w:val="bottom"/>
            <w:vMerge w:val="restart"/>
          </w:tcPr>
          <w:p>
            <w:pPr>
              <w:jc w:val="right"/>
              <w:ind w:right="15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or by a majority of our outstanding voting securities, including, in either case, by a majority of our non-interested directors. The Investment Advisory Agreement was most recently re-approved by the Board, including by a majority of our non-interested directors, at an in-person meeting on August 3, 2017.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89"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left="640" w:right="56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73"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169" w:lineRule="exact"/>
        <w:rPr>
          <w:sz w:val="20"/>
          <w:szCs w:val="20"/>
          <w:color w:val="auto"/>
        </w:rPr>
      </w:pPr>
    </w:p>
    <w:p>
      <w:pPr>
        <w:ind w:left="5640" w:right="1440" w:hanging="5321"/>
        <w:spacing w:after="0" w:line="778" w:lineRule="auto"/>
        <w:tabs>
          <w:tab w:leader="none" w:pos="639"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left="620" w:hanging="301"/>
        <w:spacing w:after="0" w:line="25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88" w:lineRule="exact"/>
        <w:rPr>
          <w:rFonts w:ascii="Arial" w:cs="Arial" w:eastAsia="Arial" w:hAnsi="Arial"/>
          <w:sz w:val="18"/>
          <w:szCs w:val="18"/>
          <w:color w:val="auto"/>
        </w:rPr>
      </w:pPr>
    </w:p>
    <w:p>
      <w:pPr>
        <w:ind w:left="620" w:hanging="301"/>
        <w:spacing w:after="0" w:line="26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The waiver was effective in the fourth quarter of 2015 and will continue unless otherwise publicly disclosed by the Company.</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7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September 30, 2017 and December 31, 2016, the Company had incentive fees payable to the Investment Advisor of $2.2 million and $6.4 million, respectively.</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three months ended September 30, 2017 and 2016, the Company incurred $2.4 million and $2.6 million in base management fees, respectively. The Company incurred $0.0 million and $1.8 million in incentive fees related to pre-incentive fee net investment income for the three months ended September 30, 2017 and 2016, respectively. For the three months ended September 30, 2017 and 2016, the Investment Advisor waived incentive fees of $0.0 million and $0.3 million, respectively.</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nine months ended September 30, 2017 and 2016, the Company incurred $7.4 million and $8.0 million in base management fees, respectively. The Company incurred $1.3 million and $5.2 million in incentive fees related to pre-incentive fee net investment income for the nine months ended September 30, 2017 and 2016, respectively. For the nine months ended September 30, 2017 and 2016, the Investment Advisor waived incentive fees of $1.0 million and $1.7 million, respectively.</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September 24, 2013,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NAV,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and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if approved annually by the Board. The Board most recently approved the renewal of the Administration Agreement on August 3, 2017.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right="40" w:firstLine="648"/>
        <w:spacing w:after="0" w:line="286" w:lineRule="auto"/>
        <w:rPr>
          <w:sz w:val="20"/>
          <w:szCs w:val="20"/>
          <w:color w:val="auto"/>
        </w:rPr>
      </w:pPr>
      <w:r>
        <w:rPr>
          <w:rFonts w:ascii="Arial" w:cs="Arial" w:eastAsia="Arial" w:hAnsi="Arial"/>
          <w:sz w:val="17"/>
          <w:szCs w:val="17"/>
          <w:color w:val="auto"/>
        </w:rPr>
        <w:t>For the three and nine months ended September 30, 2017, the Company paid the Administrator $0.3 million and $0.8 million, respectively, for the Company’s allocable portion of the Administrator’s overhead. For the three and nine months ended September 30, 2016, the Company paid the Administrator $0.3 million and $0.8 million, respectively, for the Company’s allocable portion of the Administrator’s overhead.</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At September 30, 2017 and December 31, 2016, the Company had the following receivables from (payables to) related parties relating to certain management fees, incentive fees, reimbursable expenses, and other payments owed to related parties (dollars in thousands):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CapitalSouth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CapitalSouth Partners Florida Sidecar Fund II, L.P.</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Capitala Investment Advisors, LLC</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(6,426)</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 See Note 4 for a further description of this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through its two wholly owned subsidiaries, uses debenture leverage provided through the SBA to fund a portion of its investment portfolio. As of September 30, 2017 and December 31, 2016, the Company has $170.7 million of SBA-guaranteed debentures outstanding. The Company has issued all SBA-guaranteed debentures that were permitted under each of the Legacy Funds’ respective SBIC licenses (as applicable), and there are no unused SBA debenture commitments remaining. SBA-guaranteed debentures are secured by a lien on all assets of Fund II and Fund III. As of September 30, 2017 and December 31, 2016, Fund II and Fund III had total assets of approximately $344.0 million and $349.4 million, respectively.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The Company intends to comply with the conditions of the order.</w:t>
      </w:r>
    </w:p>
    <w:p>
      <w:pPr>
        <w:spacing w:after="0" w:line="182"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weighted average interest rate for all SBA-guaranteed debentures as of September 30, 2017 and December 31, 2016 was 3.29%. In addition to the stated interest rate, the SBA also charges an annual fee on all SBA-guaranteed debentures issued, which is included in the Company’s interest expense. The weighted average annual fee for all SBA-guaranteed debentures as of September 30, 2017 and December 31, 2016 was 0.43%.</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interest expense and annual charges, and deferred financing costs on the SBA-guaranteed debentures for the three and nine months ended September 30, 2017 and 2016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For the three months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1"/>
              </w:rPr>
              <w:t>For the nine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and annual charges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0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6" w:name="page37"/>
    <w:bookmarkEnd w:id="36"/>
    <w:p>
      <w:pPr>
        <w:ind w:right="80" w:firstLine="648"/>
        <w:spacing w:after="0" w:line="277" w:lineRule="auto"/>
        <w:rPr>
          <w:sz w:val="20"/>
          <w:szCs w:val="20"/>
          <w:color w:val="auto"/>
        </w:rPr>
      </w:pPr>
      <w:r>
        <w:rPr>
          <w:rFonts w:ascii="Arial" w:cs="Arial" w:eastAsia="Arial" w:hAnsi="Arial"/>
          <w:sz w:val="18"/>
          <w:szCs w:val="18"/>
          <w:color w:val="auto"/>
        </w:rPr>
        <w:t>As of September 30, 2017 and December 31, 2016, the Company’s issued and outstanding SBA-guaranteed debentures mature as follows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SBA Annual</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Fixed Maturity Date</w:t>
            </w:r>
          </w:p>
        </w:tc>
        <w:tc>
          <w:tcPr>
            <w:tcW w:w="100" w:type="dxa"/>
            <w:vAlign w:val="bottom"/>
          </w:tcPr>
          <w:p>
            <w:pPr>
              <w:spacing w:after="0"/>
              <w:rPr>
                <w:sz w:val="20"/>
                <w:szCs w:val="20"/>
                <w:color w:val="auto"/>
              </w:rPr>
            </w:pPr>
          </w:p>
        </w:tc>
        <w:tc>
          <w:tcPr>
            <w:tcW w:w="1480" w:type="dxa"/>
            <w:vAlign w:val="bottom"/>
          </w:tcPr>
          <w:p>
            <w:pPr>
              <w:ind w:left="240"/>
              <w:spacing w:after="0"/>
              <w:rPr>
                <w:sz w:val="20"/>
                <w:szCs w:val="20"/>
                <w:color w:val="auto"/>
              </w:rPr>
            </w:pPr>
            <w:r>
              <w:rPr>
                <w:rFonts w:ascii="Arial" w:cs="Arial" w:eastAsia="Arial" w:hAnsi="Arial"/>
                <w:sz w:val="18"/>
                <w:szCs w:val="18"/>
                <w:b w:val="1"/>
                <w:bCs w:val="1"/>
                <w:color w:val="auto"/>
              </w:rPr>
              <w:t>Interest Rate</w:t>
            </w:r>
          </w:p>
        </w:tc>
        <w:tc>
          <w:tcPr>
            <w:tcW w:w="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Charge</w:t>
            </w:r>
          </w:p>
        </w:tc>
        <w:tc>
          <w:tcPr>
            <w:tcW w:w="26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March 1, 2019</w:t>
            </w:r>
          </w:p>
        </w:tc>
        <w:tc>
          <w:tcPr>
            <w:tcW w:w="100" w:type="dxa"/>
            <w:vAlign w:val="bottom"/>
            <w:vMerge w:val="continue"/>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w:t>
            </w:r>
          </w:p>
        </w:tc>
        <w:tc>
          <w:tcPr>
            <w:tcW w:w="1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0.941%</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September 1, 2020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19,000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4.084%</w:t>
            </w:r>
          </w:p>
        </w:tc>
        <w:tc>
          <w:tcPr>
            <w:tcW w:w="1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15,700</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4.084%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46,000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w:t>
            </w:r>
          </w:p>
        </w:tc>
        <w:tc>
          <w:tcPr>
            <w:tcW w:w="1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0.285%</w:t>
            </w: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2.766%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0.515%</w:t>
            </w: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0.515%</w:t>
            </w:r>
          </w:p>
        </w:tc>
        <w:tc>
          <w:tcPr>
            <w:tcW w:w="5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June 16, 2014, the Company issued $113.4 million in aggregate principal amount of 7.125% fixed-rate notes due 2021 (the “2021 Notes”). On May 26, 2017, the Company caused notices to be issued to the holders of its 2021 Notes regarding the Company’s exercise of its option to redeem all of the issued and outstanding 2021 Notes, pursuant to Section 1104 of the Indenture dated as of June 16, 2014, between the Company and U.S. Bank National Association, as trustee, and Section 1.01(h) of the First Supplemental Indenture dated as of June 16, 2014. The Company redeemed all $113.4 million in aggregate principal amount of the 2021 Notes on June 25, 2017. The Notes were redeemed at 100% of their principal amount ($25 per Note), plus the accrued and unpaid interest thereon from June 16, 2017, through, but excluding, June 25, 2017. As a result of the redemption, the Company recognized a loss on the extinguishment of debt of $0.0 million and $2.7 million, respectively, for the three and nine months ended September 30, 2017, due to the amortization of the deferred financing costs remaining on the 2021 Notes.</w:t>
      </w:r>
    </w:p>
    <w:p>
      <w:pPr>
        <w:spacing w:after="0" w:line="1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interest expense and deferred financing costs, excluding debt extinguishment costs, on the 2021 Notes for the three and nine months ended September 30, 2017 and 2016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For the three months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1"/>
              </w:rPr>
              <w:t>For the nine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is payable quarterly beginning August 31, 2017.</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interest expense and deferred financing costs on the 2022 Notes for the three and nine months ended September 30, 2017 and 2016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8"/>
              </w:rPr>
              <w:t>For the three months ended</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w w:val="98"/>
              </w:rPr>
              <w:t>For the 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September 30, 2016</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1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May 26, 2017, the Company issued $50.0 million in aggregate principal amount of 5.75% fixed-rate convertible notes due on May 31, 2022 (the “2022 Convertible Notes”). On June 26, 2017, the Company issued an additional $2.1 million in aggregate principal amount of the 2022 Convertible Notes pursuant to a partial exercise of the underwriters’ overallotment option. Interest is payable quarterly beginning August 31, 2017.</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color w:val="auto"/>
        </w:rPr>
        <w:t>The 2022 Convertible Notes are convertible, at the holder’s option, into shares of the Company’s common stock at any time on or prior to the close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business on the business day immediately preceding the maturity date. The conversion rate for the 2022 Convertible Notes is initially 1.5913 shares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principal amount of 2022 Convertible Notes (equivalent to an initial conversion price of approximately $15.71 per share of common stock).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premium is approximately 14.0%. Upon conversion, the Company will deliver shares of its common stock (and cash in lieu of fractional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conversion rate is subject to adjustment if certain events occur as outlined in the supplemental indenture relating to the 2022 Convertible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has determined that the embedded conversion option in the 2022 Convertible Notes is not required to be separately accounted for as a derivative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GAAP.</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interest expense and deferred financing costs on the 2022 Convertible Notes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8"/>
              </w:rPr>
              <w:t>For the three months ended</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w w:val="98"/>
              </w:rPr>
              <w:t>For the 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September 30, 2016</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October 17, 2014, the Company entered into a senior secured revolving credit agreement (the “Credit Facility”) with ING Capital, LLC, as administrative agent, arranger, and bookrunner, and the lenders party thereto. On June 16, 2017, the Company entered into an amendment to its Credit Facility with ING Capital, LLC (the “Amendment”). Pursuant to the Amendment, the Credit Facility currently provides for borrowings up to $114.5 million and may be increased up to $200.0 million pursuant to its “accordion” feature. The Credit Facility matures on June 16, 2021.</w:t>
      </w:r>
    </w:p>
    <w:p>
      <w:pPr>
        <w:spacing w:after="0" w:line="17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Borrowings under the Credit Facility bear interest, at the Company’s election, at a rate per annum equal to (i) the one, two, three or six month LIBOR, as applicable, plus 3.00% or (ii) 2.00% plus the highest of (A) a prime rate, (B) the Federal Funds rate plus 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Amendment provides for the ability to step-down the pricing of the Credit Facility from LIBOR plus 3.00% to LIBOR plus 2.75% when certain conditions are met.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interest expense, deferred financing costs, and unused commitment fees on the Credit Facility for the three and nine months ended September 30, 2017 and 2016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4"/>
              </w:rPr>
              <w:t>For the three months ended</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1"/>
              </w:rPr>
              <w:t>For the nine months ended</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interest and financing expenses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September 30, 2017 and December 31, 2016, the Company had $0.0 million and $44.0 million, respectively, outstanding under the Credit Facility. The Credit Facility is secured by investments and cash held by Capitala Finance Corp., exclusive of assets held at our two SBIC subsidiaries. Assets pledged to secure the Credit Facility had a fair value of $185.4 million at September 30, 2017. As part of the terms of the Credit Facility, the Company may not make cash distributions with respect to any taxable year that exceed 110% (125% if the Company is not in default and its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the level of each financial liability within the fair value hierarchy (dollars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50"/>
              <w:spacing w:after="0" w:line="27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2022 Notes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75,900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Credit Facility</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carrying value and fair value of the Company’s financial liabilities disclosed, but not carried, at fair value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level of each financial liability within the fair value hierarchy (dollars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2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50"/>
              <w:spacing w:after="0" w:line="27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30"/>
                <w:szCs w:val="30"/>
                <w:b w:val="1"/>
                <w:bCs w:val="1"/>
                <w:color w:val="auto"/>
                <w:vertAlign w:val="superscript"/>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2021 Notes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115,888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100" w:type="dxa"/>
            <w:vAlign w:val="bottom"/>
            <w:shd w:val="clear" w:color="auto" w:fill="CCEEFF"/>
          </w:tcPr>
          <w:p>
            <w:pPr>
              <w:spacing w:after="0"/>
              <w:rPr>
                <w:sz w:val="19"/>
                <w:szCs w:val="19"/>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328,138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335,396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115,888</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219,508</w:t>
            </w: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Carrying value equals the gross principal outstanding at period end.</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estimated fair value of the 2021 Notes was based on the closing price as of the measurement date as the 2021 Notes were traded on the New York Stock Exchange under the ticker “CLA.”</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2017, the Company recognized directors fees expense of $0.1 million and $0.3 million, respectively. For the three and nine months ended September 30, 2016, the Company recognized directors fees expense of $0.1 million and $0.3 million, respectively. No compensation is expected to be paid to directors who are “interested persons” of the Company, as such term is defined in Section 2(a)(19) of the 1940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Summarized Financial Information of Our Unconsolidated Subsidiaries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September 30, 2017 and December 31, 2016, and for the nine months ended September 30, 2017 and September 30, 2016,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dividends, fees, and unrealized appreciation (depreciation), was $1.3 million and $1.4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$7.9 million and $11.0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Kelle’s Transport Service, LLC</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Kelle’s Transport Service, LLC, a Delaware limited liability company organized on March 28, 2014, provides temperature sensitive transportation services throughout North America. The loss the Company generated from Kelle’s Transport Service, LLC, which includes all interest, dividends, PIK interest and dividends, fees, and unrealized appreciation (depreciation), was $(3.7) million and $(1.2)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$0.8 million and $2.1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the Company generated from On-Site Fuel Service, Inc., which includes all interest, dividends, PIK interest and dividends, fees, and unrealized appreciation (depreciation), was $0.1 million and $1.9 million for the nine months ended September 30, 2017 and September 30,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Micro Precision, LLC, formed on August 5, 2011 as a Delaware limited liability company, is a prime contractor supplying critical parts and mechanical assemblies to the United States Department of Defense as well as designer and manufacturer of locomotive air horns. The income (loss) the Company generated from Micro Precision, LLC, which includes all interest, dividends, PIK interest and dividends, fees, and unrealized appreciation (depreciation), was $(0.2) million and $0.7 million for the nine months ended September 30, 2017 and September 30, 2016,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6"/>
                <w:szCs w:val="16"/>
                <w:color w:val="auto"/>
              </w:rPr>
            </w:pPr>
          </w:p>
        </w:tc>
        <w:tc>
          <w:tcPr>
            <w:tcW w:w="13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9,714</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12,247</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15,558</w:t>
            </w: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6"/>
                <w:szCs w:val="16"/>
                <w:color w:val="auto"/>
              </w:rPr>
            </w:pPr>
          </w:p>
        </w:tc>
        <w:tc>
          <w:tcPr>
            <w:tcW w:w="13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Sheet – Eastport Holdings, LLC</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150,772</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153,294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44,558</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46,669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nine months ended</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388,036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308,434</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305,926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4,739</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20" w:type="dxa"/>
            <w:vAlign w:val="bottom"/>
            <w:vMerge w:val="restart"/>
          </w:tcPr>
          <w:p>
            <w:pPr>
              <w:jc w:val="right"/>
              <w:ind w:right="9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6"/>
                <w:szCs w:val="16"/>
                <w:color w:val="auto"/>
              </w:rPr>
            </w:pPr>
          </w:p>
        </w:tc>
        <w:tc>
          <w:tcPr>
            <w:tcW w:w="13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Sheet – Kelle’s Transport Services, LLC</w:t>
            </w:r>
          </w:p>
        </w:tc>
        <w:tc>
          <w:tcPr>
            <w:tcW w:w="160" w:type="dxa"/>
            <w:vAlign w:val="bottom"/>
          </w:tcPr>
          <w:p>
            <w:pPr>
              <w:spacing w:after="0"/>
              <w:rPr>
                <w:sz w:val="20"/>
                <w:szCs w:val="20"/>
                <w:color w:val="auto"/>
              </w:rPr>
            </w:pPr>
          </w:p>
        </w:tc>
        <w:tc>
          <w:tcPr>
            <w:tcW w:w="1380" w:type="dxa"/>
            <w:vAlign w:val="bottom"/>
          </w:tcPr>
          <w:p>
            <w:pPr>
              <w:ind w:left="44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8,863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1580" w:type="dxa"/>
            <w:vAlign w:val="bottom"/>
            <w:gridSpan w:val="2"/>
          </w:tcPr>
          <w:p>
            <w:pPr>
              <w:ind w:left="900"/>
              <w:spacing w:after="0"/>
              <w:rPr>
                <w:sz w:val="20"/>
                <w:szCs w:val="20"/>
                <w:color w:val="auto"/>
              </w:rPr>
            </w:pPr>
            <w:r>
              <w:rPr>
                <w:rFonts w:ascii="Arial" w:cs="Arial" w:eastAsia="Arial" w:hAnsi="Arial"/>
                <w:sz w:val="18"/>
                <w:szCs w:val="18"/>
                <w:color w:val="auto"/>
              </w:rPr>
              <w:t>12,379</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3"/>
              </w:rPr>
              <w:t>21,242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12,073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1580" w:type="dxa"/>
            <w:vAlign w:val="bottom"/>
            <w:gridSpan w:val="2"/>
          </w:tcPr>
          <w:p>
            <w:pPr>
              <w:ind w:left="900"/>
              <w:spacing w:after="0"/>
              <w:rPr>
                <w:sz w:val="20"/>
                <w:szCs w:val="20"/>
                <w:color w:val="auto"/>
              </w:rPr>
            </w:pPr>
            <w:r>
              <w:rPr>
                <w:rFonts w:ascii="Arial" w:cs="Arial" w:eastAsia="Arial" w:hAnsi="Arial"/>
                <w:sz w:val="18"/>
                <w:szCs w:val="18"/>
                <w:color w:val="auto"/>
              </w:rPr>
              <w:t>17,487</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3"/>
              </w:rPr>
              <w:t>29,560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(8,318)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nine months ended</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6"/>
                <w:szCs w:val="16"/>
                <w:color w:val="auto"/>
              </w:rPr>
            </w:pPr>
          </w:p>
        </w:tc>
      </w:t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Kelle’s Transport Services, LLC</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37,879</w:t>
            </w:r>
          </w:p>
        </w:tc>
        <w:tc>
          <w:tcPr>
            <w:tcW w:w="1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41,198</w:t>
            </w:r>
          </w:p>
        </w:tc>
      </w:tr>
      <w:tr>
        <w:trPr>
          <w:trHeight w:val="210"/>
        </w:trPr>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provision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Balance Sheets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10,906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9,219</w:t>
            </w:r>
          </w:p>
        </w:tc>
        <w:tc>
          <w:tcPr>
            <w:tcW w:w="4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(10,191)</w:t>
            </w:r>
          </w:p>
        </w:tc>
        <w:tc>
          <w:tcPr>
            <w:tcW w:w="1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16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16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3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60" w:type="dxa"/>
            <w:vAlign w:val="bottom"/>
            <w:gridSpan w:val="2"/>
          </w:tcPr>
          <w:p>
            <w:pPr>
              <w:spacing w:after="0"/>
              <w:rPr>
                <w:sz w:val="16"/>
                <w:szCs w:val="16"/>
                <w:color w:val="auto"/>
              </w:rPr>
            </w:pPr>
          </w:p>
        </w:tc>
      </w:tr>
      <w:tr>
        <w:trPr>
          <w:trHeight w:val="232"/>
        </w:trPr>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-1155700</wp:posOffset>
            </wp:positionV>
            <wp:extent cx="61575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-881380</wp:posOffset>
            </wp:positionV>
            <wp:extent cx="615759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60" w:space="720"/>
            <w:col w:w="4440"/>
          </w:cols>
          <w:pgMar w:left="240" w:top="918"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19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5"/>
              <w:spacing w:after="0" w:line="19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80"/>
              <w:spacing w:after="0" w:line="192" w:lineRule="exact"/>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4,655</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8,098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2,473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7,006</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6,719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9,479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deficit</w:t>
            </w:r>
          </w:p>
        </w:tc>
        <w:tc>
          <w:tcPr>
            <w:tcW w:w="22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(1,381)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5"/>
          </w:tcPr>
          <w:p>
            <w:pPr>
              <w:ind w:left="440"/>
              <w:spacing w:after="0"/>
              <w:rPr>
                <w:sz w:val="20"/>
                <w:szCs w:val="20"/>
                <w:color w:val="auto"/>
              </w:rPr>
            </w:pPr>
            <w:r>
              <w:rPr>
                <w:rFonts w:ascii="Arial" w:cs="Arial" w:eastAsia="Arial" w:hAnsi="Arial"/>
                <w:sz w:val="18"/>
                <w:szCs w:val="18"/>
                <w:b w:val="1"/>
                <w:bCs w:val="1"/>
                <w:color w:val="auto"/>
              </w:rPr>
              <w:t>For the nine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 of Operations - Navis Holdings, Inc.</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ind w:left="44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9,990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980"/>
              <w:spacing w:after="0"/>
              <w:rPr>
                <w:sz w:val="20"/>
                <w:szCs w:val="20"/>
                <w:color w:val="auto"/>
              </w:rPr>
            </w:pPr>
            <w:r>
              <w:rPr>
                <w:rFonts w:ascii="Arial" w:cs="Arial" w:eastAsia="Arial" w:hAnsi="Arial"/>
                <w:sz w:val="18"/>
                <w:szCs w:val="18"/>
                <w:color w:val="auto"/>
              </w:rPr>
              <w:t>6,251</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4"/>
              </w:rPr>
              <w:t>3,739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3,389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ind w:left="660"/>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79"/>
              </w:rPr>
              <w:t>210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20" w:type="dxa"/>
            <w:vAlign w:val="bottom"/>
            <w:vMerge w:val="restart"/>
          </w:tcPr>
          <w:p>
            <w:pPr>
              <w:jc w:val="right"/>
              <w:ind w:right="95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42" w:name="page43"/>
    <w:bookmarkEnd w:id="42"/>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3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Sheets - On-Site Fuel Services, Inc.</w:t>
            </w: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22,930</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34,215</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93,013</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62,522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3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Balance Sheets - Micro Precision, LLC</w:t>
            </w: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19,808</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13,951</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Micro Precision, LLC</w:t>
            </w:r>
          </w:p>
        </w:tc>
        <w:tc>
          <w:tcPr>
            <w:tcW w:w="16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Income/(loss) before income taxes</w:t>
            </w: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gridSpan w:val="3"/>
          </w:tcPr>
          <w:p>
            <w:pPr>
              <w:spacing w:after="0"/>
              <w:rPr>
                <w:sz w:val="20"/>
                <w:szCs w:val="20"/>
                <w:color w:val="auto"/>
              </w:rPr>
            </w:pPr>
            <w:r>
              <w:rPr>
                <w:rFonts w:ascii="Arial" w:cs="Arial" w:eastAsia="Arial" w:hAnsi="Arial"/>
                <w:sz w:val="18"/>
                <w:szCs w:val="18"/>
                <w:color w:val="auto"/>
              </w:rPr>
              <w:t>Net income/(loss)</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accordance with the provisions of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September 30, 2017, all convertible shares related to the 2022 Convertible Notes were considered anti-dilutive. As of September 30, 2016, there were no dilutive shares.</w:t>
      </w:r>
    </w:p>
    <w:p>
      <w:pPr>
        <w:spacing w:after="0" w:line="17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(decrease) in net assets per share from operations for the three and nine months ended September 30, 2017 and September 30, 2016 (dollars in thousands, except share and per share data):</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For the three months ended</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nine months ended</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80" w:type="dxa"/>
            <w:vAlign w:val="bottom"/>
          </w:tcPr>
          <w:p>
            <w:pPr>
              <w:spacing w:after="0"/>
              <w:rPr>
                <w:sz w:val="19"/>
                <w:szCs w:val="19"/>
                <w:color w:val="auto"/>
              </w:rPr>
            </w:pPr>
          </w:p>
        </w:tc>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September 30, 2017</w:t>
            </w:r>
          </w:p>
        </w:tc>
        <w:tc>
          <w:tcPr>
            <w:tcW w:w="15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8"/>
              </w:rPr>
              <w:t>September 30, 2016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5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9"/>
              </w:rPr>
              <w:t>September 30, 2016</w:t>
            </w:r>
          </w:p>
        </w:tc>
        <w:tc>
          <w:tcPr>
            <w:tcW w:w="80" w:type="dxa"/>
            <w:vAlign w:val="bottom"/>
          </w:tcPr>
          <w:p>
            <w:pPr>
              <w:spacing w:after="0"/>
              <w:rPr>
                <w:sz w:val="19"/>
                <w:szCs w:val="19"/>
                <w:color w:val="auto"/>
              </w:rPr>
            </w:pPr>
          </w:p>
        </w:tc>
      </w:tr>
      <w:tr>
        <w:trPr>
          <w:trHeight w:val="195"/>
        </w:trPr>
        <w:tc>
          <w:tcPr>
            <w:tcW w:w="3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increase (decrease) in net assets from</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operations – basic and diluted</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(5,753)</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(6,395)</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CEEFF"/>
          </w:tcPr>
          <w:p>
            <w:pPr>
              <w:spacing w:after="0"/>
              <w:rPr>
                <w:sz w:val="20"/>
                <w:szCs w:val="20"/>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w w:val="90"/>
              </w:rPr>
              <w:t>Weighted average common shares outstanding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15,911,160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15,829,878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15,891,636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15,807,801</w:t>
            </w:r>
          </w:p>
        </w:tc>
        <w:tc>
          <w:tcPr>
            <w:tcW w:w="80" w:type="dxa"/>
            <w:vAlign w:val="bottom"/>
          </w:tcPr>
          <w:p>
            <w:pPr>
              <w:spacing w:after="0"/>
              <w:rPr>
                <w:sz w:val="20"/>
                <w:szCs w:val="20"/>
                <w:color w:val="auto"/>
              </w:rPr>
            </w:pPr>
          </w:p>
        </w:tc>
      </w:tr>
      <w:tr>
        <w:trPr>
          <w:trHeight w:val="202"/>
        </w:trPr>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increase (decrease) in net assets per share</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from operations – basic and diluted</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r>
    </w:tbl>
    <w:p>
      <w:pPr>
        <w:sectPr>
          <w:pgSz w:w="11900" w:h="16838" w:orient="portrait"/>
          <w:cols w:equalWidth="0" w:num="1">
            <w:col w:w="11420"/>
          </w:cols>
          <w:pgMar w:left="240" w:top="905" w:right="239" w:bottom="9" w:gutter="0" w:footer="0" w:header="0"/>
        </w:sectPr>
      </w:pPr>
    </w:p>
    <w:bookmarkStart w:id="43" w:name="page44"/>
    <w:bookmarkEnd w:id="43"/>
    <w:p>
      <w:pPr>
        <w:jc w:val="center"/>
        <w:ind w:right="-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12. Distributions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Company’s distributions are recorded as payable on the declaration date. Shareholders have the option to receive payment of their distribution in cash, shares of common stock, or a combination of cash and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2017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40" w:type="dxa"/>
            <w:vAlign w:val="bottom"/>
          </w:tcPr>
          <w:p>
            <w:pPr>
              <w:ind w:left="38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1720" w:type="dxa"/>
            <w:vAlign w:val="bottom"/>
          </w:tcPr>
          <w:p>
            <w:pPr>
              <w:ind w:left="38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Distribution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30, 2017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0.13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January 3, 2017</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20,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February 27, 2017</w:t>
            </w:r>
          </w:p>
        </w:tc>
        <w:tc>
          <w:tcPr>
            <w:tcW w:w="1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23,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March 30, 2017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April 3, 2017</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April 19,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April 27, 2017</w:t>
            </w:r>
          </w:p>
        </w:tc>
        <w:tc>
          <w:tcPr>
            <w:tcW w:w="1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April 3, 2017</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23,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May 29, 2017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April 3, 2017</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June 21,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June 29, 2017</w:t>
            </w:r>
          </w:p>
        </w:tc>
        <w:tc>
          <w:tcPr>
            <w:tcW w:w="1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7,959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21,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28, 2017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July 3, 2017</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August 23, 2017</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August 30, 2017</w:t>
            </w:r>
          </w:p>
        </w:tc>
        <w:tc>
          <w:tcPr>
            <w:tcW w:w="1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13,162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July 3, 2017</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20, 2017</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28, 2017</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r>
      <w:tr>
        <w:trPr>
          <w:trHeight w:val="223"/>
        </w:trPr>
        <w:tc>
          <w:tcPr>
            <w:tcW w:w="3680" w:type="dxa"/>
            <w:vAlign w:val="bottom"/>
            <w:gridSpan w:val="3"/>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1.17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2016 (dollars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DRIP</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w:t>
            </w:r>
          </w:p>
        </w:tc>
      </w:tr>
      <w:tr>
        <w:trPr>
          <w:trHeight w:val="234"/>
        </w:trPr>
        <w:tc>
          <w:tcPr>
            <w:tcW w:w="1840" w:type="dxa"/>
            <w:vAlign w:val="bottom"/>
          </w:tcPr>
          <w:p>
            <w:pPr>
              <w:ind w:left="38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1720" w:type="dxa"/>
            <w:vAlign w:val="bottom"/>
          </w:tcPr>
          <w:p>
            <w:pPr>
              <w:ind w:left="38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1720" w:type="dxa"/>
            <w:vAlign w:val="bottom"/>
          </w:tcPr>
          <w:p>
            <w:pPr>
              <w:ind w:left="32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Distribution</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28, 2016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0.1567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January 4,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19,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February 26, 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7,076</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22,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30,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April 1,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April 22,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April 28, 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6,625</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23,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30,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April 1,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June 21,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June 29, 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8,229</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22,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29, 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July 1,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August 22, 2016</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August 30, 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6,256</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22, 2016</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29, 2016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0.1567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23"/>
        </w:trPr>
        <w:tc>
          <w:tcPr>
            <w:tcW w:w="3680" w:type="dxa"/>
            <w:vAlign w:val="bottom"/>
            <w:gridSpan w:val="3"/>
          </w:tcPr>
          <w:p>
            <w:pPr>
              <w:ind w:left="180"/>
              <w:spacing w:after="0"/>
              <w:rPr>
                <w:sz w:val="20"/>
                <w:szCs w:val="20"/>
                <w:color w:val="auto"/>
              </w:rPr>
            </w:pPr>
            <w:r>
              <w:rPr>
                <w:rFonts w:ascii="Arial" w:cs="Arial" w:eastAsia="Arial" w:hAnsi="Arial"/>
                <w:sz w:val="18"/>
                <w:szCs w:val="18"/>
                <w:color w:val="auto"/>
              </w:rPr>
              <w:t>Total Distributions Declared and Distributed</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1.41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66,814</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40</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is a schedule of financial highlights for the nine months ended September 30, 2017 and 2016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720" w:type="dxa"/>
            <w:vAlign w:val="bottom"/>
            <w:gridSpan w:val="4"/>
          </w:tcPr>
          <w:p>
            <w:pPr>
              <w:ind w:left="960"/>
              <w:spacing w:after="0"/>
              <w:rPr>
                <w:sz w:val="20"/>
                <w:szCs w:val="20"/>
                <w:color w:val="auto"/>
              </w:rPr>
            </w:pPr>
            <w:r>
              <w:rPr>
                <w:rFonts w:ascii="Arial" w:cs="Arial" w:eastAsia="Arial" w:hAnsi="Arial"/>
                <w:sz w:val="18"/>
                <w:szCs w:val="18"/>
                <w:b w:val="1"/>
                <w:bCs w:val="1"/>
                <w:color w:val="auto"/>
              </w:rPr>
              <w:t>September 30, 2017</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September 30, 2016</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9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15.79</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17.04</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29"/>
                <w:szCs w:val="29"/>
                <w:color w:val="auto"/>
                <w:vertAlign w:val="superscript"/>
              </w:rPr>
              <w:t>(1)</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Net realized loss on investments </w:t>
            </w:r>
            <w:r>
              <w:rPr>
                <w:rFonts w:ascii="Arial" w:cs="Arial" w:eastAsia="Arial" w:hAnsi="Arial"/>
                <w:sz w:val="29"/>
                <w:szCs w:val="29"/>
                <w:color w:val="auto"/>
                <w:vertAlign w:val="superscript"/>
              </w:rPr>
              <w:t>(1)</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29"/>
                <w:szCs w:val="29"/>
                <w:color w:val="auto"/>
                <w:vertAlign w:val="superscript"/>
              </w:rPr>
              <w:t>(1)</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Net unrealized depreciation on Written Call Option </w:t>
            </w:r>
            <w:r>
              <w:rPr>
                <w:rFonts w:ascii="Arial" w:cs="Arial" w:eastAsia="Arial" w:hAnsi="Arial"/>
                <w:sz w:val="29"/>
                <w:szCs w:val="29"/>
                <w:color w:val="auto"/>
                <w:vertAlign w:val="superscript"/>
              </w:rPr>
              <w:t>(1)</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Change in provision for deferred taxes on unrealized appreciation on investments</w:t>
            </w:r>
            <w:r>
              <w:rPr>
                <w:rFonts w:ascii="Arial" w:cs="Arial" w:eastAsia="Arial" w:hAnsi="Arial"/>
                <w:sz w:val="29"/>
                <w:szCs w:val="29"/>
                <w:color w:val="auto"/>
                <w:vertAlign w:val="superscript"/>
              </w:rPr>
              <w:t>(1)</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70"/>
        </w:trPr>
        <w:tc>
          <w:tcPr>
            <w:tcW w:w="69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30"/>
                <w:szCs w:val="30"/>
                <w:color w:val="auto"/>
                <w:vertAlign w:val="superscript"/>
              </w:rPr>
              <w:t>(7)</w:t>
            </w: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9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248,377</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15,930,631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15,844,159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9.54</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29"/>
                <w:szCs w:val="29"/>
                <w:color w:val="auto"/>
                <w:vertAlign w:val="superscript"/>
              </w:rPr>
              <w:t>(2)</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(18.50)%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29"/>
                <w:szCs w:val="29"/>
                <w:color w:val="auto"/>
                <w:vertAlign w:val="superscript"/>
              </w:rPr>
              <w:t>(9)</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incentive fee, net of incentive fee waiver, to average net assets </w:t>
            </w:r>
            <w:r>
              <w:rPr>
                <w:rFonts w:ascii="Arial" w:cs="Arial" w:eastAsia="Arial" w:hAnsi="Arial"/>
                <w:sz w:val="29"/>
                <w:szCs w:val="29"/>
                <w:color w:val="auto"/>
                <w:vertAlign w:val="superscript"/>
              </w:rPr>
              <w:t>(6)(10)</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Ratio of interest and financing expenses to average net assets </w:t>
            </w:r>
            <w:r>
              <w:rPr>
                <w:rFonts w:ascii="Arial" w:cs="Arial" w:eastAsia="Arial" w:hAnsi="Arial"/>
                <w:sz w:val="29"/>
                <w:szCs w:val="29"/>
                <w:color w:val="auto"/>
                <w:vertAlign w:val="superscript"/>
              </w:rPr>
              <w:t>(8)</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7.76%</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loss on extinguishment of debt to average net assets </w:t>
            </w:r>
            <w:r>
              <w:rPr>
                <w:rFonts w:ascii="Arial" w:cs="Arial" w:eastAsia="Arial" w:hAnsi="Arial"/>
                <w:sz w:val="29"/>
                <w:szCs w:val="29"/>
                <w:color w:val="auto"/>
                <w:vertAlign w:val="superscript"/>
              </w:rPr>
              <w:t>(10)</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Ratio of other operating expenses, to average net assets </w:t>
            </w:r>
            <w:r>
              <w:rPr>
                <w:rFonts w:ascii="Arial" w:cs="Arial" w:eastAsia="Arial" w:hAnsi="Arial"/>
                <w:sz w:val="29"/>
                <w:szCs w:val="29"/>
                <w:color w:val="auto"/>
                <w:vertAlign w:val="superscript"/>
              </w:rPr>
              <w:t>(8)</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Ratio of total expenses, net of fee waivers to average net assets </w:t>
            </w:r>
            <w:r>
              <w:rPr>
                <w:rFonts w:ascii="Arial" w:cs="Arial" w:eastAsia="Arial" w:hAnsi="Arial"/>
                <w:sz w:val="29"/>
                <w:szCs w:val="29"/>
                <w:color w:val="auto"/>
                <w:vertAlign w:val="superscript"/>
              </w:rPr>
              <w:t>(6)(9)</w:t>
            </w: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15.20%</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w:t>
            </w:r>
          </w:p>
        </w:tc>
      </w:tr>
      <w:tr>
        <w:trPr>
          <w:trHeight w:val="257"/>
        </w:trPr>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Portfolio turnover rate </w:t>
            </w:r>
            <w:r>
              <w:rPr>
                <w:rFonts w:ascii="Arial" w:cs="Arial" w:eastAsia="Arial" w:hAnsi="Arial"/>
                <w:sz w:val="29"/>
                <w:szCs w:val="29"/>
                <w:color w:val="auto"/>
                <w:vertAlign w:val="superscript"/>
              </w:rPr>
              <w:t>(3)</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29"/>
                <w:szCs w:val="29"/>
                <w:color w:val="auto"/>
                <w:vertAlign w:val="superscript"/>
              </w:rPr>
              <w:t>(4)</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333,572</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364,430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Average debt outstanding per common share</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20.94</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23.00</w:t>
            </w: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Asset coverage ratio per unit </w:t>
            </w:r>
            <w:r>
              <w:rPr>
                <w:rFonts w:ascii="Arial" w:cs="Arial" w:eastAsia="Arial" w:hAnsi="Arial"/>
                <w:sz w:val="29"/>
                <w:szCs w:val="29"/>
                <w:color w:val="auto"/>
                <w:vertAlign w:val="superscript"/>
              </w:rPr>
              <w:t>(5)</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2,781</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w:t>
            </w:r>
          </w:p>
        </w:tc>
      </w:tr>
    </w:tbl>
    <w:p>
      <w:pPr>
        <w:spacing w:after="0" w:line="20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23" w:lineRule="exact"/>
        <w:rPr>
          <w:rFonts w:ascii="Arial" w:cs="Arial" w:eastAsia="Arial" w:hAnsi="Arial"/>
          <w:sz w:val="18"/>
          <w:szCs w:val="18"/>
          <w:color w:val="auto"/>
        </w:rPr>
      </w:pPr>
    </w:p>
    <w:p>
      <w:pPr>
        <w:ind w:left="520" w:right="8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ind w:left="520" w:right="8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9" w:lineRule="exact"/>
        <w:rPr>
          <w:rFonts w:ascii="Arial" w:cs="Arial" w:eastAsia="Arial" w:hAnsi="Arial"/>
          <w:sz w:val="18"/>
          <w:szCs w:val="18"/>
          <w:color w:val="auto"/>
        </w:rPr>
      </w:pPr>
    </w:p>
    <w:p>
      <w:pPr>
        <w:ind w:left="520" w:right="60" w:hanging="512"/>
        <w:spacing w:after="0" w:line="265"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September 30, 2017 and September 30, 2016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indebtedness.</w:t>
      </w:r>
    </w:p>
    <w:p>
      <w:pPr>
        <w:spacing w:after="0" w:line="1" w:lineRule="exact"/>
        <w:rPr>
          <w:rFonts w:ascii="Arial" w:cs="Arial" w:eastAsia="Arial" w:hAnsi="Arial"/>
          <w:sz w:val="17"/>
          <w:szCs w:val="17"/>
          <w:color w:val="auto"/>
        </w:rPr>
      </w:pPr>
    </w:p>
    <w:p>
      <w:pPr>
        <w:ind w:left="520" w:hanging="512"/>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0.40% and 0.65% for the nine months ended September 30, 2017 and September 30, 2016.</w:t>
      </w:r>
    </w:p>
    <w:p>
      <w:pPr>
        <w:spacing w:after="0" w:line="32" w:lineRule="exact"/>
        <w:rPr>
          <w:rFonts w:ascii="Arial" w:cs="Arial" w:eastAsia="Arial" w:hAnsi="Arial"/>
          <w:sz w:val="16"/>
          <w:szCs w:val="16"/>
          <w:color w:val="auto"/>
        </w:rPr>
      </w:pPr>
    </w:p>
    <w:p>
      <w:pPr>
        <w:ind w:left="520" w:right="360" w:hanging="512"/>
        <w:spacing w:after="0" w:line="281"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Ratios are annualized. Incentive fees, net of incentive fee waiver, and loss on extinguishment of debt included within the ratio are not annualized.</w:t>
      </w:r>
    </w:p>
    <w:p>
      <w:pPr>
        <w:spacing w:after="0" w:line="20" w:lineRule="exact"/>
        <w:rPr>
          <w:rFonts w:ascii="Arial" w:cs="Arial" w:eastAsia="Arial" w:hAnsi="Arial"/>
          <w:sz w:val="17"/>
          <w:szCs w:val="17"/>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not 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 2017, the Company’s Board declared normal monthly distributions for October, November, and December of 2017 as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ind w:left="9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740" w:type="dxa"/>
            <w:vAlign w:val="bottom"/>
          </w:tcPr>
          <w:p>
            <w:pPr>
              <w:ind w:left="88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740" w:type="dxa"/>
            <w:vAlign w:val="bottom"/>
          </w:tcPr>
          <w:p>
            <w:pPr>
              <w:ind w:left="82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30, 2017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October 2, 2017</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November 21, 2017</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November 29, 2017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0.0833</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20, 2017</w:t>
            </w: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28, 2017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ectPr>
          <w:pgSz w:w="11900" w:h="16838" w:orient="portrait"/>
          <w:cols w:equalWidth="0" w:num="1">
            <w:col w:w="11420"/>
          </w:cols>
          <w:pgMar w:left="240" w:top="904" w:right="239" w:bottom="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On October 31, 2017, the Company funded $2.0 million of its unfunded commitment to CIS Secure Computing, Inc.</w:t>
      </w:r>
    </w:p>
    <w:p>
      <w:pPr>
        <w:sectPr>
          <w:pgSz w:w="11900" w:h="16838" w:orient="portrait"/>
          <w:cols w:equalWidth="0" w:num="1">
            <w:col w:w="9559"/>
          </w:cols>
          <w:pgMar w:left="90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specified, references to “we,” “us,” “our” or the “Company”, refer to Capitala Finance Corp.</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Some of the statements in the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181" w:lineRule="exact"/>
        <w:rPr>
          <w:sz w:val="20"/>
          <w:szCs w:val="20"/>
          <w:color w:val="auto"/>
        </w:rPr>
      </w:pPr>
    </w:p>
    <w:p>
      <w:pPr>
        <w:ind w:left="1620" w:hanging="315"/>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1660" w:right="340" w:hanging="342"/>
        <w:spacing w:after="0" w:line="277"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1660" w:hanging="342"/>
        <w:spacing w:after="0"/>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if we use leverage as part of our investment strategy; and</w:t>
      </w:r>
    </w:p>
    <w:p>
      <w:pPr>
        <w:spacing w:after="0" w:line="236" w:lineRule="exact"/>
        <w:rPr>
          <w:rFonts w:ascii="Arial" w:cs="Arial" w:eastAsia="Arial" w:hAnsi="Arial"/>
          <w:sz w:val="17"/>
          <w:szCs w:val="17"/>
          <w:color w:val="auto"/>
        </w:rPr>
      </w:pPr>
    </w:p>
    <w:p>
      <w:pPr>
        <w:ind w:left="1660" w:hanging="342"/>
        <w:spacing w:after="0"/>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our Annual Report on Form 10-K.</w:t>
      </w:r>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2016.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 million in trailing twelve month earnings before interest, tax, depreciation, and amortization (“EBITDA”).</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invest in first lien, second lien, and subordinated loans. Most of our debt investments are coupled with equity interests, whether in the form of detachable “penny” warrants or equity co-investments made pari-passu with our borrowers’ financial sponsors.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The Company is considered an investment company as defined in Accounting Standards Codification (“ASC”) Topic 946 </w:t>
      </w:r>
      <w:r>
        <w:rPr>
          <w:rFonts w:ascii="Arial" w:cs="Arial" w:eastAsia="Arial" w:hAnsi="Arial"/>
          <w:sz w:val="18"/>
          <w:szCs w:val="18"/>
          <w:i w:val="1"/>
          <w:iCs w:val="1"/>
          <w:color w:val="auto"/>
        </w:rPr>
        <w:t>– Financial Services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Companies </w:t>
      </w:r>
      <w:r>
        <w:rPr>
          <w:rFonts w:ascii="Arial" w:cs="Arial" w:eastAsia="Arial" w:hAnsi="Arial"/>
          <w:sz w:val="18"/>
          <w:szCs w:val="18"/>
          <w:color w:val="auto"/>
        </w:rPr>
        <w:t>(“ASC 946”).</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9" w:name="page50"/>
    <w:bookmarkEnd w:id="49"/>
    <w:p>
      <w:pPr>
        <w:ind w:right="120" w:firstLine="648"/>
        <w:spacing w:after="0" w:line="264" w:lineRule="auto"/>
        <w:rPr>
          <w:sz w:val="20"/>
          <w:szCs w:val="20"/>
          <w:color w:val="auto"/>
        </w:rPr>
      </w:pPr>
      <w:r>
        <w:rPr>
          <w:rFonts w:ascii="Arial" w:cs="Arial" w:eastAsia="Arial" w:hAnsi="Arial"/>
          <w:sz w:val="18"/>
          <w:szCs w:val="18"/>
          <w:color w:val="auto"/>
        </w:rPr>
        <w:t>The Company has formed and expects to continue to form certain taxable subsidiaries (the “Taxable Subsidiaries”), which are taxed as corporations for income tax purposes. These Taxable Subsidiaries allow the Company to make equity investments in companies organized as pass-through entities while continuing to satisfy the requirements of a RIC under the Code.</w:t>
      </w:r>
    </w:p>
    <w:p>
      <w:pPr>
        <w:spacing w:after="0" w:line="1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Florida Sidecar, and the Taxable Subsidiaries.</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Company’s financial statements as of September 30, 2017 are presented on a consolidated basis. The effects of all intercompany transactions between the Company and its subsidiaries (Fund II, Fund III, Florida Sidecar, and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54"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2016, filed with the SEC on March 7,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provided under Regulation S-X and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in its consolidated financial statements. The Company did not consolidate its interest in Capitala Senior Liquid Loan Fund I, LLC (“CSLLF”) during the periods it was in existence because the investment was not considered a substantially wholly owned investment company subsidiary. Further, CSLLF was a joint venture for which shared power existed relating to the decisions that most significantly impacted the economic performance of the entity. See Note 4 to the consolidated financial statements for description of the Company’s investment in CSLLF.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origination, amendment, structuring or diligence fees, monitoring fees, fees for providing managerial assistance and possibly consulting fees and performance-based fees. These fees will be recognized as they are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18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183" w:lineRule="exact"/>
        <w:rPr>
          <w:sz w:val="20"/>
          <w:szCs w:val="20"/>
          <w:color w:val="auto"/>
        </w:rPr>
      </w:pPr>
    </w:p>
    <w:p>
      <w:pPr>
        <w:jc w:val="both"/>
        <w:ind w:right="520" w:firstLine="648"/>
        <w:spacing w:after="0" w:line="289"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Valuations based on unadjusted quoted prices in active markets for identical assets or liabilities that the Company has the ability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practical expedient, the Company used net asset value (“NAV”) as the basis for the fair value of its investment in CSLLF for the periods held.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CSLLF recorded its underlying investments at fair value on a daily basis utilizing pricing information from third-party 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6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enterprise value waterfall approach is primarily utilized to value the Company’s equity securities, including warrants. However, the Company may utilize the enterprise value waterfall approach to value certain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Asset Approach</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asset approach values an investment based on value or the underlying collateral securing the investment. This approach is used when the Company has reason to believe that it will not collect all principal and interest in accordance with the contractual terms of the debt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Interest income and paid-in-kind interest income: </w:t>
      </w:r>
      <w:r>
        <w:rPr>
          <w:rFonts w:ascii="Arial" w:cs="Arial" w:eastAsia="Arial" w:hAnsi="Arial"/>
          <w:sz w:val="16"/>
          <w:szCs w:val="16"/>
          <w:color w:val="auto"/>
        </w:rPr>
        <w:t>Interest income is recorded on the accrual basis to the extent that such amounts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collected. The Company has loans in the portfolio that contain a payment-in-kind interest (“PIK interest”)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Generally, when interest and/or principal payments on a loan become 90 days or more past due, or when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interest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i w:val="1"/>
          <w:iCs w:val="1"/>
          <w:color w:val="auto"/>
        </w:rPr>
        <w:t xml:space="preserve">Dividend income and paid-in-kind dividends: </w:t>
      </w:r>
      <w:r>
        <w:rPr>
          <w:rFonts w:ascii="Arial" w:cs="Arial" w:eastAsia="Arial" w:hAnsi="Arial"/>
          <w:sz w:val="16"/>
          <w:szCs w:val="16"/>
          <w:color w:val="auto"/>
        </w:rPr>
        <w:t>Dividend income is recognized on the date dividends are declared. The Company holds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the PIK dividends are more likely than not to be collected, management may elect to continue accruing PIK dividends.</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investments in portfolio companies are recognized as income when the investment transaction closes. Prepayment penalties received by the Company for debt instruments repaid prior to the maturity date are recorded as income upon receipt.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20" w:firstLine="648"/>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Since the Company’s IPO, the Company has not accrued or paid excise tax.</w:t>
      </w:r>
    </w:p>
    <w:p>
      <w:pPr>
        <w:spacing w:after="0" w:line="18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Company’s Taxable Subsidiaries accrue income taxes payable based on the applicable statutory rates on the unrealized appreciation of the underlying investments held by the Taxable Subsidiaries. As of September 30, 2017, and December 31, 2016, the Company recorded a deferred tax liability of $2.7 million and $0.0 million, respectively. For the three and nine months ended September 30, 2017, the Company recorded a change in provision for deferred taxes on unrealized appreciation on investments of $2.7 million. For the three and nine months ended September 30, 2016, no change in provision for deferred taxes on unrealized appreciation on investments was recorded.</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2017 and December 31, 2016, there were no uncertain tax positions.</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September 30, 2017 and December 31, 2016.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Company’s activities from commencement of operations remain subject to examination by U.S. federal, state, and local tax authorities. No interest expense or penalties have been assessed as of September 30, 2017 and December 31, 2016. If the Company were required to recognize interest and penalties, if any, related to unrecognized tax benefits this would be recognized as income tax expense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2017, our portfolio consisted of investments in 46 portfolio companies with a fair value of approximately $471.1 million.</w:t>
      </w:r>
    </w:p>
    <w:p>
      <w:pPr>
        <w:spacing w:after="0" w:line="2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September 30, 2017, we made approximately $11.4 million of investments and had approximately $22.4 million in repayments and sales resulting in net repayments and sales of approximately $11.0 million for the period. During the three months ended September 30, 2016, we made approximately $26.0 million of investments and had approximately $111.9 million in repayments and sales resulting in net investments of approximately $85.9 million for the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180" w:firstLine="648"/>
        <w:spacing w:after="0" w:line="259" w:lineRule="auto"/>
        <w:rPr>
          <w:sz w:val="20"/>
          <w:szCs w:val="20"/>
          <w:color w:val="auto"/>
        </w:rPr>
      </w:pPr>
      <w:r>
        <w:rPr>
          <w:rFonts w:ascii="Arial" w:cs="Arial" w:eastAsia="Arial" w:hAnsi="Arial"/>
          <w:sz w:val="18"/>
          <w:szCs w:val="18"/>
          <w:color w:val="auto"/>
        </w:rPr>
        <w:t>During the nine months ended September 30, 2017, we made approximately $39.7 million of investments and had approximately $104.7 million in repayments and sales of investments resulting in net repayments and sales of approximately $65.0 million for the period. During the nine months ended September 30, 2016, we made approximately $53.9 million of investments and had approximately $128.6 million in repayments and sales resulting in net repayments and sales of approximately $74.7 million for the period.</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On August 31, 2016, we sold a portion of 14 securities across 10 portfolio companies to CapitalSouth Partners Florida Sidecar Fund II, L.P. (“FSC II”), including granting an option to acquire a portion of our equity investment in Eastport Holdings, LLC (the “Written Call Option”), in exchange for 100% of the partnership interests in FSC II. Concurrent with the sale of these assets to FSC II, we received cash consideration of $47.6 million from an affiliated third-party purchaser in exchange for 100% of the partnership interests of FSC II. These assets were sold to FSC II at their June 30, 2016 fair market values, resulting in a net realized gain of $0.1 million. Our Board pre-approved this transaction pursuant to Section 57(f) of the 1940 Act.</w:t>
      </w:r>
    </w:p>
    <w:p>
      <w:pPr>
        <w:spacing w:after="0" w:line="15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collected and will periodically collect principal and interest payments related to certain of the securities purchased by FSC II. Such principal and interest payments will be remitted timely to FSC II based on its proportionate share of the security. FSC II does not have any recourse to the Company related to the non-payment of principal or interest by the underlying issuers of the securities.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Written Call Option granted FSC II the right to purchase up to 31.25% of our equity investment in Eastport Holdings, LLC. The Written Call Option has a strike price of $1.5 million and a termination date of August 31, 2018. The fair value of the Written Call Option, which has been treated as a derivative liability and is recorded in the financial statement line item Written Call Option at fair value in our consolidated statements of assets and liabilities, was approximately $5.6 million as of September 30, 2017. For purposes of determining the fair value of the Written Call Option, we calculated the difference in the fair value of the underlying equity investment in Eastport Holdings, LLC and the strike price of the Written Call Option, or intrinsic value. The time value of the Written Call Option as of September 30, 2017 was determined to be insignificant. The Written Call Option is classified as a Level 3 financial instrument.</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of September 30, 2017, our average portfolio company investment and our largest portfolio company investment at amortized cost and fair value was approximately $9.9 million and $22.1 million, and $10.2 million and $38.9 million, respectively. As of September 30, 2017, the Company had approximately $52.3 million of cash and cash equivalents. As of December 31, 2016, our average portfolio company investment and our largest portfolio company investment at amortized cost and fair value was approximately $9.7 million and $10.2 million, and $22.1 million and $29.9 million, respectively. As of December 31, 2016, the Company had approximately $36.3 million of cash and cash equivalents.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September 30, 2017, our debt investment portfolio, which represented 76.0% of our total portfolio, had a weighted average annualized yield of approximately 12.9%, exclusive of the impact of our non-accrual debt investments. As of September 30, 2017, 58.2% of our debt investment portfolio was bearing a fixed rate of interest. As of December 31, 2016, our debt investment portfolio, which represented 82.8% of our total portfolio, had a weighted average annualized yield of approximately 13.2%, exclusive of the impact of our non-accrual debt investments. As of December 31, 2016, 57.1% of our debt investment portfolio was bearing a fixed rate of interest.</w:t>
      </w:r>
    </w:p>
    <w:p>
      <w:pPr>
        <w:spacing w:after="0" w:line="18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September 30, 2017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55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246,188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221,205</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32,284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30,774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120,161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and Warrants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56,081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113,108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52,307</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507,021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523,413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and cash and cash equivalents as of December 31,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Investments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4"/>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4"/>
              </w:rPr>
              <w:t>Percentage of</w:t>
            </w:r>
          </w:p>
        </w:tc>
      </w:tr>
      <w:tr>
        <w:trPr>
          <w:trHeight w:val="234"/>
        </w:trPr>
        <w:tc>
          <w:tcPr>
            <w:tcW w:w="37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Lien Debt</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74,559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71,483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148,849</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150,232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Equity and Warrants</w:t>
            </w: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45,721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93,346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16.2</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36,281</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36,281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550,057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577,920</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49</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December 31, 2016</w:t>
            </w:r>
          </w:p>
        </w:tc>
      </w:tr>
      <w:tr>
        <w:trPr>
          <w:trHeight w:val="191"/>
        </w:trPr>
        <w:tc>
          <w:tcPr>
            <w:tcW w:w="4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Investments at</w:t>
            </w:r>
          </w:p>
        </w:tc>
        <w:tc>
          <w:tcPr>
            <w:tcW w:w="14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Investments at</w:t>
            </w:r>
          </w:p>
        </w:tc>
        <w:tc>
          <w:tcPr>
            <w:tcW w:w="14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tcPr>
          <w:p>
            <w:pPr>
              <w:spacing w:after="0"/>
              <w:rPr>
                <w:sz w:val="16"/>
                <w:szCs w:val="16"/>
                <w:color w:val="auto"/>
              </w:rPr>
            </w:pPr>
          </w:p>
        </w:tc>
      </w:tr>
      <w:tr>
        <w:trPr>
          <w:trHeight w:val="234"/>
        </w:trPr>
        <w:tc>
          <w:tcPr>
            <w:tcW w:w="4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51,731</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Consumer Products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30,135</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30,209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29,232</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25,553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Information Technology</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24,490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24,232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23,033</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15,083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Specialty Retail</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21,288</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22,067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17,952</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Footwear Retail</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17,556</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19,236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Food Product Manufacturer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16,774</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Sales &amp; Marketing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16,173</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16,376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15,374</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14,915</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Bowling Products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13,330</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Textile Equipment Manufacturer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12,830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13,134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12,183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Fuel Transportation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10,303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10,913</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Healthcare Management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9,892</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10,851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Personal Digital Imaging</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Automobile Part Manufacturer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9,320</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10,076</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Consumer Electronics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20,818</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QSR Franchisor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8,404</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8,497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Conglomerate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7,603</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8,374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Oil &amp; Gas Engineering and Consulting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6,958</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Produce Distribution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6,182</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Farming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5,724</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11,779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Advertising &amp; Marketing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Restaurant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4,874</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4,857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Medical Device Distributor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25,768</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Printing Services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12,761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Online Merchandise Retailer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Home Repair Parts Manufacturer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3,213</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1,408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Household Product Manufacturer</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Retail Display &amp; Security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In-Home Healthcare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Automotive Chemicals &amp; Lubricants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2,230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Dental Practice Management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Home Décor Manufacturer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14,670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Bakery Supplies Distributor</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Construction Services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9,500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Specialty Clothing</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Satellite Communications</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Industrial Specialty Services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Specialty Defense Contractor</w:t>
            </w: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1,532</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471,106</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6" w:name="page57"/>
    <w:bookmarkEnd w:id="56"/>
    <w:p>
      <w:pPr>
        <w:ind w:right="60" w:firstLine="648"/>
        <w:spacing w:after="0" w:line="279"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September 30, 2017 and December 31, 2016 were made in portfolio companies located in the U.S.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September 30, 2017 and December 31, 2016 (dollars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September 30,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December 31, 2016</w:t>
            </w: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4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0"/>
              </w:rPr>
              <w:t>Investments at</w:t>
            </w:r>
          </w:p>
        </w:tc>
        <w:tc>
          <w:tcPr>
            <w:tcW w:w="14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rPr>
              <w:t>Percentage of</w:t>
            </w:r>
          </w:p>
        </w:tc>
        <w:tc>
          <w:tcPr>
            <w:tcW w:w="160" w:type="dxa"/>
            <w:vAlign w:val="bottom"/>
            <w:gridSpan w:val="2"/>
          </w:tcPr>
          <w:p>
            <w:pPr>
              <w:spacing w:after="0"/>
              <w:rPr>
                <w:sz w:val="16"/>
                <w:szCs w:val="16"/>
                <w:color w:val="auto"/>
              </w:rPr>
            </w:pPr>
          </w:p>
        </w:tc>
      </w:tr>
      <w:tr>
        <w:trPr>
          <w:trHeight w:val="234"/>
        </w:trPr>
        <w:tc>
          <w:tcPr>
            <w:tcW w:w="4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 Portfolio</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Total Portfolio</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South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231,305</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257,162</w:t>
            </w: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West</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97,503</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85,642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85,027</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118,682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Northeast</w:t>
            </w:r>
          </w:p>
        </w:tc>
        <w:tc>
          <w:tcPr>
            <w:tcW w:w="1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46,039</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68,613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471,106</w:t>
            </w:r>
          </w:p>
        </w:tc>
        <w:tc>
          <w:tcPr>
            <w:tcW w:w="2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ectPr>
          <w:pgSz w:w="11900" w:h="16838" w:orient="portrait"/>
          <w:cols w:equalWidth="0" w:num="1">
            <w:col w:w="11420"/>
          </w:cols>
          <w:pgMar w:left="240" w:top="908" w:right="239" w:bottom="1440" w:gutter="0" w:footer="0" w:header="0"/>
        </w:sectPr>
      </w:pPr>
    </w:p>
    <w:p>
      <w:pPr>
        <w:spacing w:after="0" w:line="221" w:lineRule="exact"/>
        <w:rPr>
          <w:sz w:val="20"/>
          <w:szCs w:val="20"/>
          <w:color w:val="auto"/>
        </w:rPr>
      </w:pPr>
    </w:p>
    <w:p>
      <w:pPr>
        <w:jc w:val="center"/>
        <w:ind w:right="396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396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580"/>
        <w:spacing w:after="0"/>
        <w:rPr>
          <w:sz w:val="20"/>
          <w:szCs w:val="20"/>
          <w:color w:val="auto"/>
        </w:rPr>
      </w:pPr>
      <w:r>
        <w:rPr>
          <w:rFonts w:ascii="Arial" w:cs="Arial" w:eastAsia="Arial" w:hAnsi="Arial"/>
          <w:sz w:val="16"/>
          <w:szCs w:val="16"/>
          <w:b w:val="1"/>
          <w:bCs w:val="1"/>
          <w:color w:val="auto"/>
        </w:rPr>
        <w:t>Definition</w:t>
      </w:r>
    </w:p>
    <w:p>
      <w:pPr>
        <w:spacing w:after="0" w:line="50" w:lineRule="exact"/>
        <w:rPr>
          <w:sz w:val="20"/>
          <w:szCs w:val="20"/>
          <w:color w:val="auto"/>
        </w:rPr>
      </w:pPr>
    </w:p>
    <w:p>
      <w:pPr>
        <w:sectPr>
          <w:pgSz w:w="11900" w:h="16838" w:orient="portrait"/>
          <w:cols w:equalWidth="0" w:num="2">
            <w:col w:w="5340" w:space="720"/>
            <w:col w:w="5360"/>
          </w:cols>
          <w:pgMar w:left="240" w:top="908" w:right="239" w:bottom="1440" w:gutter="0" w:footer="0" w:header="0"/>
          <w:type w:val="continuous"/>
        </w:sectPr>
      </w:pPr>
    </w:p>
    <w:p>
      <w:pPr>
        <w:ind w:left="1500" w:right="260" w:hanging="855"/>
        <w:spacing w:after="0" w:line="276"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general, the investment may be performing above our internal expectations. Full return of principal and interest is expected. Capital gain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ind w:left="1500" w:right="440" w:hanging="855"/>
        <w:spacing w:after="0" w:line="264"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 potential risks to the applicable investment are considered to be neutral or favorable compared to any potential risks at the time of the original investment. All new investments are initially given this rating.</w:t>
      </w:r>
    </w:p>
    <w:p>
      <w:pPr>
        <w:spacing w:after="0" w:line="181" w:lineRule="exact"/>
        <w:rPr>
          <w:sz w:val="20"/>
          <w:szCs w:val="20"/>
          <w:color w:val="auto"/>
        </w:rPr>
      </w:pPr>
    </w:p>
    <w:p>
      <w:pPr>
        <w:ind w:left="1500" w:right="100" w:hanging="855"/>
        <w:spacing w:after="0" w:line="264"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 financial covenants.</w:t>
      </w:r>
    </w:p>
    <w:p>
      <w:pPr>
        <w:spacing w:after="0" w:line="181" w:lineRule="exact"/>
        <w:rPr>
          <w:sz w:val="20"/>
          <w:szCs w:val="20"/>
          <w:color w:val="auto"/>
        </w:rPr>
      </w:pPr>
    </w:p>
    <w:p>
      <w:pPr>
        <w:ind w:left="1500" w:right="560" w:hanging="855"/>
        <w:spacing w:after="0" w:line="277"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 quantitative or qualitative risks may have increased substantially since the original investment. Loss of some or all principal is expected.</w:t>
      </w:r>
    </w:p>
    <w:p>
      <w:pPr>
        <w:spacing w:after="0" w:line="170" w:lineRule="exact"/>
        <w:rPr>
          <w:sz w:val="20"/>
          <w:szCs w:val="20"/>
          <w:color w:val="auto"/>
        </w:rPr>
      </w:pPr>
    </w:p>
    <w:p>
      <w:pPr>
        <w:ind w:left="1500" w:right="260" w:hanging="855"/>
        <w:spacing w:after="0" w:line="308" w:lineRule="auto"/>
        <w:tabs>
          <w:tab w:leader="none" w:pos="1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The investment rating of a particular investment should not, however, be deemed to be a guarantee of the investment’s future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distribution of our investments on the 1 to 5 investment rating scale at fair value as of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(dollars in thousands):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As of September 30, 2017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December 31, 2016</w:t>
            </w:r>
          </w:p>
        </w:tc>
      </w:tr>
      <w:tr>
        <w:trPr>
          <w:trHeight w:val="191"/>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7"/>
              </w:rPr>
              <w:t>Investments</w:t>
            </w:r>
          </w:p>
        </w:tc>
        <w:tc>
          <w:tcPr>
            <w:tcW w:w="14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9"/>
              </w:rPr>
              <w:t>Investments</w:t>
            </w:r>
          </w:p>
        </w:tc>
        <w:tc>
          <w:tcPr>
            <w:tcW w:w="14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gridSpan w:val="2"/>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at</w:t>
            </w:r>
          </w:p>
        </w:tc>
        <w:tc>
          <w:tcPr>
            <w:tcW w:w="16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at</w:t>
            </w: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Performance Rating</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188,611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183,826</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149,196</w:t>
            </w:r>
          </w:p>
        </w:tc>
        <w:tc>
          <w:tcPr>
            <w:tcW w:w="220" w:type="dxa"/>
            <w:vAlign w:val="bottom"/>
          </w:tcPr>
          <w:p>
            <w:pPr>
              <w:spacing w:after="0"/>
              <w:rPr>
                <w:sz w:val="18"/>
                <w:szCs w:val="18"/>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215,058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106,529</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26,770</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17,374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471,106</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541,639</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30, 2017, we had debt investments in 4 portfolio companies on non-accrual status with an amortized cost of $57.2 million and a fair value of $26.8 million, which represented 12.6% and 5.7% of the investment portfolio, respectively. As of December 31, 2016, we had debt investments in 3 portfolio companies on non-accrual status with amortized cost of $29.5 million and a fair value of $17.4 million, which represented 5.7% and 3.2% of the investment portfolio,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March 24, 2015, the Company and Trinity Universal Insurance Company (“Trinity”), a subsidiary of Kemper Corporation, entered into a limited liability company agreement to co-manage CSLLF. The purpose and design of the joint venture was to invest primarily in broadly syndicated senior secured loans to middle-market companies, which were purchased on the secondary market. Capitala and Trinity committed to provide $25.0 million of equity to CSLLF, with Capitala providing $20.0 million and Trinity providing $5.0 million, resulting in an 80%/20% economic ownership between the two parties. The board of directors and investment committee of CSLLF were split 50/50 between Trinity and Capitala, resulting in equal voting power between the two entities. In September 2016, the Company and Trinity elected to wind-down operations of CSLLF. During the fourth quarter of 2016, CSLLF sold all referenced assets underlying the total return swap (“TRS”) and declared final distributions, inclusive of dividends and return of capital, in December 2016.</w:t>
      </w:r>
    </w:p>
    <w:p>
      <w:pPr>
        <w:spacing w:after="0" w:line="16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Because the TRS was wound down in a prior period, only comparative period disclosures are included herein. For the three and nine months ended September 30, 2016, the Company received $0.5 million and $1.6 million, respectively, in dividend income from its equity interest in CSLLF.</w:t>
      </w:r>
    </w:p>
    <w:p>
      <w:pPr>
        <w:spacing w:after="0" w:line="14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March 27, 2015, CSLLF entered into a TRS with Bank of America, N.A. (“Bank of America”) that was indexed to a basket of senior secured loans purchased by CSLLF. CSLLF obtained the economic benefit of the loans underlying the TRS, including the net interest spread between the interest income generated by the underlying loans and the interest expense type payment under the TRS, the realized gain (loss) on liquidated loans, and the unrealized appreciation (depreciation) on the underlying loans.</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terms of the TRS were governed by an ISDA 2002 Master Agreement, the Schedule thereto, and Credit Support Annex to such Schedule, and the confirmation exchanged thereunder, between CSLLF and Bank of America, which collectively established the TRS, and are collectively referred to herein as the “TRS Agreement.” Pursuant to the terms of the TRS Agreement, CSLLF selected a portfolio of loans with a maximum market value (determined at the time each such loan becomes subject to the TRS) of $100.0 million, which was also referred to as the maximum notional amount of the TRS. Each individual loan, and the portfolio of loans taken as a whole, had to meet criteria described in the TRS Agreement. CSLLF received from Bank of America a periodic payment on set dates that was based upon any coupons, both earned and accrued, generated by the loans underlying the TRS, subject to limitations described in the TRS Agreement as well as any fees associated with the loans included in the portfolio. CSLLF paid to Bank of America interest at a rate equal to the London Interbank Offered Rate (“LIBOR”) plus 1.25% per annum; the LIBOR option paid by CSLLF was determined on an asset by asset basis such that the tenor of the LIBOR option (1 month, 3 month, etc.) matched the tenor of the underlying reference asset. In addition, upon the termination of any loan subject to the TRS or any repayment of the underlying reference asset, CSLLF either received from Bank of America the appreciation in the value of such loan, or paid to Bank of America any depreciation in the value of such loan.</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CSLLF was required to pay an unused facility fee of 1.25% on any amount of unused facility under the minimum facility amount of $70.0 million as outlined in the TRS Agreement. Such unused facility fees were not applied during the first 4 months and last 60 days of the term of the TRS. CSLLF also agreed to pay Bank of America customary fees and expenses in connection with the establishment and maintenance of the TRS.</w:t>
      </w:r>
    </w:p>
    <w:p>
      <w:pPr>
        <w:spacing w:after="0" w:line="166"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CSLLF was required to initially cash collateralize a specified percentage of each loan (generally 20% to 35% of the market value of senior secured loans) included under the TRS in accordance with margin requirements described in the TRS Agreement. As of December 31, 2016, CSLLF had posted $0.0 million in collateral to Bank of America in relation to the TRS which was recorded on CSLLF’s statements of assets and liabilities as cash held as collateral on total return swap. The cash collateral represented CSLLF’s maximum credit exposure as of December 31, 2016.</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8" w:name="page59"/>
    <w:bookmarkEnd w:id="58"/>
    <w:p>
      <w:pPr>
        <w:ind w:right="180" w:firstLine="648"/>
        <w:spacing w:after="0" w:line="277" w:lineRule="auto"/>
        <w:rPr>
          <w:sz w:val="20"/>
          <w:szCs w:val="20"/>
          <w:color w:val="auto"/>
        </w:rPr>
      </w:pPr>
      <w:r>
        <w:rPr>
          <w:rFonts w:ascii="Arial" w:cs="Arial" w:eastAsia="Arial" w:hAnsi="Arial"/>
          <w:sz w:val="18"/>
          <w:szCs w:val="18"/>
          <w:color w:val="auto"/>
        </w:rPr>
        <w:t>In connection with the TRS, CSLLF made customary representations and warranties and was required to comply with various covenants, reporting requirements and other customary requirements for similar transactions governed by an ISDA 2002 Master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CSLLF’s receivable due on the TRS represents realized amounts from payments on underlying loans in the total return swap portfolio. At December 31, 2016, the receivable due on TRS was $0.1 million, respectively, and is recorded on CSLLF’s statement of assets and liabilities below. CSLLF does not offset collateral posted in relation to the TRS with any unrealized appreciation or depreciation outstanding in the statement of assets and liabilities as of December 31, 2016.</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Transactions in TRS contracts during the three and nine months ended September 30, 2016 resulted in $1.4 million and $2.8 million, respectively, in realized gains and $0.8 million and $2.4 million, respectively, in unrealized appreciation, which was recorded on CSLLF’s statements of operations below.</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three and nine months ended September 30, 2016 (dollars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4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r>
      <w:tr>
        <w:trPr>
          <w:trHeight w:val="216"/>
        </w:trPr>
        <w:tc>
          <w:tcPr>
            <w:tcW w:w="4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4880" w:type="dxa"/>
            <w:vAlign w:val="bottom"/>
          </w:tcPr>
          <w:p>
            <w:pPr>
              <w:spacing w:after="0"/>
              <w:rPr>
                <w:sz w:val="20"/>
                <w:szCs w:val="20"/>
                <w:color w:val="auto"/>
              </w:rPr>
            </w:pPr>
          </w:p>
        </w:tc>
        <w:tc>
          <w:tcPr>
            <w:tcW w:w="3580" w:type="dxa"/>
            <w:vAlign w:val="bottom"/>
            <w:gridSpan w:val="4"/>
          </w:tcPr>
          <w:p>
            <w:pPr>
              <w:jc w:val="center"/>
              <w:ind w:left="1830"/>
              <w:spacing w:after="0"/>
              <w:rPr>
                <w:sz w:val="20"/>
                <w:szCs w:val="20"/>
                <w:color w:val="auto"/>
              </w:rPr>
            </w:pPr>
            <w:r>
              <w:rPr>
                <w:rFonts w:ascii="Arial" w:cs="Arial" w:eastAsia="Arial" w:hAnsi="Arial"/>
                <w:sz w:val="18"/>
                <w:szCs w:val="18"/>
                <w:b w:val="1"/>
                <w:bCs w:val="1"/>
                <w:color w:val="auto"/>
                <w:w w:val="89"/>
              </w:rPr>
              <w:t>September 30, 2016</w:t>
            </w: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2016</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notional par amount of contract</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Below is certain summarized financial information for CSLLF as of December 31, 2016 and for the three and nine months ended September 30, 2016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gridSpan w:val="2"/>
          </w:tcPr>
          <w:p>
            <w:pPr>
              <w:ind w:left="640"/>
              <w:spacing w:after="0"/>
              <w:rPr>
                <w:sz w:val="20"/>
                <w:szCs w:val="20"/>
                <w:color w:val="auto"/>
              </w:rPr>
            </w:pPr>
            <w:r>
              <w:rPr>
                <w:rFonts w:ascii="Arial" w:cs="Arial" w:eastAsia="Arial" w:hAnsi="Arial"/>
                <w:sz w:val="18"/>
                <w:szCs w:val="18"/>
                <w:b w:val="1"/>
                <w:bCs w:val="1"/>
                <w:color w:val="auto"/>
              </w:rPr>
              <w:t>Selected Statements of Assets and Liabilities:</w:t>
            </w: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ind w:left="3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Receivable due on Total Return Swap</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Distribution payable</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net assets</w:t>
            </w: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liabilities and net assets</w:t>
            </w:r>
          </w:p>
        </w:tc>
        <w:tc>
          <w:tcPr>
            <w:tcW w:w="26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w w:val="79"/>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Selected Statements of Operation (unaudited):</w:t>
            </w: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ind w:left="360"/>
              <w:spacing w:after="0"/>
              <w:rPr>
                <w:sz w:val="20"/>
                <w:szCs w:val="20"/>
                <w:color w:val="auto"/>
              </w:rPr>
            </w:pPr>
            <w:r>
              <w:rPr>
                <w:rFonts w:ascii="Arial" w:cs="Arial" w:eastAsia="Arial" w:hAnsi="Arial"/>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Three Months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ind w:left="40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240" w:type="dxa"/>
            <w:vAlign w:val="bottom"/>
            <w:gridSpan w:val="4"/>
          </w:tcPr>
          <w:p>
            <w:pPr>
              <w:ind w:left="2620"/>
              <w:spacing w:after="0"/>
              <w:rPr>
                <w:sz w:val="20"/>
                <w:szCs w:val="20"/>
                <w:color w:val="auto"/>
              </w:rPr>
            </w:pPr>
            <w:r>
              <w:rPr>
                <w:rFonts w:ascii="Arial" w:cs="Arial" w:eastAsia="Arial" w:hAnsi="Arial"/>
                <w:sz w:val="18"/>
                <w:szCs w:val="18"/>
                <w:b w:val="1"/>
                <w:bCs w:val="1"/>
                <w:color w:val="auto"/>
                <w:w w:val="95"/>
              </w:rPr>
              <w:t>September 30, 2016</w:t>
            </w:r>
          </w:p>
        </w:tc>
        <w:tc>
          <w:tcPr>
            <w:tcW w:w="60" w:type="dxa"/>
            <w:vAlign w:val="bottom"/>
          </w:tcPr>
          <w:p>
            <w:pPr>
              <w:spacing w:after="0"/>
              <w:rPr>
                <w:sz w:val="20"/>
                <w:szCs w:val="20"/>
                <w:color w:val="auto"/>
              </w:rPr>
            </w:pPr>
          </w:p>
        </w:tc>
        <w:tc>
          <w:tcPr>
            <w:tcW w:w="164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0"/>
              </w:rPr>
              <w:t>September 30,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legal expenses</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operating loss</w:t>
            </w:r>
          </w:p>
        </w:tc>
        <w:tc>
          <w:tcPr>
            <w:tcW w:w="26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3"/>
          </w:tcPr>
          <w:p>
            <w:pPr>
              <w:ind w:left="1060"/>
              <w:spacing w:after="0"/>
              <w:rPr>
                <w:sz w:val="20"/>
                <w:szCs w:val="20"/>
                <w:color w:val="auto"/>
              </w:rPr>
            </w:pPr>
            <w:r>
              <w:rPr>
                <w:rFonts w:ascii="Arial" w:cs="Arial" w:eastAsia="Arial" w:hAnsi="Arial"/>
                <w:sz w:val="18"/>
                <w:szCs w:val="18"/>
                <w:color w:val="auto"/>
                <w:w w:val="88"/>
              </w:rPr>
              <w:t>(131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realized gain on Total Return Swap</w:t>
            </w: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2,810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unrealized appreciation on Total Return Swap</w:t>
            </w:r>
          </w:p>
        </w:tc>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20" w:type="dxa"/>
            <w:vAlign w:val="bottom"/>
            <w:vMerge w:val="restart"/>
          </w:tcPr>
          <w:p>
            <w:pPr>
              <w:jc w:val="right"/>
              <w:ind w:right="219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820" w:type="dxa"/>
            <w:vAlign w:val="bottom"/>
            <w:gridSpan w:val="11"/>
          </w:tcPr>
          <w:p>
            <w:pPr>
              <w:ind w:left="660"/>
              <w:spacing w:after="0"/>
              <w:rPr>
                <w:sz w:val="20"/>
                <w:szCs w:val="20"/>
                <w:color w:val="auto"/>
              </w:rPr>
            </w:pPr>
            <w:r>
              <w:rPr>
                <w:rFonts w:ascii="Arial" w:cs="Arial" w:eastAsia="Arial" w:hAnsi="Arial"/>
                <w:sz w:val="18"/>
                <w:szCs w:val="18"/>
                <w:color w:val="auto"/>
                <w:w w:val="92"/>
              </w:rPr>
              <w:t>Operating results for the three and nine months ended September 30, 2017 and 2016 were as follows (dollars in thousands):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For the three months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4"/>
          </w:tcPr>
          <w:p>
            <w:pPr>
              <w:ind w:left="240"/>
              <w:spacing w:after="0"/>
              <w:rPr>
                <w:sz w:val="20"/>
                <w:szCs w:val="20"/>
                <w:color w:val="auto"/>
              </w:rPr>
            </w:pPr>
            <w:r>
              <w:rPr>
                <w:rFonts w:ascii="Arial" w:cs="Arial" w:eastAsia="Arial" w:hAnsi="Arial"/>
                <w:sz w:val="18"/>
                <w:szCs w:val="18"/>
                <w:b w:val="1"/>
                <w:bCs w:val="1"/>
                <w:color w:val="auto"/>
                <w:w w:val="88"/>
              </w:rPr>
              <w:t>For the nine months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Total expenses, net of incentive fee waivers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28,185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29,505</w:t>
            </w:r>
          </w:p>
        </w:tc>
        <w:tc>
          <w:tcPr>
            <w:tcW w:w="8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gain (loss) from investments</w:t>
            </w:r>
          </w:p>
        </w:tc>
        <w:tc>
          <w:tcPr>
            <w:tcW w:w="3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(10,283)</w:t>
            </w: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(17,030)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(24,897)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(11,471)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4,557</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unrealized depreciation on written call option</w:t>
            </w:r>
          </w:p>
        </w:tc>
        <w:tc>
          <w:tcPr>
            <w:tcW w:w="3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(2,819)</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(898)</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provision for deferred taxes on unrealized</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appreciation on investments</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w:t>
            </w:r>
          </w:p>
        </w:tc>
        <w:tc>
          <w:tcPr>
            <w:tcW w:w="5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w w:val="92"/>
              </w:rPr>
              <w:t>Net increase (decrease) in net assets resulting from operations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our investment income for the three and nine months ended September 30, 2017 and 2016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9"/>
              </w:rPr>
              <w:t>For the three months ended</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For the nine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2017</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14,654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Fee income</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Payment-in-kind interest and dividend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2,427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from cash and cash equivalents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income reported as interest income and PIK interest and dividend income is generally based on the stated rates as disclosed in our consolidated schedule of investments. Accretion of discounts paid for purchased loans are included in interest income as an adjustment to yield. As a general rule, our interest income and PIK interest and dividend income are recurring in nature.</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For the three months ended September 30, 2017, total investment income decreased by $5.0 million, or 29.1%, compared to the three months ended September 30, 2016. The period over period decline was driven primarily by a $5.1 million decline in interest income due to less average investments outstanding and an increase in non-accrual investments. For the three months ended September 30, 2017, PIK income increased by $0.4 million compared to the three months ended September 30, 2016, primarily due to investment restructurings that provided for an increase in the PIK rate being charged. For the three months ended September 30, 2017, we generated $0.2 million in origination fees from new deployments and $45 thousand in non-origination fees. Comparatively, for the three months ended September 30, 2016, we generated no origination fees from new deployments and $0.6 million in non-origination fees.</w:t>
      </w:r>
    </w:p>
    <w:p>
      <w:pPr>
        <w:spacing w:after="0" w:line="18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For the nine months ended September 30, 2017, total investment income decreased by $12.3 million, or 23.8%, compared to the nine months ended September 30, 2016. The period over period decline was driven primarily by a $11.7 million decline in interest income due to less average debt investments outstanding and an increase in non-accrual investments. For the nine months ended September 30, 2017, PIK income increased by $1.7 million compared to the nine months ended September 30, 2016, primarily due to investment restructurings that provided for an increase to the PIK rate being charged. For the nine months ended September 30, 2017, we generated $0.6 million in origination fees from new deployments and $0.6 million in non-origination fees. Comparatively, for the nine months ended September 30, 2016, we generated $0.7 million in origination fees from new deployments and $1.6 million in non-origination fees. Dividend income decreased from $2.4 million for the nine months ended September 30, 2016, to $1.1 million for the nine months ended September 30, 2017. The decrease in dividend income was driven primarily by the wind-down of CSLLF, which did not pay a dividend for the nine months ended September 30, 2017, but paid a dividend of $1.6 million for the nine months ended September 30, 2016.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composition of our expenses for the three and nine months ended September 30, 2017 and September 30, 2016 was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0"/>
              </w:rPr>
              <w:t>For the three months ended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For the nine months ended</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2016</w:t>
            </w:r>
          </w:p>
        </w:tc>
        <w:tc>
          <w:tcPr>
            <w:tcW w:w="220" w:type="dxa"/>
            <w:vAlign w:val="bottom"/>
          </w:tcPr>
          <w:p>
            <w:pPr>
              <w:spacing w:after="0"/>
              <w:rPr>
                <w:sz w:val="19"/>
                <w:szCs w:val="19"/>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88"/>
              </w:rPr>
              <w:t>September 30, 2016</w:t>
            </w:r>
          </w:p>
        </w:tc>
        <w:tc>
          <w:tcPr>
            <w:tcW w:w="100" w:type="dxa"/>
            <w:vAlign w:val="bottom"/>
            <w:gridSpan w:val="2"/>
          </w:tcPr>
          <w:p>
            <w:pPr>
              <w:spacing w:after="0"/>
              <w:rPr>
                <w:sz w:val="19"/>
                <w:szCs w:val="19"/>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7,436</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8,049</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Incentive fees, net of incentive fee waiver</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1,470</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3,482</w:t>
            </w:r>
          </w:p>
        </w:tc>
        <w:tc>
          <w:tcPr>
            <w:tcW w:w="8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2,984</w:t>
            </w:r>
          </w:p>
        </w:tc>
        <w:tc>
          <w:tcPr>
            <w:tcW w:w="80" w:type="dxa"/>
            <w:vAlign w:val="bottom"/>
            <w:shd w:val="clear" w:color="auto" w:fill="CCEEFF"/>
          </w:tcPr>
          <w:p>
            <w:pPr>
              <w:spacing w:after="0"/>
              <w:rPr>
                <w:sz w:val="19"/>
                <w:szCs w:val="19"/>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 expenses, net of incentive fee waiver</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9,916</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29,505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three months ended September 30, 2017, operating expenses decreased $2.0 million, or 20.3%, compared to the three months ended September 30, 2016. For the three months ended September 30, 2017, interest and financing expenses decreased $0.4 million compared to the three months ended September 30, 2016, due primarily to lower Credit Facility utilization during the period. Management fees declined by $0.2 million, from $2.6 million for the three months ended September 30, 2016 to $2.4 million for the three months ended September 30, 2017, due to lower average assets under management. Incentive fees, net of incentive fee waiver, declined by $1.5 million, from $1.5 million for the three months ended September 30, 2016 to $0.0 for the three months ended September 30, 2017, due to lower pre-incentive fee net investment income.</w:t>
      </w:r>
    </w:p>
    <w:p>
      <w:pPr>
        <w:spacing w:after="0" w:line="1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For the nine months ended September 30, 2017, operating expenses decreased $1.3 million, or 4.5%, compared to the nine months ended September 30, 2016. For the nine months ended September 30, 2017, we recognized a $2.7 million loss on extinguishment of debt related to repayment of the 2021 Notes. The increase in expenses related to the loss on extinguishment of debt was offset by (i) a decline in management fees, from $8.0 million for the nine months ended September 30, 2016 to $7.4 million for the nine months ended September 30, 2017, due to lower average assets under management and (ii) a decline in net incentive fees, net of incentive fee waiver from $3.5 million for the nine months ended September 30, 2016 to $0.4 million for the nine months ended September 30, 2017, due to lower pre-incentive fee net investment income, and (iii) a decline in interest and financing expense, from $15.0 million for the nine months ended September 30, 2016 to $14.7 million for the nine months ended September 30, 2017, due to a lower average debt balance outstanding during the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(losses) on sales of investments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three and nine months ended September 30, 2017, we recognized $(10.3) million and $(0.7) million, respectively, of net realized losses on our portfolio investments. During the three and nine months ended September 30, 2016, we recognized $(17.0) million and $(24.9) million, respectively, of net realized losses on our portfolio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Net change in unrealized appreciation (depreciation) on investments reflects the net change in the fair value of our investment portfolio. For the three months ended September 30, 2017 we had $3.2 million of net unrealized appreciation on investments. For the nine months ended September 30, 2017 we had $(11.5) million of net unrealized depreciation on investments. For the three months ended September 30, 2016 we had $8.5 million of net unrealized appreciation on investments. For the nine months ended September 30, 2016 we had $4.6 million of net unrealized appreciation on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provision for deferred taxes on unrealized appreciation on investments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Change in provision for deferred taxes on unrealized appreciation on investments reflects the deferred tax effect of the net change in unrealized appreciation of investments held in our Taxable Subsidiaries. For the three and nine months ended September 30, 2017, we had a change in provision for deferred taxes on unrealized appreciation on investments of $(2.7) million. For the three and nine months ended September 30, 2016, we had no change in provision for deferred taxes on unrealized appreciation on investments.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Net unrealized appreciation (depreciation) on Written Call Option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three and nine months ended September 30, 2017, we had net unrealized depreciation on the Written Call Option of $(0.4) million and $(2.8) million, respectively. For the three and nine months ended September 30, 2016 we had net unrealized depreciation on the Written Call Option of $(0.9) million. As previously noted, unrealized appreciation (depreciation) on the Written Call Option is based on the change in fair value of the underlying equity investment in Eastport Holdings, LLC, less the strike price of the Written Call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and nine months ended September 30, 2017, we recorded a net decrease in net assets resulting from operations of $(5.8)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 million, respectively. Based on the weighted average shares of common stock outstanding for the three and nine months ended September 30, 2017,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net decrease in net assets resulting from operations was $(0.36) and $(0.40), respectively. For the three and nine months ended September 30,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recorded a net increase (decrease) in net assets resulting from operations of $(2.0) million and $1.1 million, respectively. Based on the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outstanding for the three and nine months ended September 30, 2016, our per share net increase in net assets resulting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$(0.13) and $0.07,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Our Unconsolidated Subsidiaries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holds a control interest, as defined by the 1940 Act, in six portfolio companies that are considered significant subsidiaries under the guidance in Regulation S-X, but are not consolidated in the Company’s consolidated financial statements. Below is a brief description of each such portfolio company, along with summarized financial information as of September 30, 2017 and December 31, 2016, and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CableOrganizer Acquisition, LLC</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CableOrganizer Acquisition, LLC, a Delaware limited liability company that began operations on April 23, 2013, is a leading online provider of cable and wire management products. The income the Company generated from CableOrganizer Acquisition, LLC, which includes all interest, dividends, PIK interest and dividends, fees, and unrealized appreciation (depreciation), was $1.3 million and $1.4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Eastport Holdings, LLC</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Eastport Holdings, LLC, an Ohio limited liability company organized on November 1, 2011, is a holding company consisting of marketing and advertising companies located across the U.S. The income the Company generated from Eastport Holdings, LLC, which includes all interest, dividends, PIK interest and dividends, fees, and unrealized appreciation (depreciation), was $7.9 million and $11.0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Kelle’s Transport Service, LLC</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Kelle’s Transport Service, LLC, a Delaware limited liability company organized on March 28, 2014, provides temperature sensitive transportation services throughout North America. The loss the Company generated from Kelle’s Transport Service, LLC, which includes all interest, dividends, PIK interest and dividends, fees, and unrealized appreciation (depreciation), was $(3.7) million and $(1.2)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 (depreciation) was $0.8 million and $2.1 million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On-Site Fuel Services, Inc.</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On-Site Fuel Services, Inc. is a 100% owned subsidiary of On-Site Fuel Holdings, Inc., which was incorporated in Delaware on December 19, 2011. On-Site Fuel Services, Inc. provides fueling services for commercial and government vehicle fleets throughout the southeast U.S. The income the Company generated from On-Site Fuel Service, Inc., which includes all interest, dividends, PIK interest and dividends, fees, and unrealized appreciation (depreciation), was $0.1 million and $1.9 million for the nine months ended September 30, 2017 and September 30,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 Precision, LLC</w:t>
      </w:r>
    </w:p>
    <w:p>
      <w:pPr>
        <w:spacing w:after="0" w:line="225"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Micro Precision, LLC, formed on August 5, 2011 as a Delaware limited liability company, is a prime contractor supplying critical parts and mechanical assemblies to the United States Department of Defense as well as designer and manufacturer of locomotive air horns. The income (loss) the Company generated from Micro Precision, LLC, which includes all interest, dividends, PIK interest and dividends, fees, and unrealized appreciation (depreciation), was $(0.2) million and $0.7 million for the nine months ended September 30, 2017 and September 30, 2016,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896"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The summarized unaudited financial information of our unconsolidated subsidiaries was as follows (dollars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Balance Sheet – CableOrganizer Acquisition, LLC</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12,247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 – CableOrganizer Acquisition, LLC</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Balance Sheet – Eastport Holdings, LLC</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145,802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44,558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41,355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nine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Statements of Operations – Eastport Holdings, LLC</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415,289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388,036</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Cost of goods sold</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305,926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5,915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40" w:type="dxa"/>
            <w:vAlign w:val="bottom"/>
            <w:vMerge w:val="restart"/>
          </w:tcPr>
          <w:p>
            <w:pPr>
              <w:jc w:val="right"/>
              <w:ind w:right="18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Balance Sheet – Kelle’s Transport Services, LLC</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17,487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nine months ended</w:t>
            </w:r>
          </w:p>
        </w:tc>
      </w:tr>
      <w:tr>
        <w:trPr>
          <w:trHeight w:val="191"/>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 Kelle’s Transport Services, LLC</w:t>
            </w:r>
          </w:p>
        </w:tc>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41,198</w:t>
            </w:r>
          </w:p>
        </w:tc>
      </w:tr>
      <w:tr>
        <w:trPr>
          <w:trHeight w:val="210"/>
        </w:trPr>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900" w:orient="portrait"/>
          <w:cols w:equalWidth="0" w:num="1">
            <w:col w:w="10160"/>
          </w:cols>
          <w:pgMar w:left="900" w:top="918" w:right="8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Sheets - Navis Holdings,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10,906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9,219</w:t>
            </w:r>
          </w:p>
        </w:tc>
      </w:tr>
      <w:tr>
        <w:trPr>
          <w:trHeight w:val="230"/>
        </w:trPr>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1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100" w:type="dxa"/>
            <w:vAlign w:val="bottom"/>
          </w:tcPr>
          <w:p>
            <w:pPr>
              <w:spacing w:after="0"/>
              <w:rPr>
                <w:sz w:val="16"/>
                <w:szCs w:val="16"/>
                <w:color w:val="auto"/>
              </w:rPr>
            </w:pPr>
          </w:p>
        </w:tc>
        <w:tc>
          <w:tcPr>
            <w:tcW w:w="142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6"/>
                <w:szCs w:val="16"/>
                <w:color w:val="auto"/>
              </w:rPr>
            </w:pPr>
          </w:p>
        </w:tc>
      </w:tr>
      <w:tr>
        <w:trPr>
          <w:trHeight w:val="232"/>
        </w:trPr>
        <w:tc>
          <w:tcPr>
            <w:tcW w:w="10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-1155700</wp:posOffset>
            </wp:positionV>
            <wp:extent cx="64490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49060" cy="13716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-881380</wp:posOffset>
            </wp:positionV>
            <wp:extent cx="644906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49060" cy="146050"/>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6500" w:space="720"/>
            <w:col w:w="2940"/>
          </w:cols>
          <w:pgMar w:left="900" w:top="918" w:right="839"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1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4,967</w:t>
            </w: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Navis Holdings, Inc.</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0"/>
        </w:trPr>
        <w:tc>
          <w:tcPr>
            <w:tcW w:w="72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Balance Sheets - On-Site Fuel Services, Inc.</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22,930</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45,330</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34,215</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55,372</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On-Site Fuel Services, Inc.</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93,013</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62,522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0160"/>
          </w:cols>
          <w:pgMar w:left="900" w:top="918" w:right="839" w:bottom="0" w:gutter="0" w:footer="0" w:header="0"/>
          <w:type w:val="continuous"/>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20,809</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15,886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42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23,843</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18,785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(2,899)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ind w:left="660"/>
              <w:spacing w:after="0"/>
              <w:rPr>
                <w:sz w:val="20"/>
                <w:szCs w:val="20"/>
                <w:color w:val="auto"/>
              </w:rPr>
            </w:pPr>
            <w:r>
              <w:rPr>
                <w:rFonts w:ascii="Arial" w:cs="Arial" w:eastAsia="Arial" w:hAnsi="Arial"/>
                <w:sz w:val="18"/>
                <w:szCs w:val="18"/>
                <w:color w:val="auto"/>
              </w:rPr>
              <w:t>Net loss</w:t>
            </w:r>
          </w:p>
        </w:tc>
        <w:tc>
          <w:tcPr>
            <w:tcW w:w="38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20" w:type="dxa"/>
            <w:vAlign w:val="bottom"/>
            <w:vMerge w:val="restart"/>
          </w:tcPr>
          <w:p>
            <w:pPr>
              <w:jc w:val="right"/>
              <w:ind w:right="1970"/>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65" w:name="page66"/>
    <w:bookmarkEnd w:id="6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Balance Sheets - Micro Precision, LLC</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19,808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spacing w:after="0"/>
              <w:rPr>
                <w:sz w:val="20"/>
                <w:szCs w:val="20"/>
                <w:color w:val="auto"/>
              </w:rPr>
            </w:pPr>
            <w:r>
              <w:rPr>
                <w:rFonts w:ascii="Arial" w:cs="Arial" w:eastAsia="Arial" w:hAnsi="Arial"/>
                <w:sz w:val="18"/>
                <w:szCs w:val="18"/>
                <w:b w:val="1"/>
                <w:bCs w:val="1"/>
                <w:color w:val="auto"/>
              </w:rPr>
              <w:t>Statement of Operations - Micro Precision, LLC</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Income/(loss) before income taxes</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gridSpan w:val="3"/>
          </w:tcPr>
          <w:p>
            <w:pPr>
              <w:spacing w:after="0"/>
              <w:rPr>
                <w:sz w:val="20"/>
                <w:szCs w:val="20"/>
                <w:color w:val="auto"/>
              </w:rPr>
            </w:pPr>
            <w:r>
              <w:rPr>
                <w:rFonts w:ascii="Arial" w:cs="Arial" w:eastAsia="Arial" w:hAnsi="Arial"/>
                <w:sz w:val="18"/>
                <w:szCs w:val="18"/>
                <w:color w:val="auto"/>
              </w:rPr>
              <w:t>Net income/(loss)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shareholders, and repay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2013, we issued 4,000,000 shares at $20.00 per share in our IPO, yielding net proceeds of $74.25 million.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October 17, 2014, we entered into a senior secured revolving credit agreement (the “Credit Facility”) with ING Capital, LLC, as administrative agent, arranger, and bookrunner, and the lenders party thereto. On June 16, 2017, we entered into an amendment to our Credit Facility with ING Capital, LLC (the “Amendment”). Pursuant to the Amendment, the Credit Facility currently provides for borrowings up to $114.5 million and may be increased up to $200.0 million pursuant to its “accordion” feature. The Credit Facility matures on June 16, 2021. As of September 30, 2017, we had $0.0 outstanding and $114.5 million available under the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13, 2015, we completed an underwritten offering of 3,500,000 shares of our common stock at a public offering price of $18.32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proceeds received in the offering net of underwriting discounts and offering costs were approximately $61.7 million.</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is payable quarterly beginning August 31, 2017. The 2022 Notes are listed on the NASDAQ Global Select Market under the trading symbol “CPTAL” with a par value $25.00 per share.</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May 26, 2017, we issued $50.0 million in aggregate principal amount of 5.75% fixed-rate convertible notes due on May 31, 2022 (the “2022 Convertible Notes”). On June 26, 2017, we issued an additional $2.1 million in aggregate principal amount of the 2022 Convertible Notes pursuant to a partial exercise of the underwriters’ overallotment option. Interest is payable quarterly beginning August 31, 2017. The 2022 Convertible Notes are listed on the NASDAQ Capital Market under the trading symbol “CPTAG” with a par value $25.00 per share.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September 30, 2017, Fund II had $26.2 million in regulatory capital and $20.7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As of September 30, 2017, we had $52.3 million in cash and cash equivalents, and our net assets totaled $226.3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7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significant contractual payment obligations as of September 30, 2017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Contractual Obligations Payments Due by Period</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700"/>
              <w:spacing w:after="0" w:line="191" w:lineRule="exact"/>
              <w:rPr>
                <w:sz w:val="20"/>
                <w:szCs w:val="20"/>
                <w:color w:val="auto"/>
              </w:rPr>
            </w:pPr>
            <w:r>
              <w:rPr>
                <w:rFonts w:ascii="Arial" w:cs="Arial" w:eastAsia="Arial" w:hAnsi="Arial"/>
                <w:sz w:val="18"/>
                <w:szCs w:val="18"/>
                <w:b w:val="1"/>
                <w:bCs w:val="1"/>
                <w:color w:val="auto"/>
              </w:rPr>
              <w:t>1 – 3</w:t>
            </w:r>
          </w:p>
        </w:tc>
        <w:tc>
          <w:tcPr>
            <w:tcW w:w="24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9"/>
              </w:rPr>
              <w:t>3 – 5</w:t>
            </w: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More Than</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5 Years</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2022 Notes</w:t>
            </w:r>
          </w:p>
        </w:tc>
        <w:tc>
          <w:tcPr>
            <w:tcW w:w="106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2022 Convertible Notes</w:t>
            </w:r>
          </w:p>
        </w:tc>
        <w:tc>
          <w:tcPr>
            <w:tcW w:w="10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Credit Facility</w:t>
            </w:r>
          </w:p>
        </w:tc>
        <w:tc>
          <w:tcPr>
            <w:tcW w:w="10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We made quarterly distributions to our stockholders for the first four full quarters subsequent to our IPO. To the extent we have income available, we have made and intend to make monthly distributions thereafter. Our monthly stockholder distributions, if any, will be determined by our Board on a quarterly basis. Any distribution to our stockholders will be declared out of assets legally available for distribution.</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7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The following tables summarize our distributions declared from January 2, 2015 to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 2017</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27, 2017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2017</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19, 2017</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27, 2017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29, 2017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April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24,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2017</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21, 2017</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28, 2017</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23, 2017</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30, 2017</w:t>
            </w:r>
          </w:p>
        </w:tc>
        <w:tc>
          <w:tcPr>
            <w:tcW w:w="2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r>
      <w:tr>
        <w:trPr>
          <w:trHeight w:val="23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2017</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 2017</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28, 2017</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9"/>
                <w:szCs w:val="19"/>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Distributions Declared and Distributed</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4,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19,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26,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4,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22, 2016</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22, 2016</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28,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30,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21,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22, 2016</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22,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30,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22,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21, 2016</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28, 2016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21,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29, 2016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0.1300</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September 22, 2016</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21,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29, 2016</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0.1300</w:t>
            </w: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 Date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22, 2015</w:t>
            </w:r>
          </w:p>
        </w:tc>
        <w:tc>
          <w:tcPr>
            <w:tcW w:w="1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January 2,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20, 2015</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26, 2015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 2015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23, 2015</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57"/>
        </w:trPr>
        <w:tc>
          <w:tcPr>
            <w:tcW w:w="42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 xml:space="preserve">March 23, 2015 </w:t>
            </w:r>
            <w:r>
              <w:rPr>
                <w:rFonts w:ascii="Arial" w:cs="Arial" w:eastAsia="Arial" w:hAnsi="Arial"/>
                <w:sz w:val="29"/>
                <w:szCs w:val="29"/>
                <w:color w:val="auto"/>
                <w:w w:val="88"/>
                <w:vertAlign w:val="superscript"/>
              </w:rPr>
              <w:t>(1)</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2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91"/>
              </w:rPr>
              <w:t xml:space="preserve">April 23, 2015 </w:t>
            </w:r>
            <w:r>
              <w:rPr>
                <w:rFonts w:ascii="Arial" w:cs="Arial" w:eastAsia="Arial" w:hAnsi="Arial"/>
                <w:sz w:val="29"/>
                <w:szCs w:val="29"/>
                <w:color w:val="auto"/>
                <w:w w:val="91"/>
                <w:vertAlign w:val="superscript"/>
              </w:rPr>
              <w:t>(1)</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29, 2015</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90"/>
              </w:rPr>
              <w:t xml:space="preserve">May 21, 2015 </w:t>
            </w:r>
            <w:r>
              <w:rPr>
                <w:rFonts w:ascii="Arial" w:cs="Arial" w:eastAsia="Arial" w:hAnsi="Arial"/>
                <w:sz w:val="29"/>
                <w:szCs w:val="29"/>
                <w:color w:val="auto"/>
                <w:w w:val="90"/>
                <w:vertAlign w:val="superscript"/>
              </w:rPr>
              <w:t>(1)</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28, 2015</w:t>
            </w:r>
          </w:p>
        </w:tc>
        <w:tc>
          <w:tcPr>
            <w:tcW w:w="2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6"/>
              </w:rPr>
              <w:t xml:space="preserve">June 22, 2015 </w:t>
            </w:r>
            <w:r>
              <w:rPr>
                <w:rFonts w:ascii="Arial" w:cs="Arial" w:eastAsia="Arial" w:hAnsi="Arial"/>
                <w:sz w:val="29"/>
                <w:szCs w:val="29"/>
                <w:color w:val="auto"/>
                <w:w w:val="86"/>
                <w:vertAlign w:val="superscript"/>
              </w:rPr>
              <w:t>(1)</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29, 2015</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8"/>
              </w:rPr>
              <w:t xml:space="preserve">July 23, 2015 </w:t>
            </w:r>
            <w:r>
              <w:rPr>
                <w:rFonts w:ascii="Arial" w:cs="Arial" w:eastAsia="Arial" w:hAnsi="Arial"/>
                <w:sz w:val="29"/>
                <w:szCs w:val="29"/>
                <w:color w:val="auto"/>
                <w:w w:val="88"/>
                <w:vertAlign w:val="superscript"/>
              </w:rPr>
              <w:t>(1)</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30, 2015</w:t>
            </w:r>
          </w:p>
        </w:tc>
        <w:tc>
          <w:tcPr>
            <w:tcW w:w="2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7"/>
              </w:rPr>
              <w:t xml:space="preserve">August 21, 2015 </w:t>
            </w:r>
            <w:r>
              <w:rPr>
                <w:rFonts w:ascii="Arial" w:cs="Arial" w:eastAsia="Arial" w:hAnsi="Arial"/>
                <w:sz w:val="29"/>
                <w:szCs w:val="29"/>
                <w:color w:val="auto"/>
                <w:w w:val="87"/>
                <w:vertAlign w:val="superscript"/>
              </w:rPr>
              <w:t>(1)</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28, 2015</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 xml:space="preserve">September 23, 2015 </w:t>
            </w:r>
            <w:r>
              <w:rPr>
                <w:rFonts w:ascii="Arial" w:cs="Arial" w:eastAsia="Arial" w:hAnsi="Arial"/>
                <w:sz w:val="29"/>
                <w:szCs w:val="29"/>
                <w:color w:val="auto"/>
                <w:w w:val="87"/>
                <w:vertAlign w:val="superscript"/>
              </w:rPr>
              <w:t>(1)</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29, 2015</w:t>
            </w:r>
          </w:p>
        </w:tc>
        <w:tc>
          <w:tcPr>
            <w:tcW w:w="2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8"/>
              </w:rPr>
              <w:t xml:space="preserve">October 23, 2015 </w:t>
            </w:r>
            <w:r>
              <w:rPr>
                <w:rFonts w:ascii="Arial" w:cs="Arial" w:eastAsia="Arial" w:hAnsi="Arial"/>
                <w:sz w:val="29"/>
                <w:szCs w:val="29"/>
                <w:color w:val="auto"/>
                <w:w w:val="88"/>
                <w:vertAlign w:val="superscript"/>
              </w:rPr>
              <w:t>(1)</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29, 2015</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 xml:space="preserve">November 20, 2015 </w:t>
            </w:r>
            <w:r>
              <w:rPr>
                <w:rFonts w:ascii="Arial" w:cs="Arial" w:eastAsia="Arial" w:hAnsi="Arial"/>
                <w:sz w:val="29"/>
                <w:szCs w:val="29"/>
                <w:color w:val="auto"/>
                <w:w w:val="87"/>
                <w:vertAlign w:val="superscript"/>
              </w:rPr>
              <w:t>(1)</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27, 2015</w:t>
            </w:r>
          </w:p>
        </w:tc>
        <w:tc>
          <w:tcPr>
            <w:tcW w:w="2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0.0500</w:t>
            </w:r>
          </w:p>
        </w:tc>
      </w:tr>
      <w:tr>
        <w:trPr>
          <w:trHeight w:val="257"/>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26, 2015</w:t>
            </w:r>
          </w:p>
        </w:tc>
        <w:tc>
          <w:tcPr>
            <w:tcW w:w="2880" w:type="dxa"/>
            <w:vAlign w:val="bottom"/>
            <w:gridSpan w:val="2"/>
            <w:shd w:val="clear" w:color="auto" w:fill="CCEEFF"/>
          </w:tcPr>
          <w:p>
            <w:pPr>
              <w:jc w:val="center"/>
              <w:ind w:right="120"/>
              <w:spacing w:after="0" w:line="256" w:lineRule="exact"/>
              <w:rPr>
                <w:sz w:val="20"/>
                <w:szCs w:val="20"/>
                <w:color w:val="auto"/>
              </w:rPr>
            </w:pPr>
            <w:r>
              <w:rPr>
                <w:rFonts w:ascii="Arial" w:cs="Arial" w:eastAsia="Arial" w:hAnsi="Arial"/>
                <w:sz w:val="18"/>
                <w:szCs w:val="18"/>
                <w:color w:val="auto"/>
                <w:w w:val="87"/>
              </w:rPr>
              <w:t xml:space="preserve">December 22, 2015 </w:t>
            </w:r>
            <w:r>
              <w:rPr>
                <w:rFonts w:ascii="Arial" w:cs="Arial" w:eastAsia="Arial" w:hAnsi="Arial"/>
                <w:sz w:val="29"/>
                <w:szCs w:val="29"/>
                <w:color w:val="auto"/>
                <w:w w:val="87"/>
                <w:vertAlign w:val="superscript"/>
              </w:rPr>
              <w:t>(1)</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30, 2015</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April 23, 2015</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29, 2015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21, 2015</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28, 2015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22, 2015</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29, 2015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23, 2015</w:t>
            </w: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July 1,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21, 2015</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28, 2015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23, 2015</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29, 2015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23, 2015</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29, 2015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2015</w:t>
            </w:r>
          </w:p>
        </w:tc>
        <w:tc>
          <w:tcPr>
            <w:tcW w:w="2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20, 2015</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27, 2015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0.1567</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October 1, 2015</w:t>
            </w: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22, 2015</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30, 2015</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0.1567</w:t>
            </w:r>
          </w:p>
        </w:tc>
      </w:tr>
      <w:tr>
        <w:trPr>
          <w:trHeight w:val="223"/>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Distributions Declared and Distributed</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26, 2015, the Company’s Board declared a special distribution of $0.50 per share of the Company’s common stock, which was paid monthly over the remainder of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entered into the Investment Advisory Agreement with the Investment Advisor. Joseph B. Alala, our chief executive officer and chairman of our Board, is the managing partner and chief investment officer of the Investment Advisor, and M. Hunt Broyhill, a member of our Board, has an indirect controlling interest in the Investment Advisor.</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an affiliate of the Investment Advisor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the opportunity to co-invest with Fund IV in portfolio investments. An affiliate of the Investment Advisor also manages Capitala Private Credit Fund V, L.P. (“Fund V”); a private investment limited partnership providing financing solutions to lower middle-market and traditional middle-market companies. The Investment Advisor and its affiliates may also manage other funds in the future that may have investment mandates that are similar, in whole and in part, with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 However, we do expect to make co-investments with Fund V given its similar investment strategy.</w:t>
      </w:r>
    </w:p>
    <w:p>
      <w:pPr>
        <w:spacing w:after="0" w:line="18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September 10, 2015, we, Fund II, Fund III, Fund V, and the Investment Advisor filed an application for exemptive relief with the SEC to permit an investment fund and one or more other affiliated investment funds, including future affiliated investment funds, to participate in the same investment opportunities through a proposed co-investment program where such participation would otherwise be prohibited under the 1940 Act. On June 1, 2016, the SEC issued an order (the “Order”) permitting this relief. Pursuant to the Order, we are permitted to co-invest in such investment opportunities with our affiliates if a “required majority” (as defined in Section 57(o) of the 1940 Act) of our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w:t>
      </w:r>
    </w:p>
    <w:p>
      <w:pPr>
        <w:spacing w:after="0" w:line="3" w:lineRule="exact"/>
        <w:rPr>
          <w:sz w:val="20"/>
          <w:szCs w:val="20"/>
          <w:color w:val="auto"/>
        </w:rPr>
      </w:pPr>
    </w:p>
    <w:p>
      <w:pPr>
        <w:ind w:right="20" w:firstLine="8"/>
        <w:spacing w:after="0" w:line="261"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co-investment transaction is consistent with the interests of our stockholders and is consistent with our then-current investment objective and strategies.</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31, 2016, the Company sold assets to FSC II in exchange for 100% of the partnership interests in FSC II. Concurrent with the sale of these assets to FSC II, the Company received cash consideration of $47.6 million from an affiliated third-party purchaser in exchange for 100% of the partnership interests of FSC II. The Company’s Board pre-approved this transaction pursuant to Section 57(f) of the 1940 Act. Capitala Advisors Corp., the Company’s administrator, also serves as the administrator to FSC II.</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and chairman of our Board, is the chief executive officer, president and a director of our Administrator.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September 30, 2017, the Company had outstanding unfunded commitments related to debt investments in existing portfolio companies of $4.0 million (CIS Secure Computing, Inc.), $2.0 million (Portrait Innovations, Inc.), $1.5 million (Kelle’s Transport Service, LLC), and $1.0 million (US Well Services, LLC). As of December 31, 2016, the Company had outstanding unfunded commitments related to debt investments in an existing portfolio company of $1.2 million (On-Site Fuel Services, Inc.).</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addition to unfunded commitments related to debt investments, the Company also has extended a guaranty on behalf of one of our portfolio companies, whereby we have guaranteed $1.5 million of obligations of Kelle’s Transport Service, LLC. As of September 30, 2017 we have not been required to make payments on this or any previous guaranties, and we consider the credit risks to be remote and the fair value of this guaranty to be immaterial.</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9" w:name="page70"/>
    <w:bookmarkEnd w:id="69"/>
    <w:p>
      <w:pPr>
        <w:ind w:right="440" w:firstLine="648"/>
        <w:spacing w:after="0" w:line="308" w:lineRule="auto"/>
        <w:rPr>
          <w:sz w:val="20"/>
          <w:szCs w:val="20"/>
          <w:color w:val="auto"/>
        </w:rPr>
      </w:pPr>
      <w:r>
        <w:rPr>
          <w:rFonts w:ascii="Arial" w:cs="Arial" w:eastAsia="Arial" w:hAnsi="Arial"/>
          <w:sz w:val="17"/>
          <w:szCs w:val="17"/>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2, 2017 our Board declared the following distributions: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1000"/>
              <w:spacing w:after="0"/>
              <w:rPr>
                <w:sz w:val="20"/>
                <w:szCs w:val="20"/>
                <w:color w:val="auto"/>
              </w:rPr>
            </w:pPr>
            <w:r>
              <w:rPr>
                <w:rFonts w:ascii="Arial" w:cs="Arial" w:eastAsia="Arial" w:hAnsi="Arial"/>
                <w:sz w:val="18"/>
                <w:szCs w:val="18"/>
                <w:b w:val="1"/>
                <w:bCs w:val="1"/>
                <w:color w:val="auto"/>
              </w:rPr>
              <w:t>Date Declared</w:t>
            </w:r>
          </w:p>
        </w:tc>
        <w:tc>
          <w:tcPr>
            <w:tcW w:w="120" w:type="dxa"/>
            <w:vAlign w:val="bottom"/>
          </w:tcPr>
          <w:p>
            <w:pPr>
              <w:spacing w:after="0"/>
              <w:rPr>
                <w:sz w:val="20"/>
                <w:szCs w:val="20"/>
                <w:color w:val="auto"/>
              </w:rPr>
            </w:pPr>
          </w:p>
        </w:tc>
        <w:tc>
          <w:tcPr>
            <w:tcW w:w="2520" w:type="dxa"/>
            <w:vAlign w:val="bottom"/>
          </w:tcPr>
          <w:p>
            <w:pPr>
              <w:ind w:left="760"/>
              <w:spacing w:after="0"/>
              <w:rPr>
                <w:sz w:val="20"/>
                <w:szCs w:val="20"/>
                <w:color w:val="auto"/>
              </w:rPr>
            </w:pPr>
            <w:r>
              <w:rPr>
                <w:rFonts w:ascii="Arial" w:cs="Arial" w:eastAsia="Arial" w:hAnsi="Arial"/>
                <w:sz w:val="18"/>
                <w:szCs w:val="18"/>
                <w:b w:val="1"/>
                <w:bCs w:val="1"/>
                <w:color w:val="auto"/>
              </w:rPr>
              <w:t>Record Date</w:t>
            </w:r>
          </w:p>
        </w:tc>
        <w:tc>
          <w:tcPr>
            <w:tcW w:w="120" w:type="dxa"/>
            <w:vAlign w:val="bottom"/>
          </w:tcPr>
          <w:p>
            <w:pPr>
              <w:spacing w:after="0"/>
              <w:rPr>
                <w:sz w:val="20"/>
                <w:szCs w:val="20"/>
                <w:color w:val="auto"/>
              </w:rPr>
            </w:pPr>
          </w:p>
        </w:tc>
        <w:tc>
          <w:tcPr>
            <w:tcW w:w="2600" w:type="dxa"/>
            <w:vAlign w:val="bottom"/>
            <w:gridSpan w:val="2"/>
          </w:tcPr>
          <w:p>
            <w:pPr>
              <w:ind w:left="700"/>
              <w:spacing w:after="0"/>
              <w:rPr>
                <w:sz w:val="20"/>
                <w:szCs w:val="20"/>
                <w:color w:val="auto"/>
              </w:rPr>
            </w:pPr>
            <w:r>
              <w:rPr>
                <w:rFonts w:ascii="Arial" w:cs="Arial" w:eastAsia="Arial" w:hAnsi="Arial"/>
                <w:sz w:val="18"/>
                <w:szCs w:val="18"/>
                <w:b w:val="1"/>
                <w:bCs w:val="1"/>
                <w:color w:val="auto"/>
              </w:rPr>
              <w:t>Payment Date</w:t>
            </w:r>
          </w:p>
        </w:tc>
        <w:tc>
          <w:tcPr>
            <w:tcW w:w="300" w:type="dxa"/>
            <w:vAlign w:val="bottom"/>
          </w:tcPr>
          <w:p>
            <w:pPr>
              <w:spacing w:after="0"/>
              <w:rPr>
                <w:sz w:val="20"/>
                <w:szCs w:val="20"/>
                <w:color w:val="auto"/>
              </w:rPr>
            </w:pPr>
          </w:p>
        </w:tc>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rPr>
              <w:t>Distributions per Share</w:t>
            </w: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1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23, 2017</w:t>
            </w:r>
          </w:p>
        </w:tc>
        <w:tc>
          <w:tcPr>
            <w:tcW w:w="1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30, 2017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October 2, 2017</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November 21, 2017</w:t>
            </w:r>
          </w:p>
        </w:tc>
        <w:tc>
          <w:tcPr>
            <w:tcW w:w="2720" w:type="dxa"/>
            <w:vAlign w:val="bottom"/>
            <w:gridSpan w:val="3"/>
          </w:tcPr>
          <w:p>
            <w:pPr>
              <w:ind w:left="120"/>
              <w:spacing w:after="0"/>
              <w:rPr>
                <w:sz w:val="20"/>
                <w:szCs w:val="20"/>
                <w:color w:val="auto"/>
              </w:rPr>
            </w:pPr>
            <w:r>
              <w:rPr>
                <w:rFonts w:ascii="Arial" w:cs="Arial" w:eastAsia="Arial" w:hAnsi="Arial"/>
                <w:sz w:val="18"/>
                <w:szCs w:val="18"/>
                <w:color w:val="auto"/>
              </w:rPr>
              <w:t>November 29, 2017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October 2, 2017</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20, 2017</w:t>
            </w:r>
          </w:p>
        </w:tc>
        <w:tc>
          <w:tcPr>
            <w:tcW w:w="2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December 28, 2017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0.0833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31, 2017, the Company funded $2.0 million of its unfunded commitment to CIS Secure Computing,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2017, we did not engage in hedging activities.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As of September 30, 2017, we held 17 securities bearing a variable rate of interest. Our variable rate investments represent approximately 41.8% of the fair value of total debt investments. As of September 30, 2017, 10.2% of variable rate securities were yielding interest at a rate equal to the established interest rate floor or interest rate ceiling and 89.8% of variable rate securities were yielding interest at a rate above its existing floor or were not subject to an interest rate floor. As of September 30, 2017, we had $0.0 million outstanding on our Credit Facility, which has a variable rate of interest at one month LIBOR + 3.0%. As of September 30, 2017, all of our other interest paying liabilities, consisting of $170.7 million in SBA-guaranteed debentures, $75.0 million in 2022 Notes, and $52.1 million in 2022 Convertible Notes, were bearing interest at a fixed rate.</w:t>
      </w:r>
    </w:p>
    <w:p>
      <w:pPr>
        <w:spacing w:after="0" w:line="17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147"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Based on our September 30, 2017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Increase)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decrease in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4840" w:type="dxa"/>
            <w:vAlign w:val="bottom"/>
          </w:tcPr>
          <w:p>
            <w:pPr>
              <w:ind w:left="2580"/>
              <w:spacing w:after="0"/>
              <w:rPr>
                <w:sz w:val="20"/>
                <w:szCs w:val="20"/>
                <w:color w:val="auto"/>
              </w:rPr>
            </w:pPr>
            <w:r>
              <w:rPr>
                <w:rFonts w:ascii="Arial" w:cs="Arial" w:eastAsia="Arial" w:hAnsi="Arial"/>
                <w:sz w:val="18"/>
                <w:szCs w:val="18"/>
                <w:b w:val="1"/>
                <w:bCs w:val="1"/>
                <w:color w:val="auto"/>
              </w:rPr>
              <w:t>Basis Point Change</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expense</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net income</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Up 200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2,858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r>
      <w:tr>
        <w:trPr>
          <w:trHeight w:val="634"/>
        </w:trPr>
        <w:tc>
          <w:tcPr>
            <w:tcW w:w="48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September 30, 2017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third quarter of 2017 that has materially affected, or is reasonably likely to materially affect, the Company’s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or any of the Legacy Funds.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2016, which could materially affect our business, financial condition and/or operating results. The risks described in our Annual Report on Form 10-K are not the only risks we face. Additional risks and uncertainties that are not currently known to us or that we currently deem to be immaterial also may materially adversely affect our business, financial condition and/or operating results. During the nine months ended September 30, 2017, there have been no material changes from the risk factors set forth in our Annual Report on Form 10-K for the year ended December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quarter ended September 30, 2017, we issued 28,136 shares of common stock under our DRIP. The issuances were not subject to the registration requirements under the Securities Act of 1933, as amended. The cash paid for shares of common stock issued under our DRIP during the quarter ended September 30, 2017 was approximately $0.3 million. Other than the shares issued under our DRIP during the quarter ended September 30, 2017, we did not sell any unregistered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760" w:type="dxa"/>
            <w:vAlign w:val="bottom"/>
            <w:gridSpan w:val="24"/>
          </w:tcPr>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41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w w:val="94"/>
              </w:rPr>
              <w:t>Number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2"/>
          </w:tcPr>
          <w:p>
            <w:pPr>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line="156" w:lineRule="exact"/>
              <w:rPr>
                <w:rFonts w:ascii="Arial" w:cs="Arial" w:eastAsia="Arial" w:hAnsi="Arial"/>
                <w:sz w:val="18"/>
                <w:szCs w:val="18"/>
                <w:color w:val="0000EE"/>
                <w:w w:val="79"/>
              </w:rPr>
            </w:pPr>
            <w:hyperlink r:id="rId13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Borders>
              <w:top w:val="single" w:sz="8" w:color="auto"/>
              <w:bottom w:val="single" w:sz="8" w:color="auto"/>
            </w:tcBorders>
            <w:gridSpan w:val="7"/>
            <w:vMerge w:val="restart"/>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Articles of Amendment and Restatement</w:t>
              </w:r>
            </w:hyperlink>
          </w:p>
        </w:tc>
        <w:tc>
          <w:tcPr>
            <w:tcW w:w="180" w:type="dxa"/>
            <w:vAlign w:val="bottom"/>
            <w:tcBorders>
              <w:top w:val="single" w:sz="8" w:color="auto"/>
              <w:bottom w:val="single" w:sz="8" w:color="0000EE"/>
            </w:tcBorders>
          </w:tcPr>
          <w:p>
            <w:pPr>
              <w:jc w:val="right"/>
              <w:spacing w:after="0" w:line="129" w:lineRule="exact"/>
              <w:rPr>
                <w:rFonts w:ascii="Arial" w:cs="Arial" w:eastAsia="Arial" w:hAnsi="Arial"/>
                <w:sz w:val="14"/>
                <w:szCs w:val="14"/>
                <w:color w:val="0000EE"/>
                <w:w w:val="93"/>
              </w:rPr>
            </w:pPr>
            <w:hyperlink r:id="rId137">
              <w:r>
                <w:rPr>
                  <w:rFonts w:ascii="Arial" w:cs="Arial" w:eastAsia="Arial" w:hAnsi="Arial"/>
                  <w:sz w:val="14"/>
                  <w:szCs w:val="14"/>
                  <w:color w:val="0000EE"/>
                  <w:w w:val="93"/>
                </w:rPr>
                <w:t>(1)</w:t>
              </w:r>
            </w:hyperlink>
          </w:p>
        </w:tc>
        <w:tc>
          <w:tcPr>
            <w:tcW w:w="520" w:type="dxa"/>
            <w:vAlign w:val="bottom"/>
            <w:tcBorders>
              <w:top w:val="single" w:sz="8" w:color="auto"/>
              <w:bottom w:val="single" w:sz="8" w:color="auto"/>
            </w:tcBorders>
            <w:vMerge w:val="restart"/>
          </w:tcPr>
          <w:p>
            <w:pPr>
              <w:spacing w:after="0"/>
              <w:rPr>
                <w:sz w:val="12"/>
                <w:szCs w:val="12"/>
                <w:color w:val="auto"/>
              </w:rPr>
            </w:pPr>
          </w:p>
        </w:tc>
        <w:tc>
          <w:tcPr>
            <w:tcW w:w="208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44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60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220" w:type="dxa"/>
            <w:vAlign w:val="bottom"/>
            <w:tcBorders>
              <w:top w:val="single" w:sz="8" w:color="auto"/>
              <w:bottom w:val="single" w:sz="8" w:color="auto"/>
            </w:tcBorders>
            <w:vMerge w:val="restart"/>
          </w:tcPr>
          <w:p>
            <w:pPr>
              <w:spacing w:after="0"/>
              <w:rPr>
                <w:sz w:val="12"/>
                <w:szCs w:val="12"/>
                <w:color w:val="auto"/>
              </w:rPr>
            </w:pPr>
          </w:p>
        </w:tc>
        <w:tc>
          <w:tcPr>
            <w:tcW w:w="18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Borders>
              <w:top w:val="single" w:sz="8" w:color="auto"/>
              <w:bottom w:val="single" w:sz="8" w:color="auto"/>
            </w:tcBorders>
            <w:vMerge w:val="restart"/>
          </w:tcPr>
          <w:p>
            <w:pPr>
              <w:spacing w:after="0"/>
              <w:rPr>
                <w:sz w:val="12"/>
                <w:szCs w:val="12"/>
                <w:color w:val="auto"/>
              </w:rPr>
            </w:pPr>
          </w:p>
        </w:tc>
        <w:tc>
          <w:tcPr>
            <w:tcW w:w="940" w:type="dxa"/>
            <w:vAlign w:val="bottom"/>
            <w:tcBorders>
              <w:top w:val="single" w:sz="8" w:color="auto"/>
              <w:bottom w:val="single" w:sz="8" w:color="auto"/>
            </w:tcBorders>
            <w:vMerge w:val="restart"/>
          </w:tcPr>
          <w:p>
            <w:pPr>
              <w:spacing w:after="0"/>
              <w:rPr>
                <w:sz w:val="12"/>
                <w:szCs w:val="12"/>
                <w:color w:val="auto"/>
              </w:rPr>
            </w:pPr>
          </w:p>
        </w:tc>
        <w:tc>
          <w:tcPr>
            <w:tcW w:w="320" w:type="dxa"/>
            <w:vAlign w:val="bottom"/>
            <w:tcBorders>
              <w:top w:val="single" w:sz="8" w:color="auto"/>
              <w:bottom w:val="single" w:sz="8" w:color="auto"/>
            </w:tcBorders>
            <w:vMerge w:val="restart"/>
          </w:tcPr>
          <w:p>
            <w:pPr>
              <w:spacing w:after="0"/>
              <w:rPr>
                <w:sz w:val="12"/>
                <w:szCs w:val="12"/>
                <w:color w:val="auto"/>
              </w:rPr>
            </w:pPr>
          </w:p>
        </w:tc>
        <w:tc>
          <w:tcPr>
            <w:tcW w:w="60" w:type="dxa"/>
            <w:vAlign w:val="bottom"/>
            <w:tcBorders>
              <w:top w:val="single" w:sz="8" w:color="auto"/>
              <w:bottom w:val="single" w:sz="8" w:color="auto"/>
            </w:tcBorders>
            <w:vMerge w:val="restart"/>
          </w:tcPr>
          <w:p>
            <w:pPr>
              <w:spacing w:after="0"/>
              <w:rPr>
                <w:sz w:val="12"/>
                <w:szCs w:val="12"/>
                <w:color w:val="auto"/>
              </w:rPr>
            </w:pPr>
          </w:p>
        </w:tc>
        <w:tc>
          <w:tcPr>
            <w:tcW w:w="20" w:type="dxa"/>
            <w:vAlign w:val="bottom"/>
            <w:tcBorders>
              <w:top w:val="single" w:sz="8" w:color="auto"/>
              <w:bottom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bottom w:val="single" w:sz="8" w:color="auto"/>
            </w:tcBorders>
            <w:gridSpan w:val="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20" w:type="dxa"/>
            <w:vAlign w:val="bottom"/>
            <w:tcBorders>
              <w:bottom w:val="single" w:sz="8" w:color="auto"/>
            </w:tcBorders>
            <w:vMerge w:val="continue"/>
          </w:tcPr>
          <w:p>
            <w:pPr>
              <w:spacing w:after="0" w:line="20" w:lineRule="exact"/>
              <w:rPr>
                <w:sz w:val="1"/>
                <w:szCs w:val="1"/>
                <w:color w:val="auto"/>
              </w:rPr>
            </w:pPr>
          </w:p>
        </w:tc>
        <w:tc>
          <w:tcPr>
            <w:tcW w:w="2080" w:type="dxa"/>
            <w:vAlign w:val="bottom"/>
            <w:tcBorders>
              <w:bottom w:val="single" w:sz="8" w:color="auto"/>
            </w:tcBorders>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44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60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220" w:type="dxa"/>
            <w:vAlign w:val="bottom"/>
            <w:tcBorders>
              <w:bottom w:val="single" w:sz="8" w:color="auto"/>
            </w:tcBorders>
            <w:vMerge w:val="continue"/>
          </w:tcPr>
          <w:p>
            <w:pPr>
              <w:spacing w:after="0" w:line="20" w:lineRule="exact"/>
              <w:rPr>
                <w:sz w:val="1"/>
                <w:szCs w:val="1"/>
                <w:color w:val="auto"/>
              </w:rPr>
            </w:pPr>
          </w:p>
        </w:tc>
        <w:tc>
          <w:tcPr>
            <w:tcW w:w="180" w:type="dxa"/>
            <w:vAlign w:val="bottom"/>
            <w:tcBorders>
              <w:bottom w:val="single" w:sz="8" w:color="auto"/>
            </w:tcBorders>
            <w:vMerge w:val="continue"/>
          </w:tcPr>
          <w:p>
            <w:pPr>
              <w:spacing w:after="0" w:line="20" w:lineRule="exact"/>
              <w:rPr>
                <w:sz w:val="1"/>
                <w:szCs w:val="1"/>
                <w:color w:val="auto"/>
              </w:rPr>
            </w:pPr>
          </w:p>
        </w:tc>
        <w:tc>
          <w:tcPr>
            <w:tcW w:w="100" w:type="dxa"/>
            <w:vAlign w:val="bottom"/>
            <w:tcBorders>
              <w:bottom w:val="single" w:sz="8" w:color="auto"/>
            </w:tcBorders>
            <w:vMerge w:val="continue"/>
          </w:tcPr>
          <w:p>
            <w:pPr>
              <w:spacing w:after="0" w:line="20" w:lineRule="exact"/>
              <w:rPr>
                <w:sz w:val="1"/>
                <w:szCs w:val="1"/>
                <w:color w:val="auto"/>
              </w:rPr>
            </w:pPr>
          </w:p>
        </w:tc>
        <w:tc>
          <w:tcPr>
            <w:tcW w:w="940" w:type="dxa"/>
            <w:vAlign w:val="bottom"/>
            <w:tcBorders>
              <w:bottom w:val="single" w:sz="8" w:color="auto"/>
            </w:tcBorders>
            <w:vMerge w:val="continue"/>
          </w:tcPr>
          <w:p>
            <w:pPr>
              <w:spacing w:after="0" w:line="20" w:lineRule="exact"/>
              <w:rPr>
                <w:sz w:val="1"/>
                <w:szCs w:val="1"/>
                <w:color w:val="auto"/>
              </w:rPr>
            </w:pPr>
          </w:p>
        </w:tc>
        <w:tc>
          <w:tcPr>
            <w:tcW w:w="3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gridSpan w:val="2"/>
            <w:vMerge w:val="restart"/>
          </w:tcPr>
          <w:p>
            <w:pPr>
              <w:spacing w:after="0"/>
              <w:rPr>
                <w:rFonts w:ascii="Arial" w:cs="Arial" w:eastAsia="Arial" w:hAnsi="Arial"/>
                <w:sz w:val="18"/>
                <w:szCs w:val="18"/>
                <w:color w:val="0000EE"/>
                <w:w w:val="87"/>
              </w:rPr>
            </w:pPr>
            <w:hyperlink r:id="rId13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Borders>
              <w:bottom w:val="single" w:sz="8" w:color="0000EE"/>
            </w:tcBorders>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(2)</w:t>
            </w: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12"/>
            <w:vMerge w:val="restart"/>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Certificate of Limited Partnership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6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12"/>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tcBorders>
              <w:bottom w:val="single" w:sz="8" w:color="0000EE"/>
            </w:tcBorders>
            <w:gridSpan w:val="1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10"/>
            <w:vMerge w:val="restart"/>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Certificate of Limited Partnership of CapitalSouth Partners SBIC Fund III, L.P.</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(2)</w:t>
            </w:r>
          </w:p>
        </w:tc>
        <w:tc>
          <w:tcPr>
            <w:tcW w:w="222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gridSpan w:val="10"/>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4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60" w:type="dxa"/>
            <w:vAlign w:val="bottom"/>
            <w:tcBorders>
              <w:bottom w:val="single" w:sz="8" w:color="0000EE"/>
            </w:tcBorders>
            <w:gridSpan w:val="10"/>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Bylaws</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(1)</w:t>
            </w:r>
          </w:p>
        </w:tc>
        <w:tc>
          <w:tcPr>
            <w:tcW w:w="360" w:type="dxa"/>
            <w:vAlign w:val="bottom"/>
            <w:vMerge w:val="restart"/>
          </w:tcPr>
          <w:p>
            <w:pPr>
              <w:spacing w:after="0"/>
              <w:rPr>
                <w:sz w:val="24"/>
                <w:szCs w:val="24"/>
                <w:color w:val="auto"/>
              </w:rPr>
            </w:pPr>
          </w:p>
        </w:tc>
        <w:tc>
          <w:tcPr>
            <w:tcW w:w="148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900" w:type="dxa"/>
            <w:vAlign w:val="bottom"/>
            <w:gridSpan w:val="3"/>
            <w:vMerge w:val="restart"/>
          </w:tcPr>
          <w:p>
            <w:pPr>
              <w:spacing w:after="0"/>
              <w:rPr>
                <w:sz w:val="24"/>
                <w:szCs w:val="24"/>
                <w:color w:val="auto"/>
              </w:rPr>
            </w:pPr>
          </w:p>
        </w:tc>
        <w:tc>
          <w:tcPr>
            <w:tcW w:w="4460" w:type="dxa"/>
            <w:vAlign w:val="bottom"/>
            <w:gridSpan w:val="5"/>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4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4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0000EE"/>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4460" w:type="dxa"/>
            <w:vAlign w:val="bottom"/>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(3)</w:t>
            </w: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16"/>
            <w:vMerge w:val="restart"/>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Amended and Restated Limited Partnership Agreement of CapitalSouth Partners Fund II Limited Partnership</w:t>
              </w:r>
            </w:hyperlink>
          </w:p>
        </w:tc>
        <w:tc>
          <w:tcPr>
            <w:tcW w:w="180" w:type="dxa"/>
            <w:vAlign w:val="bottom"/>
            <w:tcBorders>
              <w:bottom w:val="single" w:sz="8" w:color="0000EE"/>
            </w:tcBorders>
            <w:vMerge w:val="continue"/>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40" w:type="dxa"/>
            <w:vAlign w:val="bottom"/>
            <w:gridSpan w:val="16"/>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4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40" w:type="dxa"/>
            <w:vAlign w:val="bottom"/>
            <w:tcBorders>
              <w:bottom w:val="single" w:sz="8" w:color="0000EE"/>
            </w:tcBorders>
            <w:gridSpan w:val="16"/>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14"/>
            <w:vMerge w:val="restart"/>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Form of Amended and Restated Agreement of Limited Partnership of CapitalSouth Partners SBIC Fund III, L.P.</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(3)</w:t>
            </w:r>
          </w:p>
        </w:tc>
        <w:tc>
          <w:tcPr>
            <w:tcW w:w="500" w:type="dxa"/>
            <w:vAlign w:val="bottom"/>
            <w:gridSpan w:val="3"/>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40" w:type="dxa"/>
            <w:vAlign w:val="bottom"/>
            <w:gridSpan w:val="1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vMerge w:val="restart"/>
          </w:tcPr>
          <w:p>
            <w:pPr>
              <w:spacing w:after="0"/>
              <w:rPr>
                <w:rFonts w:ascii="Arial" w:cs="Arial" w:eastAsia="Arial" w:hAnsi="Arial"/>
                <w:sz w:val="18"/>
                <w:szCs w:val="18"/>
                <w:color w:val="0000EE"/>
                <w:w w:val="87"/>
              </w:rPr>
            </w:pPr>
            <w:hyperlink r:id="rId1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40" w:type="dxa"/>
            <w:vAlign w:val="bottom"/>
            <w:tcBorders>
              <w:bottom w:val="single" w:sz="8" w:color="0000EE"/>
            </w:tcBorders>
            <w:gridSpan w:val="1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vMerge w:val="restart"/>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Form of Common Stock Certificate</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900" w:type="dxa"/>
            <w:vAlign w:val="bottom"/>
            <w:gridSpan w:val="3"/>
            <w:vMerge w:val="restart"/>
          </w:tcPr>
          <w:p>
            <w:pPr>
              <w:spacing w:after="0"/>
              <w:rPr>
                <w:sz w:val="24"/>
                <w:szCs w:val="24"/>
                <w:color w:val="auto"/>
              </w:rPr>
            </w:pPr>
          </w:p>
        </w:tc>
        <w:tc>
          <w:tcPr>
            <w:tcW w:w="5140" w:type="dxa"/>
            <w:vAlign w:val="bottom"/>
            <w:gridSpan w:val="9"/>
            <w:vMerge w:val="restart"/>
          </w:tcPr>
          <w:p>
            <w:pPr>
              <w:spacing w:after="0"/>
              <w:rPr>
                <w:sz w:val="24"/>
                <w:szCs w:val="24"/>
                <w:color w:val="auto"/>
              </w:rPr>
            </w:pPr>
          </w:p>
        </w:tc>
        <w:tc>
          <w:tcPr>
            <w:tcW w:w="9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5140" w:type="dxa"/>
            <w:vAlign w:val="bottom"/>
            <w:gridSpan w:val="9"/>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Borders>
              <w:bottom w:val="single" w:sz="8" w:color="0000EE"/>
            </w:tcBorders>
            <w:gridSpan w:val="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5140" w:type="dxa"/>
            <w:vAlign w:val="bottom"/>
            <w:gridSpan w:val="9"/>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11.</w:t>
              </w:r>
              <w:r>
                <w:rPr>
                  <w:rFonts w:ascii="Arial" w:cs="Arial" w:eastAsia="Arial" w:hAnsi="Arial"/>
                  <w:sz w:val="18"/>
                  <w:szCs w:val="18"/>
                  <w:u w:val="single" w:color="auto"/>
                  <w:color w:val="0000EE"/>
                  <w:w w:val="85"/>
                </w:rPr>
                <w:t>1</w:t>
              </w:r>
            </w:hyperlink>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Computation of Per Share Earnings (included in the notes to the consolidated financial statements contained in this report)</w:t>
              </w:r>
            </w:hyperlink>
          </w:p>
        </w:tc>
        <w:tc>
          <w:tcPr>
            <w:tcW w:w="1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Certification of Chief Executive Officer pursuant to Rule 13a-14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of the Sarbanes-Oxley Act of 2002 (filed herewith)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Certification of Chief Financial Officer pursuant to Rule 13a-14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of the Sarbanes-Oxley Act of 2002 (filed herewith)</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Certification of Chief Executive Officer 18 U.S.C. Section 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(filed herewith)</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Chief Financial Officer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herewith)</w:t>
              </w:r>
            </w:hyperlink>
          </w:p>
        </w:tc>
        <w:tc>
          <w:tcPr>
            <w:tcW w:w="944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60" w:right="380" w:hanging="1252"/>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170" w:lineRule="exact"/>
        <w:rPr>
          <w:rFonts w:ascii="Arial" w:cs="Arial" w:eastAsia="Arial" w:hAnsi="Arial"/>
          <w:sz w:val="18"/>
          <w:szCs w:val="18"/>
          <w:color w:val="auto"/>
        </w:rPr>
      </w:pPr>
    </w:p>
    <w:p>
      <w:pPr>
        <w:ind w:left="1260" w:right="260" w:hanging="1252"/>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170" w:lineRule="exact"/>
        <w:rPr>
          <w:rFonts w:ascii="Arial" w:cs="Arial" w:eastAsia="Arial" w:hAnsi="Arial"/>
          <w:sz w:val="18"/>
          <w:szCs w:val="18"/>
          <w:color w:val="auto"/>
        </w:rPr>
      </w:pPr>
    </w:p>
    <w:p>
      <w:pPr>
        <w:ind w:left="1260" w:right="260" w:hanging="1252"/>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November 6, 2017</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6, 2017</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A. Arnall</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66</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380" w:hanging="670"/>
        <w:spacing w:after="0" w:line="342" w:lineRule="auto"/>
        <w:tabs>
          <w:tab w:leader="none" w:pos="13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340" w:right="60" w:hanging="670"/>
        <w:spacing w:after="0" w:line="264" w:lineRule="auto"/>
        <w:tabs>
          <w:tab w:leader="none" w:pos="13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600" w:hanging="670"/>
        <w:spacing w:after="0" w:line="342" w:lineRule="auto"/>
        <w:tabs>
          <w:tab w:leader="none" w:pos="13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Capitala Finance Corp.;</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40" w:right="380" w:hanging="670"/>
        <w:spacing w:after="0" w:line="342" w:lineRule="auto"/>
        <w:tabs>
          <w:tab w:leader="none" w:pos="1340" w:val="left"/>
        </w:tabs>
        <w:numPr>
          <w:ilvl w:val="2"/>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1340" w:right="60" w:hanging="670"/>
        <w:spacing w:after="0" w:line="264" w:lineRule="auto"/>
        <w:tabs>
          <w:tab w:leader="none" w:pos="13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40" w:right="600" w:hanging="670"/>
        <w:spacing w:after="0" w:line="342" w:lineRule="auto"/>
        <w:tabs>
          <w:tab w:leader="none" w:pos="1340" w:val="left"/>
        </w:tabs>
        <w:numPr>
          <w:ilvl w:val="2"/>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 Joseph B. Alala III, Chief Executive Officer, in connection with the Quarterly Report of Capitala Finance Corp. (the “Company”) on Form 10-Q for the quarterly period ended September 30, 2017,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right="18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140" w:hanging="670"/>
        <w:spacing w:after="0" w:line="277"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B. Alala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 Stephen A. Arnall, Chief Financial Officer, in connection with the Quarterly Report of Capitala Finance Corp. (the “Company”) on Form 10-Q for the quarterly period ended September 30, 2017, as filed with the U.S. Securities and Exchange Commission on the date hereof (the “Quarterly Report”), certify, pursuant to Section 906 of the Sarbanes-Oxley Act of 2002, that:</w:t>
      </w:r>
    </w:p>
    <w:p>
      <w:pPr>
        <w:spacing w:after="0" w:line="181" w:lineRule="exact"/>
        <w:rPr>
          <w:sz w:val="20"/>
          <w:szCs w:val="20"/>
          <w:color w:val="auto"/>
        </w:rPr>
      </w:pPr>
    </w:p>
    <w:p>
      <w:pPr>
        <w:ind w:left="1300" w:right="1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340" w:right="140" w:hanging="670"/>
        <w:spacing w:after="0" w:line="277"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Arnall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lvl w:ilvl="1">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5"/>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2"/>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5">
    <w:nsid w:val="189A769B"/>
    <w:multiLevelType w:val="hybridMultilevel"/>
    <w:lvl w:ilvl="0">
      <w:lvlJc w:val="left"/>
      <w:lvlText w:val="%1."/>
      <w:numFmt w:val="decimal"/>
      <w:start w:val="1"/>
    </w:lvl>
    <w:lvl w:ilvl="1">
      <w:lvlJc w:val="left"/>
      <w:lvlText w:val="%2."/>
      <w:numFmt w:val="decimal"/>
      <w:start w:val="2"/>
    </w:lvl>
  </w:abstractNum>
  <w:abstractNum w:abstractNumId="26">
    <w:nsid w:val="54E49EB4"/>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37" Type="http://schemas.openxmlformats.org/officeDocument/2006/relationships/hyperlink" Target="http://www.sec.gov/Archives/edgar/data/1221483/000119312513361263/d505298dex99a1.htm" TargetMode="External"/><Relationship Id="rId138" Type="http://schemas.openxmlformats.org/officeDocument/2006/relationships/hyperlink" Target="http://www.sec.gov/Archives/edgar/data/1221483/000119312513368161/d505298dex99a2.htm" TargetMode="External"/><Relationship Id="rId139" Type="http://schemas.openxmlformats.org/officeDocument/2006/relationships/hyperlink" Target="http://www.sec.gov/Archives/edgar/data/1221483/000119312513368161/d505298dex99a3.htm" TargetMode="External"/><Relationship Id="rId140" Type="http://schemas.openxmlformats.org/officeDocument/2006/relationships/hyperlink" Target="http://www.sec.gov/Archives/edgar/data/1221483/000119312513361263/d505298dex99b1.htm" TargetMode="External"/><Relationship Id="rId141" Type="http://schemas.openxmlformats.org/officeDocument/2006/relationships/hyperlink" Target="http://www.sec.gov/Archives/edgar/data/1571329/000119312513376445/d505298dex99b2.htm" TargetMode="External"/><Relationship Id="rId142" Type="http://schemas.openxmlformats.org/officeDocument/2006/relationships/hyperlink" Target="http://www.sec.gov/Archives/edgar/data/1571329/000119312513376445/d505298dex99b3.htm" TargetMode="External"/><Relationship Id="rId143" Type="http://schemas.openxmlformats.org/officeDocument/2006/relationships/hyperlink" Target="http://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2019-12-29T03:07:09Z</dcterms:created>
  <dcterms:modified xsi:type="dcterms:W3CDTF">2019-12-29T03:07:09Z</dcterms:modified>
</cp:coreProperties>
</file>