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rfc-20240331.htm"/>
      <w:bookmarkStart w:id="1" w:name="kslrfc2024033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tbl>
      <w:tblPr>
        <w:tblW w:w="8001" w:type="dxa"/>
        <w:jc w:val="left"/>
        <w:tblInd w:w="0" w:type="dxa"/>
        <w:tblLayout w:type="fixed"/>
        <w:tblCellMar>
          <w:top w:w="28" w:type="dxa"/>
          <w:left w:w="28" w:type="dxa"/>
          <w:bottom w:w="28" w:type="dxa"/>
          <w:right w:w="28" w:type="dxa"/>
        </w:tblCellMar>
      </w:tblPr>
      <w:tblGrid>
        <w:gridCol w:w="124"/>
        <w:gridCol w:w="31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rFonts w:ascii="Wingdings;serif" w:hAnsi="Wingdings;serif"/>
                <w:color w:val="000000"/>
                <w:sz w:val="20"/>
              </w:rPr>
            </w:pPr>
            <w:r>
              <w:rPr>
                <w:rFonts w:ascii="Wingdings;serif" w:hAnsi="Wingdings;serif"/>
                <w:color w:val="000000"/>
                <w:sz w:val="20"/>
              </w:rPr>
              <w:t>x</w:t>
            </w:r>
          </w:p>
        </w:tc>
        <w:tc>
          <w:tcPr>
            <w:tcW w:w="7561" w:type="dxa"/>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2024</w:t>
      </w:r>
    </w:p>
    <w:tbl>
      <w:tblPr>
        <w:tblW w:w="8046" w:type="dxa"/>
        <w:jc w:val="left"/>
        <w:tblInd w:w="0" w:type="dxa"/>
        <w:tblLayout w:type="fixed"/>
        <w:tblCellMar>
          <w:top w:w="28" w:type="dxa"/>
          <w:left w:w="28" w:type="dxa"/>
          <w:bottom w:w="28" w:type="dxa"/>
          <w:right w:w="28" w:type="dxa"/>
        </w:tblCellMar>
      </w:tblPr>
      <w:tblGrid>
        <w:gridCol w:w="124"/>
        <w:gridCol w:w="31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60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7606" w:type="dxa"/>
            <w:tcBorders/>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tbl>
      <w:tblPr>
        <w:tblW w:w="6045" w:type="dxa"/>
        <w:jc w:val="left"/>
        <w:tblInd w:w="0" w:type="dxa"/>
        <w:tblLayout w:type="fixed"/>
        <w:tblCellMar>
          <w:top w:w="28" w:type="dxa"/>
          <w:left w:w="28" w:type="dxa"/>
          <w:bottom w:w="28" w:type="dxa"/>
          <w:right w:w="28" w:type="dxa"/>
        </w:tblCellMar>
      </w:tblPr>
      <w:tblGrid>
        <w:gridCol w:w="161"/>
        <w:gridCol w:w="146"/>
        <w:gridCol w:w="540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40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Commission file number: 814-01022</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40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401" w:type="dxa"/>
            <w:tcBorders/>
            <w:vAlign w:val="center"/>
          </w:tcPr>
          <w:p>
            <w:pPr>
              <w:pStyle w:val="TableContents"/>
              <w:bidi w:val="0"/>
              <w:spacing w:before="0" w:after="283"/>
              <w:jc w:val="center"/>
              <w:rPr>
                <w:rFonts w:ascii="Times New Roman" w:hAnsi="Times New Roman"/>
                <w:b/>
                <w:color w:val="000000"/>
                <w:sz w:val="36"/>
              </w:rPr>
            </w:pPr>
            <w:r>
              <w:rPr>
                <w:rFonts w:ascii="Times New Roman" w:hAnsi="Times New Roman"/>
                <w:b/>
                <w:color w:val="000000"/>
                <w:sz w:val="36"/>
              </w:rPr>
              <w:t>Logan Ridge Finance Corporation</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center"/>
              <w:rPr/>
            </w:pPr>
            <w:r>
              <w:rPr/>
              <w:t> </w:t>
            </w:r>
          </w:p>
        </w:tc>
      </w:tr>
      <w:tr>
        <w:trPr/>
        <w:tc>
          <w:tcPr>
            <w:tcW w:w="16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40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(Exact Name of Registrant as Specified in its Charter) </w:t>
            </w:r>
          </w:p>
        </w:tc>
        <w:tc>
          <w:tcPr>
            <w:tcW w:w="146" w:type="dxa"/>
            <w:tcBorders/>
            <w:vAlign w:val="center"/>
          </w:tcPr>
          <w:p>
            <w:pPr>
              <w:pStyle w:val="TableContents"/>
              <w:bidi w:val="0"/>
              <w:spacing w:before="0" w:after="283"/>
              <w:jc w:val="center"/>
              <w:rPr/>
            </w:pPr>
            <w:r>
              <w:rPr/>
              <w:t> </w:t>
            </w:r>
          </w:p>
        </w:tc>
        <w:tc>
          <w:tcPr>
            <w:tcW w:w="191" w:type="dxa"/>
            <w:tcBorders/>
            <w:vAlign w:val="center"/>
          </w:tcPr>
          <w:p>
            <w:pPr>
              <w:pStyle w:val="TableContents"/>
              <w:bidi w:val="0"/>
              <w:spacing w:before="0" w:after="283"/>
              <w:jc w:val="center"/>
              <w:rPr/>
            </w:pPr>
            <w:r>
              <w:rPr/>
              <w:t> </w:t>
            </w:r>
          </w:p>
        </w:tc>
      </w:tr>
    </w:tbl>
    <w:tbl>
      <w:tblPr>
        <w:tblW w:w="4262" w:type="dxa"/>
        <w:jc w:val="left"/>
        <w:tblInd w:w="0" w:type="dxa"/>
        <w:tblLayout w:type="fixed"/>
        <w:tblCellMar>
          <w:top w:w="28" w:type="dxa"/>
          <w:left w:w="28" w:type="dxa"/>
          <w:bottom w:w="28" w:type="dxa"/>
          <w:right w:w="28" w:type="dxa"/>
        </w:tblCellMar>
      </w:tblPr>
      <w:tblGrid>
        <w:gridCol w:w="2611"/>
        <w:gridCol w:w="1651"/>
      </w:tblGrid>
      <w:tr>
        <w:trPr/>
        <w:tc>
          <w:tcPr>
            <w:tcW w:w="261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Maryland</w:t>
            </w:r>
          </w:p>
        </w:tc>
        <w:tc>
          <w:tcPr>
            <w:tcW w:w="1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90-0945675</w:t>
            </w:r>
          </w:p>
        </w:tc>
      </w:tr>
      <w:tr>
        <w:trPr/>
        <w:tc>
          <w:tcPr>
            <w:tcW w:w="261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(State or Other Jurisdiction of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Incorporation or Organization)</w:t>
            </w:r>
          </w:p>
        </w:tc>
        <w:tc>
          <w:tcPr>
            <w:tcW w:w="165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 xml:space="preserve">(I.R.S. Employer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bl>
    <w:p>
      <w:pPr>
        <w:pStyle w:val="TextBody"/>
        <w:bidi w:val="0"/>
        <w:jc w:val="center"/>
        <w:rPr/>
      </w:pPr>
      <w:r>
        <w:rPr/>
        <w:t> </w:t>
      </w:r>
    </w:p>
    <w:tbl>
      <w:tblPr>
        <w:tblW w:w="5101" w:type="dxa"/>
        <w:jc w:val="left"/>
        <w:tblInd w:w="0" w:type="dxa"/>
        <w:tblLayout w:type="fixed"/>
        <w:tblCellMar>
          <w:top w:w="28" w:type="dxa"/>
          <w:left w:w="28" w:type="dxa"/>
          <w:bottom w:w="28" w:type="dxa"/>
          <w:right w:w="28" w:type="dxa"/>
        </w:tblCellMar>
      </w:tblPr>
      <w:tblGrid>
        <w:gridCol w:w="5101"/>
      </w:tblGrid>
      <w:tr>
        <w:trPr/>
        <w:tc>
          <w:tcPr>
            <w:tcW w:w="5101" w:type="dxa"/>
            <w:tcBorders/>
            <w:vAlign w:val="center"/>
          </w:tcPr>
          <w:p>
            <w:pPr>
              <w:pStyle w:val="TableContents"/>
              <w:bidi w:val="0"/>
              <w:spacing w:before="0" w:after="283"/>
              <w:jc w:val="left"/>
              <w:rPr>
                <w:sz w:val="4"/>
                <w:szCs w:val="4"/>
              </w:rPr>
            </w:pPr>
            <w:r>
              <w:rPr>
                <w:sz w:val="4"/>
                <w:szCs w:val="4"/>
              </w:rPr>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650 Madison Avenue, 23rd Floor</w:t>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New York, New York</w:t>
            </w:r>
            <w:r>
              <w:rPr>
                <w:rFonts w:ascii="Times New Roman" w:hAnsi="Times New Roman"/>
                <w:color w:val="000000"/>
                <w:sz w:val="20"/>
              </w:rPr>
              <w:t xml:space="preserve"> </w:t>
            </w:r>
            <w:r>
              <w:rPr>
                <w:rFonts w:ascii="Times New Roman" w:hAnsi="Times New Roman"/>
                <w:b/>
                <w:color w:val="000000"/>
                <w:sz w:val="20"/>
              </w:rPr>
              <w:t>10022</w:t>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 Including Zip Code)</w:t>
            </w:r>
          </w:p>
        </w:tc>
      </w:tr>
    </w:tbl>
    <w:tbl>
      <w:tblPr>
        <w:tblW w:w="4651" w:type="dxa"/>
        <w:jc w:val="left"/>
        <w:tblInd w:w="0" w:type="dxa"/>
        <w:tblLayout w:type="fixed"/>
        <w:tblCellMar>
          <w:top w:w="28" w:type="dxa"/>
          <w:left w:w="28" w:type="dxa"/>
          <w:bottom w:w="28" w:type="dxa"/>
          <w:right w:w="28" w:type="dxa"/>
        </w:tblCellMar>
      </w:tblPr>
      <w:tblGrid>
        <w:gridCol w:w="4651"/>
      </w:tblGrid>
      <w:tr>
        <w:trPr/>
        <w:tc>
          <w:tcPr>
            <w:tcW w:w="4651" w:type="dxa"/>
            <w:tcBorders/>
            <w:vAlign w:val="center"/>
          </w:tcPr>
          <w:p>
            <w:pPr>
              <w:pStyle w:val="TableContents"/>
              <w:bidi w:val="0"/>
              <w:spacing w:before="0" w:after="283"/>
              <w:jc w:val="left"/>
              <w:rPr>
                <w:sz w:val="4"/>
                <w:szCs w:val="4"/>
              </w:rPr>
            </w:pPr>
            <w:r>
              <w:rPr>
                <w:sz w:val="4"/>
                <w:szCs w:val="4"/>
              </w:rPr>
            </w:r>
          </w:p>
        </w:tc>
      </w:tr>
      <w:tr>
        <w:trPr/>
        <w:tc>
          <w:tcPr>
            <w:tcW w:w="4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(212) 891-2880</w:t>
            </w:r>
          </w:p>
        </w:tc>
      </w:tr>
      <w:tr>
        <w:trPr/>
        <w:tc>
          <w:tcPr>
            <w:tcW w:w="46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(Registrant’s Telephone Number, Including Area Code)</w:t>
            </w:r>
          </w:p>
        </w:tc>
      </w:tr>
    </w:tbl>
    <w:p>
      <w:pPr>
        <w:pStyle w:val="TextBody"/>
        <w:bidi w:val="0"/>
        <w:jc w:val="center"/>
        <w:rPr/>
      </w:pPr>
      <w:r>
        <w:rPr/>
        <w:t> </w:t>
      </w:r>
    </w:p>
    <w:tbl>
      <w:tblPr>
        <w:tblW w:w="7096" w:type="dxa"/>
        <w:jc w:val="left"/>
        <w:tblInd w:w="0" w:type="dxa"/>
        <w:tblLayout w:type="fixed"/>
        <w:tblCellMar>
          <w:top w:w="28" w:type="dxa"/>
          <w:left w:w="28" w:type="dxa"/>
          <w:bottom w:w="28" w:type="dxa"/>
          <w:right w:w="28" w:type="dxa"/>
        </w:tblCellMar>
      </w:tblPr>
      <w:tblGrid>
        <w:gridCol w:w="7096"/>
      </w:tblGrid>
      <w:tr>
        <w:trPr/>
        <w:tc>
          <w:tcPr>
            <w:tcW w:w="7096" w:type="dxa"/>
            <w:tcBorders/>
            <w:vAlign w:val="center"/>
          </w:tcPr>
          <w:p>
            <w:pPr>
              <w:pStyle w:val="TableContents"/>
              <w:bidi w:val="0"/>
              <w:spacing w:before="0" w:after="283"/>
              <w:jc w:val="left"/>
              <w:rPr>
                <w:sz w:val="4"/>
                <w:szCs w:val="4"/>
              </w:rPr>
            </w:pPr>
            <w:r>
              <w:rPr>
                <w:sz w:val="4"/>
                <w:szCs w:val="4"/>
              </w:rPr>
            </w:r>
          </w:p>
        </w:tc>
      </w:tr>
      <w:tr>
        <w:trPr/>
        <w:tc>
          <w:tcPr>
            <w:tcW w:w="7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70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(Former Name, Former Address and Former Fiscal Year, if Changed Since Last Report)</w:t>
            </w:r>
          </w:p>
        </w:tc>
      </w:tr>
    </w:tbl>
    <w:p>
      <w:pPr>
        <w:pStyle w:val="TextBody"/>
        <w:bidi w:val="0"/>
        <w:jc w:val="center"/>
        <w:rPr/>
      </w:pPr>
      <w:r>
        <w:rPr/>
        <w:t> </w:t>
      </w:r>
    </w:p>
    <w:p>
      <w:pPr>
        <w:pStyle w:val="TextBody"/>
        <w:bidi w:val="0"/>
        <w:jc w:val="center"/>
        <w:rPr>
          <w:rFonts w:ascii="Times New Roman" w:hAnsi="Times New Roman"/>
          <w:b/>
          <w:color w:val="000000"/>
          <w:sz w:val="17"/>
        </w:rPr>
      </w:pPr>
      <w:r>
        <w:rPr>
          <w:rFonts w:ascii="Times New Roman" w:hAnsi="Times New Roman"/>
          <w:b/>
          <w:color w:val="000000"/>
          <w:sz w:val="17"/>
        </w:rPr>
        <w:t>Securities registered pursuant to Section 12(b) of the Act:</w:t>
      </w:r>
    </w:p>
    <w:tbl>
      <w:tblPr>
        <w:tblW w:w="7526" w:type="dxa"/>
        <w:jc w:val="left"/>
        <w:tblInd w:w="0" w:type="dxa"/>
        <w:tblLayout w:type="fixed"/>
        <w:tblCellMar>
          <w:top w:w="28" w:type="dxa"/>
          <w:left w:w="28" w:type="dxa"/>
          <w:bottom w:w="28" w:type="dxa"/>
          <w:right w:w="28" w:type="dxa"/>
        </w:tblCellMar>
      </w:tblPr>
      <w:tblGrid>
        <w:gridCol w:w="3181"/>
        <w:gridCol w:w="109"/>
        <w:gridCol w:w="1426"/>
        <w:gridCol w:w="109"/>
        <w:gridCol w:w="2701"/>
      </w:tblGrid>
      <w:tr>
        <w:trPr/>
        <w:tc>
          <w:tcPr>
            <w:tcW w:w="3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18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Title of Each Class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Trading symbol(s)</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7"/>
              </w:rPr>
            </w:pPr>
            <w:r>
              <w:rPr>
                <w:rFonts w:ascii="Times New Roman" w:hAnsi="Times New Roman"/>
                <w:b/>
                <w:color w:val="000000"/>
                <w:sz w:val="17"/>
              </w:rPr>
              <w:t xml:space="preserve">Name of Each Exchange on Which </w:t>
            </w:r>
            <w:r>
              <w:rPr>
                <w:rFonts w:ascii="Times New Roman" w:hAnsi="Times New Roman"/>
                <w:color w:val="000000"/>
                <w:sz w:val="17"/>
              </w:rPr>
              <w:br/>
            </w:r>
            <w:r>
              <w:rPr>
                <w:rFonts w:ascii="Times New Roman" w:hAnsi="Times New Roman"/>
                <w:b/>
                <w:color w:val="000000"/>
                <w:sz w:val="17"/>
              </w:rPr>
              <w:t>Registered</w:t>
            </w:r>
          </w:p>
        </w:tc>
      </w:tr>
      <w:tr>
        <w:trPr/>
        <w:tc>
          <w:tcPr>
            <w:tcW w:w="3181"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Common Stock, par value $0.01 per share</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LRFC</w:t>
            </w:r>
          </w:p>
        </w:tc>
        <w:tc>
          <w:tcPr>
            <w:tcW w:w="109"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NASDAQ Global Select Market</w:t>
            </w:r>
          </w:p>
        </w:tc>
      </w:tr>
    </w:tbl>
    <w:p>
      <w:pPr>
        <w:pStyle w:val="TextBody"/>
        <w:bidi w:val="0"/>
        <w:jc w:val="both"/>
        <w:rPr>
          <w:rFonts w:ascii="Times New Roman" w:hAnsi="Times New Roman"/>
          <w:color w:val="000000"/>
          <w:sz w:val="16"/>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1375" w:type="dxa"/>
        <w:jc w:val="left"/>
        <w:tblInd w:w="0" w:type="dxa"/>
        <w:tblLayout w:type="fixed"/>
        <w:tblCellMar>
          <w:top w:w="28" w:type="dxa"/>
          <w:left w:w="28" w:type="dxa"/>
          <w:bottom w:w="28" w:type="dxa"/>
          <w:right w:w="28" w:type="dxa"/>
        </w:tblCellMar>
      </w:tblPr>
      <w:tblGrid>
        <w:gridCol w:w="124"/>
        <w:gridCol w:w="109"/>
        <w:gridCol w:w="586"/>
        <w:gridCol w:w="5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Yes </w:t>
            </w:r>
            <w:r>
              <w:rPr>
                <w:rFonts w:ascii="Wingdings;serif" w:hAnsi="Wingdings;serif"/>
                <w:color w:val="000000"/>
                <w:sz w:val="16"/>
              </w:rPr>
              <w:t>x</w:t>
            </w:r>
          </w:p>
        </w:tc>
        <w:tc>
          <w:tcPr>
            <w:tcW w:w="55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 ☐</w:t>
            </w:r>
          </w:p>
        </w:tc>
      </w:tr>
    </w:tbl>
    <w:p>
      <w:pPr>
        <w:pStyle w:val="TextBody"/>
        <w:bidi w:val="0"/>
        <w:jc w:val="both"/>
        <w:rPr>
          <w:rFonts w:ascii="Times New Roman" w:hAnsi="Times New Roman"/>
          <w:color w:val="000000"/>
          <w:sz w:val="16"/>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375" w:type="dxa"/>
        <w:jc w:val="left"/>
        <w:tblInd w:w="0" w:type="dxa"/>
        <w:tblLayout w:type="fixed"/>
        <w:tblCellMar>
          <w:top w:w="28" w:type="dxa"/>
          <w:left w:w="28" w:type="dxa"/>
          <w:bottom w:w="28" w:type="dxa"/>
          <w:right w:w="28" w:type="dxa"/>
        </w:tblCellMar>
      </w:tblPr>
      <w:tblGrid>
        <w:gridCol w:w="124"/>
        <w:gridCol w:w="109"/>
        <w:gridCol w:w="586"/>
        <w:gridCol w:w="5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Yes </w:t>
            </w:r>
            <w:r>
              <w:rPr>
                <w:rFonts w:ascii="Wingdings;serif" w:hAnsi="Wingdings;serif"/>
                <w:color w:val="000000"/>
                <w:sz w:val="16"/>
              </w:rPr>
              <w:t>x</w:t>
            </w:r>
          </w:p>
        </w:tc>
        <w:tc>
          <w:tcPr>
            <w:tcW w:w="55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 ☐</w:t>
            </w:r>
          </w:p>
        </w:tc>
      </w:tr>
    </w:tbl>
    <w:p>
      <w:pPr>
        <w:pStyle w:val="TextBody"/>
        <w:bidi w:val="0"/>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568" w:type="dxa"/>
        <w:jc w:val="left"/>
        <w:tblInd w:w="0" w:type="dxa"/>
        <w:tblLayout w:type="fixed"/>
        <w:tblCellMar>
          <w:top w:w="28" w:type="dxa"/>
          <w:left w:w="28" w:type="dxa"/>
          <w:bottom w:w="28" w:type="dxa"/>
          <w:right w:w="28" w:type="dxa"/>
        </w:tblCellMar>
      </w:tblPr>
      <w:tblGrid>
        <w:gridCol w:w="124"/>
        <w:gridCol w:w="1696"/>
        <w:gridCol w:w="316"/>
        <w:gridCol w:w="2071"/>
        <w:gridCol w:w="361"/>
      </w:tblGrid>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Large accelerated filer </w:t>
            </w:r>
          </w:p>
        </w:tc>
        <w:tc>
          <w:tcPr>
            <w:tcW w:w="316" w:type="dxa"/>
            <w:tcBorders/>
            <w:vAlign w:val="center"/>
          </w:tcPr>
          <w:p>
            <w:pPr>
              <w:pStyle w:val="TableContents"/>
              <w:bidi w:val="0"/>
              <w:spacing w:before="0" w:after="283"/>
              <w:jc w:val="left"/>
              <w:rPr>
                <w:color w:val="000000"/>
              </w:rPr>
            </w:pPr>
            <w:r>
              <w:rPr>
                <w:color w:val="000000"/>
              </w:rPr>
              <w:t>☐</w:t>
            </w:r>
          </w:p>
        </w:tc>
        <w:tc>
          <w:tcPr>
            <w:tcW w:w="20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vAlign w:val="center"/>
          </w:tcPr>
          <w:p>
            <w:pPr>
              <w:pStyle w:val="TableContents"/>
              <w:bidi w:val="0"/>
              <w:spacing w:before="0" w:after="283"/>
              <w:jc w:val="left"/>
              <w:rPr>
                <w:rFonts w:ascii="Wingdings;serif" w:hAnsi="Wingdings;serif"/>
                <w:color w:val="000000"/>
                <w:sz w:val="16"/>
              </w:rPr>
            </w:pPr>
            <w:r>
              <w:rPr>
                <w:rFonts w:ascii="Wingdings;serif" w:hAnsi="Wingdings;serif"/>
                <w:color w:val="000000"/>
                <w:sz w:val="16"/>
              </w:rPr>
              <w:t>x</w:t>
            </w:r>
          </w:p>
        </w:tc>
        <w:tc>
          <w:tcPr>
            <w:tcW w:w="20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Emerging growth company </w:t>
            </w:r>
          </w:p>
        </w:tc>
        <w:tc>
          <w:tcPr>
            <w:tcW w:w="361" w:type="dxa"/>
            <w:tcBorders/>
            <w:vAlign w:val="center"/>
          </w:tcPr>
          <w:p>
            <w:pPr>
              <w:pStyle w:val="TableContents"/>
              <w:bidi w:val="0"/>
              <w:spacing w:before="0" w:after="283"/>
              <w:jc w:val="left"/>
              <w:rPr>
                <w:color w:val="000000"/>
              </w:rPr>
            </w:pPr>
            <w:r>
              <w:rPr>
                <w:color w:val="000000"/>
              </w:rPr>
              <w:t>☐</w:t>
            </w:r>
          </w:p>
        </w:tc>
      </w:tr>
    </w:tbl>
    <w:p>
      <w:pPr>
        <w:pStyle w:val="TextBody"/>
        <w:bidi w:val="0"/>
        <w:jc w:val="both"/>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both"/>
        <w:rPr>
          <w:rFonts w:ascii="Times New Roman" w:hAnsi="Times New Roman"/>
          <w:color w:val="000000"/>
          <w:sz w:val="16"/>
        </w:rPr>
      </w:pPr>
      <w:r>
        <w:rPr>
          <w:rFonts w:ascii="Times New Roman" w:hAnsi="Times New Roman"/>
          <w:color w:val="000000"/>
          <w:sz w:val="16"/>
        </w:rPr>
        <w:t>Indicate by check mark whether the registrant is a shell company (as defined in Rule 12b-2 of the Exchange Act).</w:t>
      </w:r>
    </w:p>
    <w:tbl>
      <w:tblPr>
        <w:tblW w:w="1375" w:type="dxa"/>
        <w:jc w:val="left"/>
        <w:tblInd w:w="0" w:type="dxa"/>
        <w:tblLayout w:type="fixed"/>
        <w:tblCellMar>
          <w:top w:w="28" w:type="dxa"/>
          <w:left w:w="28" w:type="dxa"/>
          <w:bottom w:w="28" w:type="dxa"/>
          <w:right w:w="28" w:type="dxa"/>
        </w:tblCellMar>
      </w:tblPr>
      <w:tblGrid>
        <w:gridCol w:w="124"/>
        <w:gridCol w:w="109"/>
        <w:gridCol w:w="556"/>
        <w:gridCol w:w="5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Yes ☐</w:t>
            </w:r>
          </w:p>
        </w:tc>
        <w:tc>
          <w:tcPr>
            <w:tcW w:w="586" w:type="dxa"/>
            <w:tcBorders/>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 xml:space="preserve">No </w:t>
            </w:r>
            <w:r>
              <w:rPr>
                <w:rFonts w:ascii="Wingdings;serif" w:hAnsi="Wingdings;serif"/>
                <w:color w:val="000000"/>
                <w:sz w:val="16"/>
              </w:rPr>
              <w:t>x</w:t>
            </w:r>
          </w:p>
        </w:tc>
      </w:tr>
    </w:tbl>
    <w:p>
      <w:pPr>
        <w:pStyle w:val="TextBody"/>
        <w:bidi w:val="0"/>
        <w:jc w:val="both"/>
        <w:rPr>
          <w:rFonts w:ascii="Times New Roman" w:hAnsi="Times New Roman"/>
          <w:color w:val="000000"/>
          <w:sz w:val="16"/>
        </w:rPr>
      </w:pPr>
      <w:r>
        <w:rPr>
          <w:rFonts w:ascii="Times New Roman" w:hAnsi="Times New Roman"/>
          <w:color w:val="000000"/>
          <w:sz w:val="16"/>
        </w:rPr>
        <w:t>The number of shares of Logan Ridge Finance Corporation’s common stock, $0.01 par value, outstanding as of May 2, 2024 was 2,675,998.</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TABLE OF CONTENTS</w:t>
      </w:r>
    </w:p>
    <w:tbl>
      <w:tblPr>
        <w:tblW w:w="9483" w:type="dxa"/>
        <w:jc w:val="left"/>
        <w:tblInd w:w="0" w:type="dxa"/>
        <w:tblLayout w:type="fixed"/>
        <w:tblCellMar>
          <w:top w:w="28" w:type="dxa"/>
          <w:left w:w="28" w:type="dxa"/>
          <w:bottom w:w="28" w:type="dxa"/>
          <w:right w:w="28" w:type="dxa"/>
        </w:tblCellMar>
      </w:tblPr>
      <w:tblGrid>
        <w:gridCol w:w="781"/>
        <w:gridCol w:w="8191"/>
        <w:gridCol w:w="511"/>
      </w:tblGrid>
      <w:tr>
        <w:trPr/>
        <w:tc>
          <w:tcPr>
            <w:tcW w:w="781" w:type="dxa"/>
            <w:tcBorders/>
            <w:vAlign w:val="center"/>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before="0" w:after="283"/>
              <w:jc w:val="left"/>
              <w:rPr>
                <w:sz w:val="4"/>
                <w:szCs w:val="4"/>
              </w:rPr>
            </w:pPr>
            <w:r>
              <w:rPr>
                <w:sz w:val="4"/>
                <w:szCs w:val="4"/>
              </w:rPr>
            </w:r>
          </w:p>
        </w:tc>
        <w:tc>
          <w:tcPr>
            <w:tcW w:w="8191" w:type="dxa"/>
            <w:tcBorders/>
            <w:vAlign w:val="center"/>
          </w:tcPr>
          <w:p>
            <w:pPr>
              <w:pStyle w:val="TableContents"/>
              <w:bidi w:val="0"/>
              <w:spacing w:before="0" w:after="283"/>
              <w:jc w:val="left"/>
              <w:rPr>
                <w:sz w:val="4"/>
                <w:szCs w:val="4"/>
              </w:rPr>
            </w:pPr>
            <w:r>
              <w:rPr>
                <w:sz w:val="4"/>
                <w:szCs w:val="4"/>
              </w:rPr>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781" w:type="dxa"/>
            <w:tcBorders/>
            <w:shd w:fill="CCEEFF" w:val="cle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16"/>
                  <w:u w:val="single"/>
                </w:rPr>
                <w:t>PART I.</w:t>
              </w:r>
            </w:hyperlink>
          </w:p>
        </w:tc>
        <w:tc>
          <w:tcPr>
            <w:tcW w:w="8191" w:type="dxa"/>
            <w:tcBorders/>
            <w:shd w:fill="CCEEFF" w:val="cle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16"/>
                  <w:u w:val="single"/>
                </w:rPr>
                <w:t>FINANCIAL INFORMATION</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Item 1.</w:t>
            </w:r>
          </w:p>
        </w:tc>
        <w:tc>
          <w:tcPr>
            <w:tcW w:w="8191" w:type="dxa"/>
            <w:tcBorders/>
            <w:shd w:fill="CCEEFF" w:val="clear"/>
            <w:vAlign w:val="center"/>
          </w:tcPr>
          <w:p>
            <w:pPr>
              <w:pStyle w:val="TableContents"/>
              <w:bidi w:val="0"/>
              <w:spacing w:before="0" w:after="283"/>
              <w:jc w:val="left"/>
              <w:rPr/>
            </w:pPr>
            <w:hyperlink w:anchor="consolidated_financial_statements">
              <w:r>
                <w:rPr>
                  <w:rStyle w:val="InternetLink"/>
                  <w:rFonts w:ascii="Times New Roman" w:hAnsi="Times New Roman"/>
                  <w:color w:val="0000FF"/>
                  <w:sz w:val="16"/>
                  <w:u w:val="single"/>
                </w:rPr>
                <w:t>Consolidated Financial Statements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191" w:type="dxa"/>
            <w:tcBorders/>
            <w:shd w:fill="CCEEFF" w:val="clear"/>
            <w:vAlign w:val="center"/>
          </w:tcPr>
          <w:p>
            <w:pPr>
              <w:pStyle w:val="TableContents"/>
              <w:pBdr/>
              <w:bidi w:val="0"/>
              <w:spacing w:before="0" w:after="283"/>
              <w:ind w:left="0" w:right="0" w:hanging="187"/>
              <w:jc w:val="left"/>
              <w:rPr/>
            </w:pPr>
            <w:hyperlink w:anchor="statements_of_assets_and_liabilities">
              <w:r>
                <w:rPr>
                  <w:rStyle w:val="InternetLink"/>
                  <w:rFonts w:ascii="Times New Roman" w:hAnsi="Times New Roman"/>
                  <w:color w:val="0000FF"/>
                  <w:sz w:val="16"/>
                  <w:u w:val="single"/>
                </w:rPr>
                <w:t>Consolidated Statements of Assets and Liabilities as of March 31, 2024 (unaudited) and December 31, 2023</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191" w:type="dxa"/>
            <w:tcBorders/>
            <w:shd w:fill="CCEEFF" w:val="clear"/>
            <w:vAlign w:val="center"/>
          </w:tcPr>
          <w:p>
            <w:pPr>
              <w:pStyle w:val="TableContents"/>
              <w:pBdr/>
              <w:bidi w:val="0"/>
              <w:spacing w:before="0" w:after="283"/>
              <w:ind w:left="0" w:right="0" w:hanging="187"/>
              <w:jc w:val="left"/>
              <w:rPr/>
            </w:pPr>
            <w:hyperlink w:anchor="statements_of_operations">
              <w:r>
                <w:rPr>
                  <w:rStyle w:val="InternetLink"/>
                  <w:rFonts w:ascii="Times New Roman" w:hAnsi="Times New Roman"/>
                  <w:color w:val="0000FF"/>
                  <w:sz w:val="16"/>
                  <w:u w:val="single"/>
                </w:rPr>
                <w:t>Consolidated Statements of Operations for the three months ended March 31, 2024 and 2023 (unaudited)</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191" w:type="dxa"/>
            <w:tcBorders/>
            <w:shd w:fill="CCEEFF" w:val="clear"/>
            <w:vAlign w:val="center"/>
          </w:tcPr>
          <w:p>
            <w:pPr>
              <w:pStyle w:val="TableContents"/>
              <w:pBdr/>
              <w:bidi w:val="0"/>
              <w:spacing w:before="0" w:after="283"/>
              <w:ind w:left="0" w:right="0" w:hanging="187"/>
              <w:jc w:val="left"/>
              <w:rPr/>
            </w:pPr>
            <w:hyperlink w:anchor="statements_of_changes_in_net_assets">
              <w:r>
                <w:rPr>
                  <w:rStyle w:val="InternetLink"/>
                  <w:rFonts w:ascii="Times New Roman" w:hAnsi="Times New Roman"/>
                  <w:color w:val="0000FF"/>
                  <w:sz w:val="16"/>
                  <w:u w:val="single"/>
                </w:rPr>
                <w:t>Consolidated Statements of Changes in Net Assets for the three months ended March 31, 2024 and 2023 (unaudited)</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191" w:type="dxa"/>
            <w:tcBorders/>
            <w:shd w:fill="CCEEFF" w:val="clear"/>
            <w:vAlign w:val="center"/>
          </w:tcPr>
          <w:p>
            <w:pPr>
              <w:pStyle w:val="TableContents"/>
              <w:pBdr/>
              <w:bidi w:val="0"/>
              <w:spacing w:before="0" w:after="283"/>
              <w:ind w:left="0" w:right="0" w:hanging="187"/>
              <w:jc w:val="left"/>
              <w:rPr/>
            </w:pPr>
            <w:hyperlink w:anchor="statements_of_cash_flows">
              <w:r>
                <w:rPr>
                  <w:rStyle w:val="InternetLink"/>
                  <w:rFonts w:ascii="Times New Roman" w:hAnsi="Times New Roman"/>
                  <w:color w:val="0000FF"/>
                  <w:sz w:val="16"/>
                  <w:u w:val="single"/>
                </w:rPr>
                <w:t>Consolidated Statements of Cash Flows for the three months ended March 31, 2024 and 2023 (unaudited)</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191" w:type="dxa"/>
            <w:tcBorders/>
            <w:shd w:fill="CCEEFF" w:val="clear"/>
            <w:vAlign w:val="center"/>
          </w:tcPr>
          <w:p>
            <w:pPr>
              <w:pStyle w:val="TableContents"/>
              <w:pBdr/>
              <w:bidi w:val="0"/>
              <w:spacing w:before="0" w:after="283"/>
              <w:ind w:left="0" w:right="0" w:hanging="187"/>
              <w:jc w:val="left"/>
              <w:rPr/>
            </w:pPr>
            <w:hyperlink w:anchor="schedule_of_investments">
              <w:r>
                <w:rPr>
                  <w:rStyle w:val="InternetLink"/>
                  <w:rFonts w:ascii="Times New Roman" w:hAnsi="Times New Roman"/>
                  <w:color w:val="0000FF"/>
                  <w:sz w:val="16"/>
                  <w:u w:val="single"/>
                </w:rPr>
                <w:t>Consolidated Schedules of Investments as of March 31, 2024 (unaudited) and December 31, 2023</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ind w:left="0" w:right="0" w:firstLine="187"/>
              <w:jc w:val="left"/>
              <w:rPr>
                <w:sz w:val="4"/>
                <w:szCs w:val="4"/>
              </w:rPr>
            </w:pPr>
            <w:r>
              <w:rPr>
                <w:sz w:val="4"/>
                <w:szCs w:val="4"/>
              </w:rPr>
            </w:r>
          </w:p>
        </w:tc>
        <w:tc>
          <w:tcPr>
            <w:tcW w:w="8191" w:type="dxa"/>
            <w:tcBorders/>
            <w:shd w:fill="CCEEFF" w:val="clear"/>
            <w:vAlign w:val="center"/>
          </w:tcPr>
          <w:p>
            <w:pPr>
              <w:pStyle w:val="TableContents"/>
              <w:pBdr/>
              <w:bidi w:val="0"/>
              <w:spacing w:before="0" w:after="283"/>
              <w:ind w:left="0" w:right="0" w:hanging="187"/>
              <w:jc w:val="left"/>
              <w:rPr/>
            </w:pPr>
            <w:hyperlink w:anchor="notes_to_consolidated_financial">
              <w:r>
                <w:rPr>
                  <w:rStyle w:val="InternetLink"/>
                  <w:rFonts w:ascii="Times New Roman" w:hAnsi="Times New Roman"/>
                  <w:color w:val="0000FF"/>
                  <w:sz w:val="16"/>
                  <w:u w:val="single"/>
                </w:rPr>
                <w:t>Notes to Consolidated Financial Statements as of and for the period ended March 31, 2024 (unaudited)</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r>
      <w:tr>
        <w:trPr/>
        <w:tc>
          <w:tcPr>
            <w:tcW w:w="781" w:type="dxa"/>
            <w:tcBorders/>
            <w:shd w:fill="CCEEFF" w:val="clear"/>
            <w:vAlign w:val="center"/>
          </w:tcPr>
          <w:p>
            <w:pPr>
              <w:pStyle w:val="TableContents"/>
              <w:bidi w:val="0"/>
              <w:spacing w:before="0" w:after="283"/>
              <w:jc w:val="left"/>
              <w:rPr/>
            </w:pPr>
            <w:hyperlink w:anchor="item_2_management_discussion">
              <w:r>
                <w:rPr>
                  <w:rStyle w:val="InternetLink"/>
                  <w:rFonts w:ascii="Times New Roman" w:hAnsi="Times New Roman"/>
                  <w:color w:val="0000FF"/>
                  <w:sz w:val="16"/>
                  <w:u w:val="single"/>
                </w:rPr>
                <w:t>Item 2.</w:t>
              </w:r>
            </w:hyperlink>
          </w:p>
        </w:tc>
        <w:tc>
          <w:tcPr>
            <w:tcW w:w="8191" w:type="dxa"/>
            <w:tcBorders/>
            <w:shd w:fill="CCEEFF" w:val="clear"/>
            <w:vAlign w:val="center"/>
          </w:tcPr>
          <w:p>
            <w:pPr>
              <w:pStyle w:val="TableContents"/>
              <w:bidi w:val="0"/>
              <w:spacing w:before="0" w:after="283"/>
              <w:jc w:val="left"/>
              <w:rPr/>
            </w:pPr>
            <w:hyperlink w:anchor="item_2_management_discussion">
              <w:r>
                <w:rPr>
                  <w:rStyle w:val="InternetLink"/>
                  <w:rFonts w:ascii="Times New Roman" w:hAnsi="Times New Roman"/>
                  <w:color w:val="0000FF"/>
                  <w:sz w:val="16"/>
                  <w:u w:val="single"/>
                </w:rPr>
                <w:t>Management’s Discussion and Analysis of Financial Condition and Results of Operations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16"/>
                  <w:u w:val="single"/>
                </w:rPr>
                <w:t>Item 3.</w:t>
              </w:r>
            </w:hyperlink>
          </w:p>
        </w:tc>
        <w:tc>
          <w:tcPr>
            <w:tcW w:w="8191" w:type="dxa"/>
            <w:tcBorders/>
            <w:shd w:fill="CCEEFF" w:val="cle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16"/>
                  <w:u w:val="single"/>
                </w:rPr>
                <w:t>Quantitative and Qualitative Disclosures About Market Risk</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16"/>
                  <w:u w:val="single"/>
                </w:rPr>
                <w:t>Item 4.</w:t>
              </w:r>
            </w:hyperlink>
          </w:p>
        </w:tc>
        <w:tc>
          <w:tcPr>
            <w:tcW w:w="8191" w:type="dxa"/>
            <w:tcBorders/>
            <w:shd w:fill="CCEEFF" w:val="cle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16"/>
                  <w:u w:val="single"/>
                </w:rPr>
                <w:t>Controls and Procedures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16"/>
                  <w:u w:val="single"/>
                </w:rPr>
                <w:t>PART II.</w:t>
              </w:r>
            </w:hyperlink>
          </w:p>
        </w:tc>
        <w:tc>
          <w:tcPr>
            <w:tcW w:w="8191" w:type="dxa"/>
            <w:tcBorders/>
            <w:shd w:fill="CCEEFF" w:val="clear"/>
            <w:vAlign w:val="center"/>
          </w:tcPr>
          <w:p>
            <w:pPr>
              <w:pStyle w:val="TableContents"/>
              <w:bidi w:val="0"/>
              <w:spacing w:before="0" w:after="283"/>
              <w:jc w:val="left"/>
              <w:rPr/>
            </w:pPr>
            <w:hyperlink w:anchor="part_ii_other_information">
              <w:r>
                <w:rPr>
                  <w:rStyle w:val="InternetLink"/>
                  <w:rFonts w:ascii="Times New Roman" w:hAnsi="Times New Roman"/>
                  <w:b/>
                  <w:color w:val="0000FF"/>
                  <w:sz w:val="16"/>
                  <w:u w:val="single"/>
                </w:rPr>
                <w:t>OTHER INFORMATION</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1_legal_proceedings">
              <w:r>
                <w:rPr>
                  <w:rStyle w:val="InternetLink"/>
                  <w:rFonts w:ascii="Times New Roman" w:hAnsi="Times New Roman"/>
                  <w:color w:val="0000FF"/>
                  <w:sz w:val="16"/>
                  <w:u w:val="single"/>
                </w:rPr>
                <w:t>Item 1.</w:t>
              </w:r>
            </w:hyperlink>
          </w:p>
        </w:tc>
        <w:tc>
          <w:tcPr>
            <w:tcW w:w="8191" w:type="dxa"/>
            <w:tcBorders/>
            <w:shd w:fill="CCEEFF" w:val="clear"/>
            <w:vAlign w:val="center"/>
          </w:tcPr>
          <w:p>
            <w:pPr>
              <w:pStyle w:val="TableContents"/>
              <w:bidi w:val="0"/>
              <w:spacing w:before="0" w:after="283"/>
              <w:jc w:val="left"/>
              <w:rPr/>
            </w:pPr>
            <w:hyperlink w:anchor="item_1_legal_proceedings">
              <w:r>
                <w:rPr>
                  <w:rStyle w:val="InternetLink"/>
                  <w:rFonts w:ascii="Times New Roman" w:hAnsi="Times New Roman"/>
                  <w:color w:val="0000FF"/>
                  <w:sz w:val="16"/>
                  <w:u w:val="single"/>
                </w:rPr>
                <w:t>Legal Proceedings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16"/>
                  <w:u w:val="single"/>
                </w:rPr>
                <w:t>Item 1A.</w:t>
              </w:r>
            </w:hyperlink>
          </w:p>
        </w:tc>
        <w:tc>
          <w:tcPr>
            <w:tcW w:w="8191" w:type="dxa"/>
            <w:tcBorders/>
            <w:shd w:fill="CCEEFF" w:val="clear"/>
            <w:vAlign w:val="center"/>
          </w:tcPr>
          <w:p>
            <w:pPr>
              <w:pStyle w:val="TableContents"/>
              <w:bidi w:val="0"/>
              <w:spacing w:before="0" w:after="283"/>
              <w:jc w:val="left"/>
              <w:rPr/>
            </w:pPr>
            <w:hyperlink w:anchor="item_1a_risk_factors">
              <w:r>
                <w:rPr>
                  <w:rStyle w:val="InternetLink"/>
                  <w:rFonts w:ascii="Times New Roman" w:hAnsi="Times New Roman"/>
                  <w:color w:val="0000FF"/>
                  <w:sz w:val="16"/>
                  <w:u w:val="single"/>
                </w:rPr>
                <w:t>Risk Factors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16"/>
                  <w:u w:val="single"/>
                </w:rPr>
                <w:t>Item 2.</w:t>
              </w:r>
            </w:hyperlink>
          </w:p>
        </w:tc>
        <w:tc>
          <w:tcPr>
            <w:tcW w:w="8191" w:type="dxa"/>
            <w:tcBorders/>
            <w:shd w:fill="CCEEFF" w:val="cle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16"/>
                  <w:u w:val="single"/>
                </w:rPr>
                <w:t>Unregistered Sales of Equity Securities and Use of Proceeds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16"/>
                  <w:u w:val="single"/>
                </w:rPr>
                <w:t>Item 3.</w:t>
              </w:r>
            </w:hyperlink>
          </w:p>
        </w:tc>
        <w:tc>
          <w:tcPr>
            <w:tcW w:w="8191" w:type="dxa"/>
            <w:tcBorders/>
            <w:shd w:fill="CCEEFF" w:val="cle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16"/>
                  <w:u w:val="single"/>
                </w:rPr>
                <w:t>Defaults Upon Senior Securities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16"/>
                  <w:u w:val="single"/>
                </w:rPr>
                <w:t>Item 4.</w:t>
              </w:r>
            </w:hyperlink>
          </w:p>
        </w:tc>
        <w:tc>
          <w:tcPr>
            <w:tcW w:w="8191" w:type="dxa"/>
            <w:tcBorders/>
            <w:shd w:fill="CCEEFF" w:val="cle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16"/>
                  <w:u w:val="single"/>
                </w:rPr>
                <w:t>Mine Safety Disclosures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5_other_information">
              <w:r>
                <w:rPr>
                  <w:rStyle w:val="InternetLink"/>
                  <w:rFonts w:ascii="Times New Roman" w:hAnsi="Times New Roman"/>
                  <w:color w:val="0000FF"/>
                  <w:sz w:val="16"/>
                  <w:u w:val="single"/>
                </w:rPr>
                <w:t>Item 5.</w:t>
              </w:r>
            </w:hyperlink>
          </w:p>
        </w:tc>
        <w:tc>
          <w:tcPr>
            <w:tcW w:w="8191" w:type="dxa"/>
            <w:tcBorders/>
            <w:shd w:fill="CCEEFF" w:val="clear"/>
            <w:vAlign w:val="center"/>
          </w:tcPr>
          <w:p>
            <w:pPr>
              <w:pStyle w:val="TableContents"/>
              <w:bidi w:val="0"/>
              <w:spacing w:before="0" w:after="283"/>
              <w:jc w:val="left"/>
              <w:rPr/>
            </w:pPr>
            <w:hyperlink w:anchor="item_5_other_information">
              <w:r>
                <w:rPr>
                  <w:rStyle w:val="InternetLink"/>
                  <w:rFonts w:ascii="Times New Roman" w:hAnsi="Times New Roman"/>
                  <w:color w:val="0000FF"/>
                  <w:sz w:val="16"/>
                  <w:u w:val="single"/>
                </w:rPr>
                <w:t>Other Information</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r>
      <w:tr>
        <w:trPr/>
        <w:tc>
          <w:tcPr>
            <w:tcW w:w="781" w:type="dxa"/>
            <w:tcBorders/>
            <w:shd w:fill="FFFFFF" w:val="clear"/>
            <w:vAlign w:val="center"/>
          </w:tcPr>
          <w:p>
            <w:pPr>
              <w:pStyle w:val="TableContents"/>
              <w:bidi w:val="0"/>
              <w:spacing w:before="0" w:after="283"/>
              <w:jc w:val="left"/>
              <w:rPr>
                <w:sz w:val="4"/>
                <w:szCs w:val="4"/>
              </w:rPr>
            </w:pPr>
            <w:r>
              <w:rPr>
                <w:sz w:val="4"/>
                <w:szCs w:val="4"/>
              </w:rPr>
            </w:r>
          </w:p>
        </w:tc>
        <w:tc>
          <w:tcPr>
            <w:tcW w:w="8191"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781" w:type="dxa"/>
            <w:tcBorders/>
            <w:shd w:fill="CCEEFF" w:val="clear"/>
            <w:vAlign w:val="center"/>
          </w:tcPr>
          <w:p>
            <w:pPr>
              <w:pStyle w:val="TableContents"/>
              <w:bidi w:val="0"/>
              <w:spacing w:before="0" w:after="283"/>
              <w:jc w:val="left"/>
              <w:rPr/>
            </w:pPr>
            <w:hyperlink w:anchor="item_6_exhibits">
              <w:r>
                <w:rPr>
                  <w:rStyle w:val="InternetLink"/>
                  <w:rFonts w:ascii="Times New Roman" w:hAnsi="Times New Roman"/>
                  <w:color w:val="0000FF"/>
                  <w:sz w:val="16"/>
                  <w:u w:val="single"/>
                </w:rPr>
                <w:t>Item 6.</w:t>
              </w:r>
            </w:hyperlink>
          </w:p>
        </w:tc>
        <w:tc>
          <w:tcPr>
            <w:tcW w:w="8191" w:type="dxa"/>
            <w:tcBorders/>
            <w:shd w:fill="CCEEFF" w:val="clear"/>
            <w:vAlign w:val="center"/>
          </w:tcPr>
          <w:p>
            <w:pPr>
              <w:pStyle w:val="TableContents"/>
              <w:bidi w:val="0"/>
              <w:spacing w:before="0" w:after="283"/>
              <w:jc w:val="left"/>
              <w:rPr/>
            </w:pPr>
            <w:hyperlink w:anchor="item_6_exhibits">
              <w:r>
                <w:rPr>
                  <w:rStyle w:val="InternetLink"/>
                  <w:rFonts w:ascii="Times New Roman" w:hAnsi="Times New Roman"/>
                  <w:color w:val="0000FF"/>
                  <w:sz w:val="16"/>
                  <w:u w:val="single"/>
                </w:rPr>
                <w:t>Exhibits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r>
      <w:tr>
        <w:trPr/>
        <w:tc>
          <w:tcPr>
            <w:tcW w:w="8972" w:type="dxa"/>
            <w:gridSpan w:val="2"/>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right"/>
              <w:rPr/>
            </w:pPr>
            <w:r>
              <w:rPr/>
              <w:t> </w:t>
            </w:r>
          </w:p>
        </w:tc>
      </w:tr>
      <w:tr>
        <w:trPr/>
        <w:tc>
          <w:tcPr>
            <w:tcW w:w="8972" w:type="dxa"/>
            <w:gridSpan w:val="2"/>
            <w:tcBorders/>
            <w:shd w:fill="CCEEFF" w:val="clear"/>
            <w:vAlign w:val="center"/>
          </w:tcPr>
          <w:p>
            <w:pPr>
              <w:pStyle w:val="TableContents"/>
              <w:bidi w:val="0"/>
              <w:spacing w:before="0" w:after="283"/>
              <w:jc w:val="left"/>
              <w:rPr/>
            </w:pPr>
            <w:hyperlink w:anchor="signatures">
              <w:r>
                <w:rPr>
                  <w:rStyle w:val="InternetLink"/>
                  <w:rFonts w:ascii="Times New Roman" w:hAnsi="Times New Roman"/>
                  <w:color w:val="0000FF"/>
                  <w:sz w:val="16"/>
                  <w:u w:val="single"/>
                </w:rPr>
                <w:t>Signatures</w:t>
              </w:r>
            </w:hyperlink>
          </w:p>
        </w:tc>
        <w:tc>
          <w:tcPr>
            <w:tcW w:w="511" w:type="dxa"/>
            <w:tcBorders/>
            <w:shd w:fill="CCEE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bookmarkStart w:id="2" w:name="part_i_financial_information"/>
      <w:bookmarkEnd w:id="2"/>
      <w:r>
        <w:rPr>
          <w:rFonts w:ascii="Times New Roman" w:hAnsi="Times New Roman"/>
          <w:b/>
          <w:color w:val="000000"/>
          <w:sz w:val="16"/>
        </w:rPr>
        <w:t>PART I. FINANCIAL INFORMATION</w:t>
      </w:r>
    </w:p>
    <w:p>
      <w:pPr>
        <w:pStyle w:val="TextBody"/>
        <w:bidi w:val="0"/>
        <w:jc w:val="left"/>
        <w:rPr/>
      </w:pPr>
      <w:r>
        <w:rPr/>
        <w:t> </w:t>
      </w:r>
    </w:p>
    <w:p>
      <w:pPr>
        <w:pStyle w:val="TextBody"/>
        <w:bidi w:val="0"/>
        <w:jc w:val="center"/>
        <w:rPr>
          <w:rFonts w:ascii="Times New Roman" w:hAnsi="Times New Roman"/>
          <w:b/>
          <w:color w:val="000000"/>
          <w:sz w:val="16"/>
        </w:rPr>
      </w:pPr>
      <w:bookmarkStart w:id="3" w:name="consolidated_financial_statements"/>
      <w:bookmarkEnd w:id="3"/>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4" w:name="statements_of_assets_and_liabilities"/>
      <w:bookmarkEnd w:id="4"/>
      <w:r>
        <w:rPr>
          <w:rFonts w:ascii="Times New Roman" w:hAnsi="Times New Roman"/>
          <w:b/>
          <w:color w:val="000000"/>
          <w:sz w:val="16"/>
        </w:rPr>
        <w:t>CONSOLIDATED STATEMENTS OF ASSETS AND LIABILITIES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and per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026"/>
        <w:gridCol w:w="146"/>
        <w:gridCol w:w="240"/>
        <w:gridCol w:w="850"/>
        <w:gridCol w:w="166"/>
        <w:gridCol w:w="146"/>
        <w:gridCol w:w="268"/>
        <w:gridCol w:w="949"/>
        <w:gridCol w:w="414"/>
      </w:tblGrid>
      <w:tr>
        <w:trPr/>
        <w:tc>
          <w:tcPr>
            <w:tcW w:w="7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7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b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br/>
              <w:t>2023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7" w:type="dxa"/>
            <w:gridSpan w:val="2"/>
            <w:tcBorders/>
            <w:shd w:fill="FFFFFF" w:val="clear"/>
            <w:vAlign w:val="center"/>
          </w:tcPr>
          <w:p>
            <w:pPr>
              <w:pStyle w:val="TableContents"/>
              <w:bidi w:val="0"/>
              <w:spacing w:before="0" w:after="283"/>
              <w:jc w:val="center"/>
              <w:rPr/>
            </w:pPr>
            <w:r>
              <w:rPr/>
              <w:t> </w:t>
            </w:r>
          </w:p>
        </w:tc>
        <w:tc>
          <w:tcPr>
            <w:tcW w:w="414" w:type="dxa"/>
            <w:tcBorders/>
            <w:shd w:fill="FFFFFF" w:val="clear"/>
            <w:vAlign w:val="center"/>
          </w:tcPr>
          <w:p>
            <w:pPr>
              <w:pStyle w:val="TableContents"/>
              <w:bidi w:val="0"/>
              <w:spacing w:before="0" w:after="283"/>
              <w:jc w:val="center"/>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ASSETS</w:t>
            </w:r>
          </w:p>
        </w:tc>
        <w:tc>
          <w:tcPr>
            <w:tcW w:w="146"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217" w:type="dxa"/>
            <w:gridSpan w:val="2"/>
            <w:tcBorders/>
            <w:shd w:fill="CFF0FC" w:val="clear"/>
            <w:vAlign w:val="center"/>
          </w:tcPr>
          <w:p>
            <w:pPr>
              <w:pStyle w:val="TableContents"/>
              <w:bidi w:val="0"/>
              <w:spacing w:before="0" w:after="283"/>
              <w:jc w:val="center"/>
              <w:rPr/>
            </w:pPr>
            <w:r>
              <w:rPr/>
              <w:t> </w:t>
            </w:r>
          </w:p>
        </w:tc>
        <w:tc>
          <w:tcPr>
            <w:tcW w:w="414" w:type="dxa"/>
            <w:tcBorders/>
            <w:shd w:fill="CFF0FC" w:val="clear"/>
            <w:vAlign w:val="center"/>
          </w:tcPr>
          <w:p>
            <w:pPr>
              <w:pStyle w:val="TableContents"/>
              <w:bidi w:val="0"/>
              <w:spacing w:before="0" w:after="283"/>
              <w:jc w:val="center"/>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Investments at fair value:</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7"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ind w:left="0" w:right="0" w:firstLine="200"/>
              <w:jc w:val="left"/>
              <w:rPr/>
            </w:pPr>
            <w:r>
              <w:rPr/>
              <w:t> </w:t>
            </w:r>
          </w:p>
        </w:tc>
      </w:tr>
      <w:tr>
        <w:trPr/>
        <w:tc>
          <w:tcPr>
            <w:tcW w:w="702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Non-control/non-affiliate investments (amortized cost of $180,798</w:t>
            </w:r>
            <w:r>
              <w:rPr>
                <w:rFonts w:ascii="Times New Roman" w:hAnsi="Times New Roman"/>
                <w:color w:val="000000"/>
                <w:sz w:val="20"/>
              </w:rPr>
              <w:t> </w:t>
            </w:r>
            <w:r>
              <w:rPr>
                <w:rFonts w:ascii="Times New Roman" w:hAnsi="Times New Roman"/>
                <w:color w:val="000000"/>
                <w:sz w:val="16"/>
              </w:rPr>
              <w:t>and $170,972, respectively)</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167,802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161,880</w:t>
            </w:r>
          </w:p>
        </w:tc>
        <w:tc>
          <w:tcPr>
            <w:tcW w:w="414" w:type="dxa"/>
            <w:tcBorders/>
            <w:shd w:fill="CFF0FC" w:val="clear"/>
            <w:vAlign w:val="center"/>
          </w:tcPr>
          <w:p>
            <w:pPr>
              <w:pStyle w:val="TableContents"/>
              <w:bidi w:val="0"/>
              <w:spacing w:before="0" w:after="283"/>
              <w:ind w:left="0" w:right="0" w:firstLine="200"/>
              <w:jc w:val="left"/>
              <w:rPr/>
            </w:pPr>
            <w:r>
              <w:rPr/>
              <w:t> </w:t>
            </w:r>
          </w:p>
        </w:tc>
      </w:tr>
      <w:tr>
        <w:trPr/>
        <w:tc>
          <w:tcPr>
            <w:tcW w:w="7026"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Affiliate investments (amortized cost of $25,509</w:t>
            </w:r>
            <w:r>
              <w:rPr>
                <w:rFonts w:ascii="Times New Roman" w:hAnsi="Times New Roman"/>
                <w:color w:val="000000"/>
                <w:sz w:val="20"/>
              </w:rPr>
              <w:t> </w:t>
            </w:r>
            <w:r>
              <w:rPr>
                <w:rFonts w:ascii="Times New Roman" w:hAnsi="Times New Roman"/>
                <w:color w:val="000000"/>
                <w:sz w:val="16"/>
              </w:rPr>
              <w:t>and $25,546, respectively)</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27,778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6"/>
              </w:rPr>
              <w:t>Total investments at fair value (amortized cost of $206,307</w:t>
            </w:r>
            <w:r>
              <w:rPr>
                <w:rFonts w:ascii="Times New Roman" w:hAnsi="Times New Roman"/>
                <w:color w:val="000000"/>
                <w:sz w:val="20"/>
              </w:rPr>
              <w:t> </w:t>
            </w:r>
            <w:r>
              <w:rPr>
                <w:rFonts w:ascii="Times New Roman" w:hAnsi="Times New Roman"/>
                <w:color w:val="000000"/>
                <w:sz w:val="16"/>
              </w:rPr>
              <w:t>and $196,518, respectively)</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414" w:type="dxa"/>
            <w:tcBorders/>
            <w:shd w:fill="CFF0FC"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3,893</w:t>
            </w:r>
          </w:p>
        </w:tc>
        <w:tc>
          <w:tcPr>
            <w:tcW w:w="414" w:type="dxa"/>
            <w:tcBorders/>
            <w:shd w:fill="FFFFFF" w:val="cle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dividend receivable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1,374</w:t>
            </w:r>
          </w:p>
        </w:tc>
        <w:tc>
          <w:tcPr>
            <w:tcW w:w="414" w:type="dxa"/>
            <w:tcBorders/>
            <w:shd w:fill="CFF0FC"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2,163</w:t>
            </w:r>
          </w:p>
        </w:tc>
        <w:tc>
          <w:tcPr>
            <w:tcW w:w="414" w:type="dxa"/>
            <w:tcBorders/>
            <w:shd w:fill="FFFFFF" w:val="cle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Receivable for unsettled trades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color w:val="000000"/>
              </w:rPr>
            </w:pPr>
            <w:r>
              <w:rPr>
                <w:color w:val="000000"/>
              </w:rPr>
              <w:t>—</w:t>
            </w:r>
          </w:p>
        </w:tc>
        <w:tc>
          <w:tcPr>
            <w:tcW w:w="414" w:type="dxa"/>
            <w:tcBorders/>
            <w:shd w:fill="CFF0FC"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paid in advance to transfer agent</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197,088</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LIABILITIES</w:t>
            </w:r>
          </w:p>
        </w:tc>
        <w:tc>
          <w:tcPr>
            <w:tcW w:w="146"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7"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2026 Notes (net of deferred financing costs and original issue discount of $967</w:t>
            </w:r>
            <w:r>
              <w:rPr>
                <w:rFonts w:ascii="Times New Roman" w:hAnsi="Times New Roman"/>
                <w:color w:val="000000"/>
                <w:sz w:val="20"/>
              </w:rPr>
              <w:t> </w:t>
            </w:r>
            <w:r>
              <w:rPr>
                <w:rFonts w:ascii="Times New Roman" w:hAnsi="Times New Roman"/>
                <w:color w:val="000000"/>
                <w:sz w:val="16"/>
              </w:rPr>
              <w:t>and $1,057, respectively)</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48,943</w:t>
            </w:r>
          </w:p>
        </w:tc>
        <w:tc>
          <w:tcPr>
            <w:tcW w:w="414" w:type="dxa"/>
            <w:tcBorders/>
            <w:shd w:fill="FFFFFF" w:val="cle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2032 Convertible Notes (net of deferred financing costs and original issue discount of $910</w:t>
            </w:r>
            <w:r>
              <w:rPr>
                <w:rFonts w:ascii="Times New Roman" w:hAnsi="Times New Roman"/>
                <w:color w:val="000000"/>
                <w:sz w:val="20"/>
              </w:rPr>
              <w:t> </w:t>
            </w:r>
            <w:r>
              <w:rPr>
                <w:rFonts w:ascii="Times New Roman" w:hAnsi="Times New Roman"/>
                <w:color w:val="000000"/>
                <w:sz w:val="16"/>
              </w:rPr>
              <w:t>and $999, respectively)</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13,090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14,001</w:t>
            </w:r>
          </w:p>
        </w:tc>
        <w:tc>
          <w:tcPr>
            <w:tcW w:w="414" w:type="dxa"/>
            <w:tcBorders/>
            <w:shd w:fill="CFF0FC"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KeyBank Credit Facility (net of deferred financing costs of $897</w:t>
            </w:r>
            <w:r>
              <w:rPr>
                <w:rFonts w:ascii="Times New Roman" w:hAnsi="Times New Roman"/>
                <w:color w:val="000000"/>
                <w:sz w:val="20"/>
              </w:rPr>
              <w:t> </w:t>
            </w:r>
            <w:r>
              <w:rPr>
                <w:rFonts w:ascii="Times New Roman" w:hAnsi="Times New Roman"/>
                <w:color w:val="000000"/>
                <w:sz w:val="16"/>
              </w:rPr>
              <w:t>and $982, respectively)</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52,018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38,571</w:t>
            </w:r>
          </w:p>
        </w:tc>
        <w:tc>
          <w:tcPr>
            <w:tcW w:w="414" w:type="dxa"/>
            <w:tcBorders/>
            <w:shd w:fill="FFFFFF" w:val="cle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Management and incentive fees payable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869</w:t>
            </w:r>
          </w:p>
        </w:tc>
        <w:tc>
          <w:tcPr>
            <w:tcW w:w="414" w:type="dxa"/>
            <w:tcBorders/>
            <w:shd w:fill="CFF0FC"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payable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color w:val="000000"/>
              </w:rPr>
            </w:pPr>
            <w:r>
              <w:rPr>
                <w:color w:val="000000"/>
              </w:rPr>
              <w:t>—</w:t>
            </w:r>
          </w:p>
        </w:tc>
        <w:tc>
          <w:tcPr>
            <w:tcW w:w="414" w:type="dxa"/>
            <w:tcBorders/>
            <w:shd w:fill="FFFFFF" w:val="cle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financing fees payable</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pPr>
            <w:r>
              <w:rPr/>
              <w:t> </w:t>
            </w:r>
          </w:p>
        </w:tc>
        <w:tc>
          <w:tcPr>
            <w:tcW w:w="9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w:t>
            </w:r>
          </w:p>
        </w:tc>
        <w:tc>
          <w:tcPr>
            <w:tcW w:w="414" w:type="dxa"/>
            <w:tcBorders/>
            <w:shd w:fill="CFF0FC"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w:t>
            </w:r>
          </w:p>
        </w:tc>
        <w:tc>
          <w:tcPr>
            <w:tcW w:w="414" w:type="dxa"/>
            <w:tcBorders/>
            <w:shd w:fill="FFFFFF" w:val="cle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Payable for unsettled trades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123,179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107,913</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Commitments and contingencies</w:t>
            </w:r>
            <w:r>
              <w:rPr>
                <w:rFonts w:ascii="Times New Roman" w:hAnsi="Times New Roman"/>
                <w:color w:val="000000"/>
                <w:sz w:val="20"/>
              </w:rPr>
              <w:t> </w:t>
            </w:r>
            <w:r>
              <w:rPr>
                <w:rFonts w:ascii="Times New Roman" w:hAnsi="Times New Roman"/>
                <w:color w:val="000000"/>
                <w:sz w:val="16"/>
              </w:rPr>
              <w:t>(Note 2)</w:t>
            </w:r>
          </w:p>
        </w:tc>
        <w:tc>
          <w:tcPr>
            <w:tcW w:w="146" w:type="dxa"/>
            <w:tcBorders/>
            <w:shd w:fill="CFF0FC" w:val="clear"/>
            <w:vAlign w:val="center"/>
          </w:tcPr>
          <w:p>
            <w:pPr>
              <w:pStyle w:val="TableContents"/>
              <w:bidi w:val="0"/>
              <w:spacing w:before="0" w:after="283"/>
              <w:jc w:val="left"/>
              <w:rPr/>
            </w:pPr>
            <w:r>
              <w:rPr/>
              <w:t> </w:t>
            </w:r>
          </w:p>
        </w:tc>
        <w:tc>
          <w:tcPr>
            <w:tcW w:w="1090"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7" w:type="dxa"/>
            <w:gridSpan w:val="2"/>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w:t>
            </w:r>
          </w:p>
        </w:tc>
        <w:tc>
          <w:tcPr>
            <w:tcW w:w="146" w:type="dxa"/>
            <w:tcBorders/>
            <w:shd w:fill="FFFFFF" w:val="clear"/>
            <w:vAlign w:val="center"/>
          </w:tcPr>
          <w:p>
            <w:pPr>
              <w:pStyle w:val="TableContents"/>
              <w:bidi w:val="0"/>
              <w:spacing w:before="0" w:after="283"/>
              <w:jc w:val="left"/>
              <w:rPr/>
            </w:pPr>
            <w:r>
              <w:rPr/>
              <w:t> </w:t>
            </w:r>
          </w:p>
        </w:tc>
        <w:tc>
          <w:tcPr>
            <w:tcW w:w="1090"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7" w:type="dxa"/>
            <w:gridSpan w:val="2"/>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Common stock, par value $0.01, 100,000,000</w:t>
            </w:r>
            <w:r>
              <w:rPr>
                <w:rFonts w:ascii="Times New Roman" w:hAnsi="Times New Roman"/>
                <w:color w:val="000000"/>
                <w:sz w:val="20"/>
              </w:rPr>
              <w:t> </w:t>
            </w:r>
            <w:r>
              <w:rPr>
                <w:rFonts w:ascii="Times New Roman" w:hAnsi="Times New Roman"/>
                <w:color w:val="000000"/>
                <w:sz w:val="16"/>
              </w:rPr>
              <w:t>shares of common stock authorized, 2,675,936</w:t>
            </w:r>
            <w:r>
              <w:rPr>
                <w:rFonts w:ascii="Times New Roman" w:hAnsi="Times New Roman"/>
                <w:color w:val="000000"/>
                <w:sz w:val="20"/>
              </w:rPr>
              <w:t> </w:t>
            </w:r>
            <w:r>
              <w:rPr>
                <w:rFonts w:ascii="Times New Roman" w:hAnsi="Times New Roman"/>
                <w:color w:val="000000"/>
                <w:sz w:val="16"/>
              </w:rPr>
              <w:t>and 2,674,698</w:t>
            </w:r>
            <w:r>
              <w:rPr>
                <w:rFonts w:ascii="Times New Roman" w:hAnsi="Times New Roman"/>
                <w:color w:val="000000"/>
                <w:sz w:val="20"/>
              </w:rPr>
              <w:t> </w:t>
            </w:r>
            <w:r>
              <w:rPr>
                <w:rFonts w:ascii="Times New Roman" w:hAnsi="Times New Roman"/>
                <w:color w:val="000000"/>
                <w:sz w:val="16"/>
              </w:rPr>
              <w:t>shares of common stock issued and outstanding, respectively</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414" w:type="dxa"/>
            <w:tcBorders/>
            <w:shd w:fill="CFF0FC" w:val="cle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Capital in excess of par value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188,405</w:t>
            </w:r>
          </w:p>
        </w:tc>
        <w:tc>
          <w:tcPr>
            <w:tcW w:w="414" w:type="dxa"/>
            <w:tcBorders/>
            <w:shd w:fill="FFFFFF" w:val="cle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distributable earnings (loss)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(99,257</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02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net assets</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89,175</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liabilities and net assets</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213,374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197,088</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per share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33.34</w:t>
            </w:r>
          </w:p>
        </w:tc>
        <w:tc>
          <w:tcPr>
            <w:tcW w:w="414"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sz w:val="20"/>
        </w:rPr>
      </w:pPr>
      <w:bookmarkStart w:id="5" w:name="statements_of_operations"/>
      <w:bookmarkEnd w:id="5"/>
      <w:r>
        <w:rPr>
          <w:rFonts w:ascii="Times New Roman" w:hAnsi="Times New Roman"/>
          <w:b/>
          <w:color w:val="000000"/>
          <w:sz w:val="16"/>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tbl>
      <w:tblPr>
        <w:tblW w:w="9902" w:type="dxa"/>
        <w:jc w:val="left"/>
        <w:tblInd w:w="0" w:type="dxa"/>
        <w:tblLayout w:type="fixed"/>
        <w:tblCellMar>
          <w:top w:w="28" w:type="dxa"/>
          <w:left w:w="28" w:type="dxa"/>
          <w:bottom w:w="28" w:type="dxa"/>
          <w:right w:w="28" w:type="dxa"/>
        </w:tblCellMar>
      </w:tblPr>
      <w:tblGrid>
        <w:gridCol w:w="6136"/>
        <w:gridCol w:w="146"/>
        <w:gridCol w:w="248"/>
        <w:gridCol w:w="1046"/>
        <w:gridCol w:w="210"/>
        <w:gridCol w:w="185"/>
        <w:gridCol w:w="248"/>
        <w:gridCol w:w="1046"/>
        <w:gridCol w:w="166"/>
        <w:gridCol w:w="471"/>
      </w:tblGrid>
      <w:tr>
        <w:trPr/>
        <w:tc>
          <w:tcPr>
            <w:tcW w:w="6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6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center"/>
              <w:rPr/>
            </w:pPr>
            <w:r>
              <w:rPr/>
              <w:t> </w:t>
            </w:r>
          </w:p>
        </w:tc>
        <w:tc>
          <w:tcPr>
            <w:tcW w:w="12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INVESTMENT INCOME</w:t>
            </w:r>
          </w:p>
        </w:tc>
        <w:tc>
          <w:tcPr>
            <w:tcW w:w="146" w:type="dxa"/>
            <w:tcBorders/>
            <w:shd w:fill="CFF0FC" w:val="clear"/>
            <w:vAlign w:val="center"/>
          </w:tcPr>
          <w:p>
            <w:pPr>
              <w:pStyle w:val="TableContents"/>
              <w:bidi w:val="0"/>
              <w:spacing w:before="0" w:after="283"/>
              <w:jc w:val="left"/>
              <w:rPr/>
            </w:pPr>
            <w:r>
              <w:rPr/>
              <w:t> </w:t>
            </w:r>
          </w:p>
        </w:tc>
        <w:tc>
          <w:tcPr>
            <w:tcW w:w="1294" w:type="dxa"/>
            <w:gridSpan w:val="2"/>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29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vAlign w:val="center"/>
          </w:tcPr>
          <w:p>
            <w:pPr>
              <w:pStyle w:val="TableContents"/>
              <w:bidi w:val="0"/>
              <w:spacing w:before="0" w:after="283"/>
              <w:jc w:val="left"/>
              <w:rPr/>
            </w:pPr>
            <w:r>
              <w:rPr/>
              <w:t> </w:t>
            </w:r>
          </w:p>
        </w:tc>
        <w:tc>
          <w:tcPr>
            <w:tcW w:w="1294" w:type="dxa"/>
            <w:gridSpan w:val="2"/>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9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4,633</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4,604</w:t>
            </w:r>
          </w:p>
        </w:tc>
        <w:tc>
          <w:tcPr>
            <w:tcW w:w="16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color w:val="000000"/>
              </w:rPr>
            </w:pPr>
            <w:r>
              <w:rPr>
                <w:color w:val="000000"/>
              </w:rPr>
              <w:t>—</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w:t>
            </w:r>
          </w:p>
        </w:tc>
        <w:tc>
          <w:tcPr>
            <w:tcW w:w="16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interest income</w:t>
            </w:r>
          </w:p>
        </w:tc>
        <w:tc>
          <w:tcPr>
            <w:tcW w:w="146" w:type="dxa"/>
            <w:tcBorders/>
            <w:shd w:fill="CFF0FC" w:val="clear"/>
            <w:vAlign w:val="center"/>
          </w:tcPr>
          <w:p>
            <w:pPr>
              <w:pStyle w:val="TableContents"/>
              <w:bidi w:val="0"/>
              <w:spacing w:before="0" w:after="283"/>
              <w:jc w:val="left"/>
              <w:rPr/>
            </w:pPr>
            <w:r>
              <w:rPr/>
              <w:t> </w:t>
            </w:r>
          </w:p>
        </w:tc>
        <w:tc>
          <w:tcPr>
            <w:tcW w:w="2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4,633</w:t>
            </w:r>
          </w:p>
        </w:tc>
        <w:tc>
          <w:tcPr>
            <w:tcW w:w="2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interest and dividend income:</w:t>
            </w:r>
          </w:p>
        </w:tc>
        <w:tc>
          <w:tcPr>
            <w:tcW w:w="146" w:type="dxa"/>
            <w:tcBorders/>
            <w:shd w:fill="FFFFFF" w:val="clear"/>
            <w:vAlign w:val="center"/>
          </w:tcPr>
          <w:p>
            <w:pPr>
              <w:pStyle w:val="TableContents"/>
              <w:bidi w:val="0"/>
              <w:spacing w:before="0" w:after="283"/>
              <w:jc w:val="left"/>
              <w:rPr/>
            </w:pPr>
            <w:r>
              <w:rPr/>
              <w:t> </w:t>
            </w:r>
          </w:p>
        </w:tc>
        <w:tc>
          <w:tcPr>
            <w:tcW w:w="1294" w:type="dxa"/>
            <w:gridSpan w:val="2"/>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9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w:t>
            </w:r>
          </w:p>
        </w:tc>
        <w:tc>
          <w:tcPr>
            <w:tcW w:w="16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00"/>
              <w:jc w:val="left"/>
              <w:rPr>
                <w:rFonts w:ascii="Times New Roman" w:hAnsi="Times New Roman"/>
                <w:color w:val="000000"/>
                <w:sz w:val="11"/>
              </w:rPr>
            </w:pPr>
            <w:r>
              <w:rPr>
                <w:rFonts w:ascii="Times New Roman" w:hAnsi="Times New Roman"/>
                <w:color w:val="000000"/>
                <w:sz w:val="11"/>
              </w:rPr>
              <w:t>(1)</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payment-in-kind interest and dividend income</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vAlign w:val="center"/>
          </w:tcPr>
          <w:p>
            <w:pPr>
              <w:pStyle w:val="TableContents"/>
              <w:bidi w:val="0"/>
              <w:spacing w:before="0" w:after="283"/>
              <w:jc w:val="left"/>
              <w:rPr/>
            </w:pPr>
            <w:r>
              <w:rPr/>
              <w:t> </w:t>
            </w:r>
          </w:p>
        </w:tc>
        <w:tc>
          <w:tcPr>
            <w:tcW w:w="1294" w:type="dxa"/>
            <w:gridSpan w:val="2"/>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9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dividend income</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CFF0FC" w:val="clear"/>
            <w:vAlign w:val="center"/>
          </w:tcPr>
          <w:p>
            <w:pPr>
              <w:pStyle w:val="TableContents"/>
              <w:bidi w:val="0"/>
              <w:spacing w:before="0" w:after="283"/>
              <w:jc w:val="left"/>
              <w:rPr/>
            </w:pPr>
            <w:r>
              <w:rPr/>
              <w:t> </w:t>
            </w:r>
          </w:p>
        </w:tc>
        <w:tc>
          <w:tcPr>
            <w:tcW w:w="1294" w:type="dxa"/>
            <w:gridSpan w:val="2"/>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29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color w:val="000000"/>
              </w:rPr>
            </w:pPr>
            <w:r>
              <w:rPr>
                <w:color w:val="000000"/>
              </w:rPr>
              <w:t>—</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other income</w:t>
            </w:r>
          </w:p>
        </w:tc>
        <w:tc>
          <w:tcPr>
            <w:tcW w:w="146" w:type="dxa"/>
            <w:tcBorders/>
            <w:shd w:fill="CFF0FC" w:val="clear"/>
            <w:vAlign w:val="center"/>
          </w:tcPr>
          <w:p>
            <w:pPr>
              <w:pStyle w:val="TableContents"/>
              <w:bidi w:val="0"/>
              <w:spacing w:before="0" w:after="283"/>
              <w:jc w:val="left"/>
              <w:rPr/>
            </w:pPr>
            <w:r>
              <w:rPr/>
              <w:t> </w:t>
            </w:r>
          </w:p>
        </w:tc>
        <w:tc>
          <w:tcPr>
            <w:tcW w:w="2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color w:val="000000"/>
              </w:rPr>
            </w:pPr>
            <w:r>
              <w:rPr>
                <w:color w:val="000000"/>
              </w:rPr>
              <w:t>—</w:t>
            </w:r>
          </w:p>
        </w:tc>
        <w:tc>
          <w:tcPr>
            <w:tcW w:w="2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5,003</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EXPENSES</w:t>
            </w:r>
          </w:p>
        </w:tc>
        <w:tc>
          <w:tcPr>
            <w:tcW w:w="146" w:type="dxa"/>
            <w:tcBorders/>
            <w:shd w:fill="CFF0FC" w:val="clear"/>
            <w:vAlign w:val="center"/>
          </w:tcPr>
          <w:p>
            <w:pPr>
              <w:pStyle w:val="TableContents"/>
              <w:bidi w:val="0"/>
              <w:spacing w:before="0" w:after="283"/>
              <w:jc w:val="left"/>
              <w:rPr/>
            </w:pPr>
            <w:r>
              <w:rPr/>
              <w:t> </w:t>
            </w:r>
          </w:p>
        </w:tc>
        <w:tc>
          <w:tcPr>
            <w:tcW w:w="1294" w:type="dxa"/>
            <w:gridSpan w:val="2"/>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29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w:t>
            </w:r>
          </w:p>
        </w:tc>
        <w:tc>
          <w:tcPr>
            <w:tcW w:w="16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6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expense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6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Administrative service fees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6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4,056</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REALIZED AND UNREALIZED GAIN (LOSS) ON INVESTMENTS</w:t>
            </w:r>
          </w:p>
        </w:tc>
        <w:tc>
          <w:tcPr>
            <w:tcW w:w="146" w:type="dxa"/>
            <w:tcBorders/>
            <w:shd w:fill="CFF0FC" w:val="clear"/>
            <w:vAlign w:val="center"/>
          </w:tcPr>
          <w:p>
            <w:pPr>
              <w:pStyle w:val="TableContents"/>
              <w:bidi w:val="0"/>
              <w:spacing w:before="0" w:after="283"/>
              <w:jc w:val="left"/>
              <w:rPr/>
            </w:pPr>
            <w:r>
              <w:rPr/>
              <w:t> </w:t>
            </w:r>
          </w:p>
        </w:tc>
        <w:tc>
          <w:tcPr>
            <w:tcW w:w="1294" w:type="dxa"/>
            <w:gridSpan w:val="2"/>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29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1294" w:type="dxa"/>
            <w:gridSpan w:val="2"/>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294"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vAlign w:val="center"/>
          </w:tcPr>
          <w:p>
            <w:pPr>
              <w:pStyle w:val="TableContents"/>
              <w:bidi w:val="0"/>
              <w:spacing w:before="0" w:after="283"/>
              <w:jc w:val="left"/>
              <w:rPr/>
            </w:pPr>
            <w:r>
              <w:rPr/>
              <w:t> </w:t>
            </w:r>
          </w:p>
        </w:tc>
        <w:tc>
          <w:tcPr>
            <w:tcW w:w="2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2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294" w:type="dxa"/>
            <w:gridSpan w:val="2"/>
            <w:tcBorders/>
            <w:shd w:fill="CFF0FC" w:val="clear"/>
            <w:vAlign w:val="center"/>
          </w:tcPr>
          <w:p>
            <w:pPr>
              <w:pStyle w:val="TableContents"/>
              <w:bidi w:val="0"/>
              <w:spacing w:before="0" w:after="283"/>
              <w:jc w:val="left"/>
              <w:rPr/>
            </w:pPr>
            <w:r>
              <w:rPr/>
              <w:t> </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1294"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Non-control/non-affiliate investments</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(3,904</w:t>
            </w:r>
          </w:p>
        </w:tc>
        <w:tc>
          <w:tcPr>
            <w:tcW w:w="21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5"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Affiliate investments</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4,579</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1,033</w:t>
            </w:r>
          </w:p>
        </w:tc>
        <w:tc>
          <w:tcPr>
            <w:tcW w:w="16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00"/>
              <w:jc w:val="left"/>
              <w:rPr/>
            </w:pPr>
            <w:r>
              <w:rPr/>
              <w:t> </w:t>
            </w:r>
          </w:p>
        </w:tc>
      </w:tr>
      <w:tr>
        <w:trPr/>
        <w:tc>
          <w:tcPr>
            <w:tcW w:w="61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2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2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1" w:type="dxa"/>
            <w:tcBorders/>
            <w:shd w:fill="FFFFFF" w:val="clear"/>
            <w:vAlign w:val="center"/>
          </w:tcPr>
          <w:p>
            <w:pPr>
              <w:pStyle w:val="TableContents"/>
              <w:bidi w:val="0"/>
              <w:spacing w:before="0" w:after="283"/>
              <w:ind w:left="0" w:right="0" w:firstLine="200"/>
              <w:jc w:val="left"/>
              <w:rPr/>
            </w:pPr>
            <w:r>
              <w:rPr/>
              <w:t> </w:t>
            </w:r>
          </w:p>
        </w:tc>
      </w:tr>
      <w:tr>
        <w:trPr/>
        <w:tc>
          <w:tcPr>
            <w:tcW w:w="61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Total net realized and change in unrealized gain (loss) on investments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loss on extinguishment of debt</w:t>
            </w:r>
          </w:p>
        </w:tc>
        <w:tc>
          <w:tcPr>
            <w:tcW w:w="146"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85" w:type="dxa"/>
            <w:tcBorders/>
            <w:shd w:fill="FFFFFF" w:val="cle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NET INCREASE (DECREASE) IN NET ASSETS PER SHARE RESULTING </w:t>
              <w:br/>
              <w:t>   FROM OPERATIONS – BASIC (SEE NOTE 9)</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WEIGHTED AVERAGE COMMON STOCK OUTSTANDING </w:t>
              <w:br/>
              <w:t>   – BASIC (SEE NOTE 10)</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2,678,342</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2,710,990</w:t>
            </w:r>
          </w:p>
        </w:tc>
        <w:tc>
          <w:tcPr>
            <w:tcW w:w="16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NET INCREASE (DECREASE) IN NET ASSETS PER SHARE RESULTING </w:t>
              <w:br/>
              <w:t>   FROM OPERATIONS – DILUTED (SEE NOTE 9)</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71" w:type="dxa"/>
            <w:tcBorders/>
            <w:shd w:fill="FFFFFF" w:val="clear"/>
            <w:vAlign w:val="center"/>
          </w:tcPr>
          <w:p>
            <w:pPr>
              <w:pStyle w:val="TableContents"/>
              <w:bidi w:val="0"/>
              <w:spacing w:before="0" w:after="283"/>
              <w:jc w:val="left"/>
              <w:rPr/>
            </w:pPr>
            <w:r>
              <w:rPr/>
              <w:t> </w:t>
            </w:r>
          </w:p>
        </w:tc>
      </w:tr>
      <w:tr>
        <w:trPr/>
        <w:tc>
          <w:tcPr>
            <w:tcW w:w="613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WEIGHTED AVERAGE COMMON STOCK OUTSTANDING </w:t>
              <w:br/>
              <w:t>   – DILUTED (SEE NOTE 9)</w:t>
            </w:r>
          </w:p>
        </w:tc>
        <w:tc>
          <w:tcPr>
            <w:tcW w:w="146"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3,195,740</w:t>
            </w:r>
          </w:p>
        </w:tc>
        <w:tc>
          <w:tcPr>
            <w:tcW w:w="210"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8" w:type="dxa"/>
            <w:tcBorders/>
            <w:shd w:fill="CFF0FC" w:val="clear"/>
            <w:vAlign w:val="center"/>
          </w:tcPr>
          <w:p>
            <w:pPr>
              <w:pStyle w:val="TableContents"/>
              <w:bidi w:val="0"/>
              <w:spacing w:before="0" w:after="283"/>
              <w:jc w:val="left"/>
              <w:rPr/>
            </w:pPr>
            <w:r>
              <w:rPr/>
              <w:t> </w:t>
            </w:r>
          </w:p>
        </w:tc>
        <w:tc>
          <w:tcPr>
            <w:tcW w:w="104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2,710,990</w:t>
            </w:r>
          </w:p>
        </w:tc>
        <w:tc>
          <w:tcPr>
            <w:tcW w:w="166" w:type="dxa"/>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jc w:val="left"/>
              <w:rPr/>
            </w:pPr>
            <w:r>
              <w:rPr/>
              <w:t> </w:t>
            </w:r>
          </w:p>
        </w:tc>
      </w:tr>
      <w:tr>
        <w:trPr/>
        <w:tc>
          <w:tcPr>
            <w:tcW w:w="613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PAID PER SHARE</w:t>
            </w:r>
          </w:p>
        </w:tc>
        <w:tc>
          <w:tcPr>
            <w:tcW w:w="146"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21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4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0.18</w:t>
            </w:r>
          </w:p>
        </w:tc>
        <w:tc>
          <w:tcPr>
            <w:tcW w:w="166" w:type="dxa"/>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jc w:val="both"/>
        <w:rPr/>
      </w:pPr>
      <w:r>
        <w:rPr>
          <w:rFonts w:ascii="Times New Roman" w:hAnsi="Times New Roman"/>
          <w:color w:val="000000"/>
          <w:sz w:val="14"/>
        </w:rPr>
        <w:t>During the three months ended March 31, 2023, the Company received $0.2</w:t>
      </w:r>
      <w:r>
        <w:rPr>
          <w:color w:val="000000"/>
        </w:rPr>
        <w:t xml:space="preserve"> </w:t>
      </w:r>
      <w:r>
        <w:rPr>
          <w:rFonts w:ascii="Times New Roman" w:hAnsi="Times New Roman"/>
          <w:color w:val="000000"/>
          <w:sz w:val="14"/>
        </w:rPr>
        <w:t>million of non-recurring fee income that was paid in-kind and included in this financial statement line item.</w:t>
      </w:r>
    </w:p>
    <w:p>
      <w:pPr>
        <w:pStyle w:val="TextBody"/>
        <w:bidi w:val="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6" w:name="statements_of_changes_in_net_assets"/>
      <w:bookmarkEnd w:id="6"/>
      <w:r>
        <w:rPr>
          <w:rFonts w:ascii="Times New Roman" w:hAnsi="Times New Roman"/>
          <w:b/>
          <w:color w:val="000000"/>
          <w:sz w:val="16"/>
        </w:rPr>
        <w:t>CONSOLIDATED STATEMENTS OF CHANGES IN NET ASSETS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share data)</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66"/>
        <w:gridCol w:w="146"/>
        <w:gridCol w:w="826"/>
        <w:gridCol w:w="166"/>
        <w:gridCol w:w="146"/>
        <w:gridCol w:w="297"/>
        <w:gridCol w:w="525"/>
        <w:gridCol w:w="146"/>
        <w:gridCol w:w="146"/>
        <w:gridCol w:w="196"/>
        <w:gridCol w:w="691"/>
        <w:gridCol w:w="166"/>
        <w:gridCol w:w="146"/>
        <w:gridCol w:w="278"/>
        <w:gridCol w:w="941"/>
        <w:gridCol w:w="166"/>
        <w:gridCol w:w="146"/>
        <w:gridCol w:w="196"/>
        <w:gridCol w:w="601"/>
        <w:gridCol w:w="314"/>
      </w:tblGrid>
      <w:tr>
        <w:trPr/>
        <w:tc>
          <w:tcPr>
            <w:tcW w:w="3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3966" w:type="dxa"/>
            <w:tcBorders/>
            <w:shd w:fill="FFFFFF" w:val="clear"/>
            <w:vAlign w:val="center"/>
          </w:tcPr>
          <w:p>
            <w:pPr>
              <w:pStyle w:val="TableContents"/>
              <w:bidi w:val="0"/>
              <w:spacing w:before="0" w:after="283"/>
              <w:jc w:val="left"/>
              <w:rPr/>
            </w:pPr>
            <w:r>
              <w:rPr/>
              <w:t> </w:t>
            </w:r>
          </w:p>
        </w:tc>
        <w:tc>
          <w:tcPr>
            <w:tcW w:w="21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314" w:type="dxa"/>
            <w:tcBorders/>
            <w:shd w:fill="FFFFFF" w:val="clear"/>
            <w:vAlign w:val="center"/>
          </w:tcPr>
          <w:p>
            <w:pPr>
              <w:pStyle w:val="TableContents"/>
              <w:bidi w:val="0"/>
              <w:spacing w:before="0" w:after="283"/>
              <w:jc w:val="center"/>
              <w:rPr/>
            </w:pPr>
            <w:r>
              <w:rPr/>
              <w:t> </w:t>
            </w:r>
          </w:p>
        </w:tc>
      </w:tr>
      <w:tr>
        <w:trPr/>
        <w:tc>
          <w:tcPr>
            <w:tcW w:w="396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Distributable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shd w:fill="FFFFFF" w:val="clear"/>
            <w:vAlign w:val="center"/>
          </w:tcPr>
          <w:p>
            <w:pPr>
              <w:pStyle w:val="TableContents"/>
              <w:bidi w:val="0"/>
              <w:spacing w:before="0" w:after="283"/>
              <w:jc w:val="center"/>
              <w:rPr/>
            </w:pPr>
            <w:r>
              <w:rPr/>
              <w:t> </w:t>
            </w:r>
          </w:p>
        </w:tc>
        <w:tc>
          <w:tcPr>
            <w:tcW w:w="314" w:type="dxa"/>
            <w:tcBorders/>
            <w:shd w:fill="FFFFFF" w:val="clear"/>
            <w:vAlign w:val="center"/>
          </w:tcPr>
          <w:p>
            <w:pPr>
              <w:pStyle w:val="TableContents"/>
              <w:bidi w:val="0"/>
              <w:spacing w:before="0" w:after="283"/>
              <w:jc w:val="center"/>
              <w:rPr/>
            </w:pPr>
            <w:r>
              <w:rPr/>
              <w:t> </w:t>
            </w:r>
          </w:p>
        </w:tc>
      </w:tr>
      <w:tr>
        <w:trPr/>
        <w:tc>
          <w:tcPr>
            <w:tcW w:w="396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For the Three Months Ended March 31, 2024 and 2023</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2023</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2,674,698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(99,257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89,175</w:t>
            </w:r>
          </w:p>
        </w:tc>
        <w:tc>
          <w:tcPr>
            <w:tcW w:w="314" w:type="dxa"/>
            <w:tcBorders/>
            <w:shd w:fill="CFF0FC" w:val="clear"/>
            <w:vAlign w:val="center"/>
          </w:tcPr>
          <w:p>
            <w:pPr>
              <w:pStyle w:val="TableContents"/>
              <w:bidi w:val="0"/>
              <w:spacing w:before="0" w:after="283"/>
              <w:ind w:left="0" w:right="0" w:firstLine="100"/>
              <w:jc w:val="left"/>
              <w:rPr/>
            </w:pPr>
            <w:r>
              <w:rPr/>
              <w:t> </w:t>
            </w:r>
          </w:p>
        </w:tc>
      </w:tr>
      <w:tr>
        <w:trPr/>
        <w:tc>
          <w:tcPr>
            <w:tcW w:w="39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314" w:type="dxa"/>
            <w:tcBorders/>
            <w:shd w:fill="FFFFFF" w:val="clear"/>
            <w:vAlign w:val="center"/>
          </w:tcPr>
          <w:p>
            <w:pPr>
              <w:pStyle w:val="TableContents"/>
              <w:bidi w:val="0"/>
              <w:spacing w:before="0" w:after="283"/>
              <w:ind w:left="0" w:right="0" w:firstLine="100"/>
              <w:jc w:val="left"/>
              <w:rPr/>
            </w:pPr>
            <w:r>
              <w:rPr/>
              <w:t> </w:t>
            </w:r>
          </w:p>
        </w:tc>
      </w:tr>
      <w:tr>
        <w:trPr/>
        <w:tc>
          <w:tcPr>
            <w:tcW w:w="39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gain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314" w:type="dxa"/>
            <w:tcBorders/>
            <w:shd w:fill="CFF0FC" w:val="clear"/>
            <w:vAlign w:val="center"/>
          </w:tcPr>
          <w:p>
            <w:pPr>
              <w:pStyle w:val="TableContents"/>
              <w:bidi w:val="0"/>
              <w:spacing w:before="0" w:after="283"/>
              <w:ind w:left="0" w:right="0" w:firstLine="100"/>
              <w:jc w:val="left"/>
              <w:rPr/>
            </w:pPr>
            <w:r>
              <w:rPr/>
              <w:t> </w:t>
            </w:r>
          </w:p>
        </w:tc>
      </w:tr>
      <w:tr>
        <w:trPr/>
        <w:tc>
          <w:tcPr>
            <w:tcW w:w="39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loss on extinguishment of debt</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314"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appreciation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314" w:type="dxa"/>
            <w:tcBorders/>
            <w:shd w:fill="CFF0FC" w:val="clear"/>
            <w:vAlign w:val="center"/>
          </w:tcPr>
          <w:p>
            <w:pPr>
              <w:pStyle w:val="TableContents"/>
              <w:bidi w:val="0"/>
              <w:spacing w:before="0" w:after="283"/>
              <w:ind w:left="0" w:right="0" w:firstLine="100"/>
              <w:jc w:val="left"/>
              <w:rPr/>
            </w:pPr>
            <w:r>
              <w:rPr/>
              <w:t> </w:t>
            </w:r>
          </w:p>
        </w:tc>
      </w:tr>
      <w:tr>
        <w:trPr/>
        <w:tc>
          <w:tcPr>
            <w:tcW w:w="39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in debt conversion</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314" w:type="dxa"/>
            <w:tcBorders/>
            <w:shd w:fill="FFFFFF" w:val="clear"/>
            <w:vAlign w:val="center"/>
          </w:tcPr>
          <w:p>
            <w:pPr>
              <w:pStyle w:val="TableContents"/>
              <w:bidi w:val="0"/>
              <w:spacing w:before="0" w:after="283"/>
              <w:ind w:left="0" w:right="0" w:firstLine="100"/>
              <w:jc w:val="left"/>
              <w:rPr/>
            </w:pPr>
            <w:r>
              <w:rPr/>
              <w:t> </w:t>
            </w:r>
          </w:p>
        </w:tc>
      </w:tr>
      <w:tr>
        <w:trPr/>
        <w:tc>
          <w:tcPr>
            <w:tcW w:w="39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314"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2,675,936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188,430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(98,262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90,195</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6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21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797" w:type="dxa"/>
            <w:gridSpan w:val="2"/>
            <w:tcBorders/>
            <w:shd w:fill="FFFFFF" w:val="clear"/>
            <w:vAlign w:val="center"/>
          </w:tcPr>
          <w:p>
            <w:pPr>
              <w:pStyle w:val="TableContents"/>
              <w:bidi w:val="0"/>
              <w:spacing w:before="0" w:after="283"/>
              <w:jc w:val="right"/>
              <w:rPr/>
            </w:pPr>
            <w:r>
              <w:rPr/>
              <w:t> </w:t>
            </w:r>
          </w:p>
        </w:tc>
        <w:tc>
          <w:tcPr>
            <w:tcW w:w="314" w:type="dxa"/>
            <w:tcBorders/>
            <w:shd w:fill="FFFFFF" w:val="clear"/>
            <w:vAlign w:val="center"/>
          </w:tcPr>
          <w:p>
            <w:pPr>
              <w:pStyle w:val="TableContents"/>
              <w:bidi w:val="0"/>
              <w:spacing w:before="0" w:after="283"/>
              <w:jc w:val="right"/>
              <w:rPr/>
            </w:pPr>
            <w:r>
              <w:rPr/>
              <w:t> </w:t>
            </w:r>
          </w:p>
        </w:tc>
      </w:tr>
      <w:tr>
        <w:trPr/>
        <w:tc>
          <w:tcPr>
            <w:tcW w:w="39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December 31, 2022</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2,711,068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(96,060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95,005</w:t>
            </w:r>
          </w:p>
        </w:tc>
        <w:tc>
          <w:tcPr>
            <w:tcW w:w="314" w:type="dxa"/>
            <w:tcBorders/>
            <w:shd w:fill="CFF0FC" w:val="clear"/>
            <w:vAlign w:val="center"/>
          </w:tcPr>
          <w:p>
            <w:pPr>
              <w:pStyle w:val="TableContents"/>
              <w:bidi w:val="0"/>
              <w:spacing w:before="0" w:after="283"/>
              <w:ind w:left="0" w:right="0" w:firstLine="100"/>
              <w:jc w:val="left"/>
              <w:rPr/>
            </w:pPr>
            <w:r>
              <w:rPr/>
              <w:t> </w:t>
            </w:r>
          </w:p>
        </w:tc>
      </w:tr>
      <w:tr>
        <w:trPr/>
        <w:tc>
          <w:tcPr>
            <w:tcW w:w="39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314" w:type="dxa"/>
            <w:tcBorders/>
            <w:shd w:fill="FFFFFF" w:val="clear"/>
            <w:vAlign w:val="center"/>
          </w:tcPr>
          <w:p>
            <w:pPr>
              <w:pStyle w:val="TableContents"/>
              <w:bidi w:val="0"/>
              <w:spacing w:before="0" w:after="283"/>
              <w:ind w:left="0" w:right="0" w:firstLine="100"/>
              <w:jc w:val="left"/>
              <w:rPr/>
            </w:pPr>
            <w:r>
              <w:rPr/>
              <w:t> </w:t>
            </w:r>
          </w:p>
        </w:tc>
      </w:tr>
      <w:tr>
        <w:trPr/>
        <w:tc>
          <w:tcPr>
            <w:tcW w:w="39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realized loss on investments</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314"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change in unrealized depreciation on investments</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314"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97" w:type="dxa"/>
            <w:tcBorders/>
            <w:shd w:fill="CFF0FC" w:val="clear"/>
            <w:vAlign w:val="center"/>
          </w:tcPr>
          <w:p>
            <w:pPr>
              <w:pStyle w:val="TableContents"/>
              <w:bidi w:val="0"/>
              <w:spacing w:before="0" w:after="283"/>
              <w:jc w:val="left"/>
              <w:rPr/>
            </w:pPr>
            <w:r>
              <w:rPr/>
              <w:t> </w:t>
            </w:r>
          </w:p>
        </w:tc>
        <w:tc>
          <w:tcPr>
            <w:tcW w:w="52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9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314"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396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Stock issued under dividend reinvestment plan</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shd w:fill="FFFFFF" w:val="clear"/>
            <w:vAlign w:val="center"/>
          </w:tcPr>
          <w:p>
            <w:pPr>
              <w:pStyle w:val="TableContents"/>
              <w:bidi w:val="0"/>
              <w:spacing w:before="0" w:after="283"/>
              <w:jc w:val="left"/>
              <w:rPr/>
            </w:pPr>
            <w:r>
              <w:rPr/>
              <w:t> </w:t>
            </w:r>
          </w:p>
        </w:tc>
        <w:tc>
          <w:tcPr>
            <w:tcW w:w="52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314" w:type="dxa"/>
            <w:tcBorders/>
            <w:shd w:fill="FFFFFF" w:val="clear"/>
            <w:vAlign w:val="center"/>
          </w:tcPr>
          <w:p>
            <w:pPr>
              <w:pStyle w:val="TableContents"/>
              <w:bidi w:val="0"/>
              <w:spacing w:before="0" w:after="283"/>
              <w:ind w:left="0" w:right="0" w:firstLine="100"/>
              <w:jc w:val="left"/>
              <w:rPr/>
            </w:pPr>
            <w:r>
              <w:rPr/>
              <w:t> </w:t>
            </w:r>
          </w:p>
        </w:tc>
      </w:tr>
      <w:tr>
        <w:trPr/>
        <w:tc>
          <w:tcPr>
            <w:tcW w:w="396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declared</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39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March 31, 2023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2,709,583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191,007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(97,201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93,833</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sz w:val="20"/>
        </w:rPr>
      </w:pPr>
      <w:bookmarkStart w:id="7" w:name="statements_of_cash_flows"/>
      <w:bookmarkEnd w:id="7"/>
      <w:r>
        <w:rPr>
          <w:rFonts w:ascii="Times New Roman" w:hAnsi="Times New Roman"/>
          <w:b/>
          <w:color w:val="000000"/>
          <w:sz w:val="16"/>
        </w:rPr>
        <w:t>CONSOLIDATED STATEMENTS</w:t>
      </w:r>
      <w:r>
        <w:rPr>
          <w:rFonts w:ascii="Times New Roman" w:hAnsi="Times New Roman"/>
          <w:color w:val="000000"/>
          <w:sz w:val="20"/>
        </w:rPr>
        <w:t xml:space="preserve"> </w:t>
      </w:r>
      <w:r>
        <w:rPr>
          <w:rFonts w:ascii="Times New Roman" w:hAnsi="Times New Roman"/>
          <w:b/>
          <w:color w:val="000000"/>
          <w:sz w:val="16"/>
        </w:rPr>
        <w:t>OF CASH FLOWS</w:t>
      </w:r>
    </w:p>
    <w:p>
      <w:pPr>
        <w:pStyle w:val="TextBody"/>
        <w:bidi w:val="0"/>
        <w:jc w:val="center"/>
        <w:rPr>
          <w:rFonts w:ascii="Times New Roman" w:hAnsi="Times New Roman"/>
          <w:b/>
          <w:color w:val="000000"/>
          <w:sz w:val="16"/>
        </w:rPr>
      </w:pPr>
      <w:r>
        <w:rPr>
          <w:rFonts w:ascii="Times New Roman" w:hAnsi="Times New Roman"/>
          <w:b/>
          <w:color w:val="000000"/>
          <w:sz w:val="16"/>
        </w:rPr>
        <w:t>(in thousands)</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944"/>
        <w:gridCol w:w="146"/>
        <w:gridCol w:w="267"/>
        <w:gridCol w:w="820"/>
        <w:gridCol w:w="226"/>
        <w:gridCol w:w="199"/>
        <w:gridCol w:w="267"/>
        <w:gridCol w:w="820"/>
        <w:gridCol w:w="516"/>
      </w:tblGrid>
      <w:tr>
        <w:trPr/>
        <w:tc>
          <w:tcPr>
            <w:tcW w:w="69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694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44"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OPERATING ACTIVITIES</w:t>
            </w:r>
          </w:p>
        </w:tc>
        <w:tc>
          <w:tcPr>
            <w:tcW w:w="146" w:type="dxa"/>
            <w:tcBorders/>
            <w:shd w:fill="CFF0FC" w:val="clear"/>
            <w:vAlign w:val="center"/>
          </w:tcPr>
          <w:p>
            <w:pPr>
              <w:pStyle w:val="TableContents"/>
              <w:bidi w:val="0"/>
              <w:spacing w:before="0" w:after="283"/>
              <w:jc w:val="righ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100"/>
              <w:jc w:val="right"/>
              <w:rPr/>
            </w:pPr>
            <w:r>
              <w:rPr/>
              <w:t> </w:t>
            </w:r>
          </w:p>
        </w:tc>
      </w:tr>
      <w:tr>
        <w:trPr/>
        <w:tc>
          <w:tcPr>
            <w:tcW w:w="694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22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516"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94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Adjustments to reconcile net increase (decrease) in net assets resulting from operations to net cash (used in) provided by operating activities:</w:t>
            </w:r>
          </w:p>
        </w:tc>
        <w:tc>
          <w:tcPr>
            <w:tcW w:w="146" w:type="dxa"/>
            <w:tcBorders/>
            <w:shd w:fill="CFF0FC" w:val="clear"/>
            <w:vAlign w:val="center"/>
          </w:tcPr>
          <w:p>
            <w:pPr>
              <w:pStyle w:val="TableContents"/>
              <w:bidi w:val="0"/>
              <w:spacing w:before="0" w:after="283"/>
              <w:jc w:val="righ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226"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right"/>
              <w:rPr/>
            </w:pPr>
            <w:r>
              <w:rPr/>
              <w:t> </w:t>
            </w:r>
          </w:p>
        </w:tc>
        <w:tc>
          <w:tcPr>
            <w:tcW w:w="1087" w:type="dxa"/>
            <w:gridSpan w:val="2"/>
            <w:tcBorders/>
            <w:shd w:fill="CFF0FC" w:val="clear"/>
            <w:vAlign w:val="center"/>
          </w:tcPr>
          <w:p>
            <w:pPr>
              <w:pStyle w:val="TableContents"/>
              <w:bidi w:val="0"/>
              <w:spacing w:before="0" w:after="283"/>
              <w:jc w:val="right"/>
              <w:rPr/>
            </w:pPr>
            <w:r>
              <w:rPr/>
              <w:t> </w:t>
            </w:r>
          </w:p>
        </w:tc>
        <w:tc>
          <w:tcPr>
            <w:tcW w:w="516" w:type="dxa"/>
            <w:tcBorders/>
            <w:shd w:fill="CFF0FC" w:val="clear"/>
            <w:vAlign w:val="center"/>
          </w:tcPr>
          <w:p>
            <w:pPr>
              <w:pStyle w:val="TableContents"/>
              <w:bidi w:val="0"/>
              <w:spacing w:before="0" w:after="283"/>
              <w:ind w:left="0" w:right="0" w:firstLine="200"/>
              <w:jc w:val="right"/>
              <w:rPr/>
            </w:pPr>
            <w:r>
              <w:rPr/>
              <w:t> </w:t>
            </w:r>
          </w:p>
        </w:tc>
      </w:tr>
      <w:tr>
        <w:trPr/>
        <w:tc>
          <w:tcPr>
            <w:tcW w:w="69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(9,839</w:t>
            </w:r>
          </w:p>
        </w:tc>
        <w:tc>
          <w:tcPr>
            <w:tcW w:w="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(7,444</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Repayments and sales of investments</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949</w:t>
            </w:r>
          </w:p>
        </w:tc>
        <w:tc>
          <w:tcPr>
            <w:tcW w:w="22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6,714</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69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69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realized loss on extinguishment of debt</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2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69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516" w:type="dxa"/>
            <w:tcBorders/>
            <w:shd w:fill="FFFFFF" w:val="clear"/>
            <w:vAlign w:val="center"/>
          </w:tcPr>
          <w:p>
            <w:pPr>
              <w:pStyle w:val="TableContents"/>
              <w:bidi w:val="0"/>
              <w:spacing w:before="0" w:after="283"/>
              <w:ind w:left="0" w:right="0" w:firstLine="200"/>
              <w:jc w:val="left"/>
              <w:rPr/>
            </w:pPr>
            <w:r>
              <w:rPr/>
              <w:t> </w:t>
            </w:r>
          </w:p>
        </w:tc>
      </w:tr>
      <w:tr>
        <w:trPr/>
        <w:tc>
          <w:tcPr>
            <w:tcW w:w="69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Payment-in-kind interest and dividends</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516" w:type="dxa"/>
            <w:tcBorders/>
            <w:shd w:fill="CFF0FC"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Accretion of original issue discount on investments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516" w:type="dxa"/>
            <w:tcBorders/>
            <w:shd w:fill="FFFFFF" w:val="cle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694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Amortization of deferred financing fees and original issue discount</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22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516" w:type="dxa"/>
            <w:tcBorders/>
            <w:shd w:fill="CFF0FC" w:val="clear"/>
            <w:vAlign w:val="center"/>
          </w:tcPr>
          <w:p>
            <w:pPr>
              <w:pStyle w:val="TableContents"/>
              <w:bidi w:val="0"/>
              <w:spacing w:before="0" w:after="283"/>
              <w:ind w:left="0" w:right="0" w:firstLine="200"/>
              <w:jc w:val="left"/>
              <w:rPr/>
            </w:pPr>
            <w:r>
              <w:rPr/>
              <w:t> </w:t>
            </w:r>
          </w:p>
        </w:tc>
      </w:tr>
      <w:tr>
        <w:trPr/>
        <w:tc>
          <w:tcPr>
            <w:tcW w:w="694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6"/>
              </w:rPr>
            </w:pPr>
            <w:r>
              <w:rPr>
                <w:rFonts w:ascii="Times New Roman" w:hAnsi="Times New Roman"/>
                <w:color w:val="000000"/>
                <w:sz w:val="16"/>
              </w:rPr>
              <w:t>Changes in assets and liabilities:</w:t>
            </w:r>
          </w:p>
        </w:tc>
        <w:tc>
          <w:tcPr>
            <w:tcW w:w="146" w:type="dxa"/>
            <w:tcBorders/>
            <w:shd w:fill="FFFFFF" w:val="clear"/>
            <w:vAlign w:val="center"/>
          </w:tcPr>
          <w:p>
            <w:pPr>
              <w:pStyle w:val="TableContents"/>
              <w:bidi w:val="0"/>
              <w:spacing w:before="0" w:after="283"/>
              <w:jc w:val="righ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300"/>
              <w:jc w:val="right"/>
              <w:rPr/>
            </w:pPr>
            <w:r>
              <w:rPr/>
              <w:t> </w:t>
            </w:r>
          </w:p>
        </w:tc>
      </w:tr>
      <w:tr>
        <w:trPr/>
        <w:tc>
          <w:tcPr>
            <w:tcW w:w="6944"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Interest and dividend receivable</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516" w:type="dxa"/>
            <w:tcBorders/>
            <w:shd w:fill="CFF0FC" w:val="clear"/>
            <w:vAlign w:val="center"/>
          </w:tcPr>
          <w:p>
            <w:pPr>
              <w:pStyle w:val="TableContents"/>
              <w:bidi w:val="0"/>
              <w:spacing w:before="0" w:after="283"/>
              <w:ind w:left="0" w:right="0" w:firstLine="300"/>
              <w:jc w:val="left"/>
              <w:rPr/>
            </w:pPr>
            <w:r>
              <w:rPr/>
              <w:t> </w:t>
            </w:r>
          </w:p>
        </w:tc>
      </w:tr>
      <w:tr>
        <w:trPr/>
        <w:tc>
          <w:tcPr>
            <w:tcW w:w="694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Prepaid expenses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22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516" w:type="dxa"/>
            <w:tcBorders/>
            <w:shd w:fill="FFFFFF" w:val="clear"/>
            <w:vAlign w:val="center"/>
          </w:tcPr>
          <w:p>
            <w:pPr>
              <w:pStyle w:val="TableContents"/>
              <w:bidi w:val="0"/>
              <w:spacing w:before="0" w:after="283"/>
              <w:ind w:left="0" w:right="0" w:firstLine="300"/>
              <w:jc w:val="left"/>
              <w:rPr/>
            </w:pPr>
            <w:r>
              <w:rPr/>
              <w:t> </w:t>
            </w:r>
          </w:p>
        </w:tc>
      </w:tr>
      <w:tr>
        <w:trPr/>
        <w:tc>
          <w:tcPr>
            <w:tcW w:w="6944"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Receivable for unsettled trades</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ind w:left="0" w:right="0" w:firstLine="300"/>
              <w:jc w:val="left"/>
              <w:rPr/>
            </w:pPr>
            <w:r>
              <w:rPr/>
              <w:t> </w:t>
            </w:r>
          </w:p>
        </w:tc>
      </w:tr>
      <w:tr>
        <w:trPr/>
        <w:tc>
          <w:tcPr>
            <w:tcW w:w="694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516" w:type="dxa"/>
            <w:tcBorders/>
            <w:shd w:fill="FFFFFF" w:val="clear"/>
            <w:vAlign w:val="center"/>
          </w:tcPr>
          <w:p>
            <w:pPr>
              <w:pStyle w:val="TableContents"/>
              <w:bidi w:val="0"/>
              <w:spacing w:before="0" w:after="283"/>
              <w:ind w:left="0" w:right="0" w:firstLine="300"/>
              <w:jc w:val="left"/>
              <w:rPr/>
            </w:pPr>
            <w:r>
              <w:rPr/>
              <w:t> </w:t>
            </w:r>
          </w:p>
        </w:tc>
      </w:tr>
      <w:tr>
        <w:trPr/>
        <w:tc>
          <w:tcPr>
            <w:tcW w:w="6944"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Management and incentive fees payable</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22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516" w:type="dxa"/>
            <w:tcBorders/>
            <w:shd w:fill="CFF0FC" w:val="clear"/>
            <w:vAlign w:val="center"/>
          </w:tcPr>
          <w:p>
            <w:pPr>
              <w:pStyle w:val="TableContents"/>
              <w:bidi w:val="0"/>
              <w:spacing w:before="0" w:after="283"/>
              <w:ind w:left="0" w:right="0" w:firstLine="300"/>
              <w:jc w:val="left"/>
              <w:rPr>
                <w:rFonts w:ascii="Times New Roman" w:hAnsi="Times New Roman"/>
                <w:color w:val="000000"/>
                <w:sz w:val="16"/>
              </w:rPr>
            </w:pPr>
            <w:r>
              <w:rPr>
                <w:rFonts w:ascii="Times New Roman" w:hAnsi="Times New Roman"/>
                <w:color w:val="000000"/>
                <w:sz w:val="16"/>
              </w:rPr>
              <w:t>)</w:t>
            </w:r>
          </w:p>
        </w:tc>
      </w:tr>
      <w:tr>
        <w:trPr/>
        <w:tc>
          <w:tcPr>
            <w:tcW w:w="694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Interest and financing fees payable</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w:t>
            </w:r>
          </w:p>
        </w:tc>
        <w:tc>
          <w:tcPr>
            <w:tcW w:w="22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496</w:t>
            </w:r>
          </w:p>
        </w:tc>
        <w:tc>
          <w:tcPr>
            <w:tcW w:w="516" w:type="dxa"/>
            <w:tcBorders/>
            <w:shd w:fill="FFFFFF" w:val="clear"/>
            <w:vAlign w:val="center"/>
          </w:tcPr>
          <w:p>
            <w:pPr>
              <w:pStyle w:val="TableContents"/>
              <w:bidi w:val="0"/>
              <w:spacing w:before="0" w:after="283"/>
              <w:ind w:left="0" w:right="0" w:firstLine="300"/>
              <w:jc w:val="left"/>
              <w:rPr/>
            </w:pPr>
            <w:r>
              <w:rPr/>
              <w:t> </w:t>
            </w:r>
          </w:p>
        </w:tc>
      </w:tr>
      <w:tr>
        <w:trPr/>
        <w:tc>
          <w:tcPr>
            <w:tcW w:w="6944"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Payable for unsettled trades</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w:t>
            </w:r>
          </w:p>
        </w:tc>
        <w:tc>
          <w:tcPr>
            <w:tcW w:w="22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ind w:left="0" w:right="0" w:firstLine="300"/>
              <w:jc w:val="left"/>
              <w:rPr/>
            </w:pPr>
            <w:r>
              <w:rPr/>
              <w:t> </w:t>
            </w:r>
          </w:p>
        </w:tc>
      </w:tr>
      <w:tr>
        <w:trPr/>
        <w:tc>
          <w:tcPr>
            <w:tcW w:w="6944"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6"/>
              </w:rPr>
            </w:pPr>
            <w:r>
              <w:rPr>
                <w:rFonts w:ascii="Times New Roman" w:hAnsi="Times New Roman"/>
                <w:color w:val="000000"/>
                <w:sz w:val="16"/>
              </w:rPr>
              <w:t>Accounts payable and accrued expenses</w:t>
            </w:r>
          </w:p>
        </w:tc>
        <w:tc>
          <w:tcPr>
            <w:tcW w:w="146" w:type="dxa"/>
            <w:tcBorders/>
            <w:shd w:fill="FFFFFF" w:val="cle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(USED IN) PROVIDED BY OPERATING ACTIVITIES</w:t>
            </w:r>
          </w:p>
        </w:tc>
        <w:tc>
          <w:tcPr>
            <w:tcW w:w="146"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(7,094</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vAlign w:val="center"/>
          </w:tcPr>
          <w:p>
            <w:pPr>
              <w:pStyle w:val="TableContents"/>
              <w:bidi w:val="0"/>
              <w:spacing w:before="0" w:after="283"/>
              <w:jc w:val="righ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634</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4"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CASH FLOWS FROM FINANCING ACTIVITIES</w:t>
            </w:r>
          </w:p>
        </w:tc>
        <w:tc>
          <w:tcPr>
            <w:tcW w:w="146" w:type="dxa"/>
            <w:tcBorders/>
            <w:shd w:fill="FFFFFF" w:val="clear"/>
            <w:vAlign w:val="center"/>
          </w:tcPr>
          <w:p>
            <w:pPr>
              <w:pStyle w:val="TableContents"/>
              <w:bidi w:val="0"/>
              <w:spacing w:before="0" w:after="283"/>
              <w:jc w:val="righ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100"/>
              <w:jc w:val="right"/>
              <w:rPr/>
            </w:pPr>
            <w:r>
              <w:rPr/>
              <w:t> </w:t>
            </w:r>
          </w:p>
        </w:tc>
      </w:tr>
      <w:tr>
        <w:trPr/>
        <w:tc>
          <w:tcPr>
            <w:tcW w:w="694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Repayment of 2032 Convertible Notes</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ind w:left="0" w:right="0" w:firstLine="100"/>
              <w:jc w:val="left"/>
              <w:rPr/>
            </w:pPr>
            <w:r>
              <w:rPr/>
              <w:t> </w:t>
            </w:r>
          </w:p>
        </w:tc>
      </w:tr>
      <w:tr>
        <w:trPr/>
        <w:tc>
          <w:tcPr>
            <w:tcW w:w="694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Borrowings under KeyBank Credit Facility</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13,400</w:t>
            </w:r>
          </w:p>
        </w:tc>
        <w:tc>
          <w:tcPr>
            <w:tcW w:w="22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10,000</w:t>
            </w:r>
          </w:p>
        </w:tc>
        <w:tc>
          <w:tcPr>
            <w:tcW w:w="516" w:type="dxa"/>
            <w:tcBorders/>
            <w:shd w:fill="FFFFFF" w:val="clear"/>
            <w:vAlign w:val="center"/>
          </w:tcPr>
          <w:p>
            <w:pPr>
              <w:pStyle w:val="TableContents"/>
              <w:bidi w:val="0"/>
              <w:spacing w:before="0" w:after="283"/>
              <w:ind w:left="0" w:right="0" w:firstLine="100"/>
              <w:jc w:val="left"/>
              <w:rPr/>
            </w:pPr>
            <w:r>
              <w:rPr/>
              <w:t> </w:t>
            </w:r>
          </w:p>
        </w:tc>
      </w:tr>
      <w:tr>
        <w:trPr/>
        <w:tc>
          <w:tcPr>
            <w:tcW w:w="694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Repayments under KeyBank Credit Facility</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(7,558</w:t>
            </w:r>
          </w:p>
        </w:tc>
        <w:tc>
          <w:tcPr>
            <w:tcW w:w="516" w:type="dxa"/>
            <w:tcBorders/>
            <w:shd w:fill="CFF0FC"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94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paid in advance to transfer agent</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pPr>
            <w:r>
              <w:rPr/>
              <w:t> </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516" w:type="dxa"/>
            <w:tcBorders/>
            <w:shd w:fill="FFFFFF" w:val="cle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r>
      <w:tr>
        <w:trPr/>
        <w:tc>
          <w:tcPr>
            <w:tcW w:w="694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Repurchase of common stock</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(471</w:t>
            </w:r>
          </w:p>
        </w:tc>
        <w:tc>
          <w:tcPr>
            <w:tcW w:w="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w:t>
            </w:r>
          </w:p>
        </w:tc>
        <w:tc>
          <w:tcPr>
            <w:tcW w:w="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9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FFFFFF" w:val="clear"/>
            <w:vAlign w:val="center"/>
          </w:tcPr>
          <w:p>
            <w:pPr>
              <w:pStyle w:val="TableContents"/>
              <w:bidi w:val="0"/>
              <w:spacing w:before="0" w:after="283"/>
              <w:jc w:val="right"/>
              <w:rPr/>
            </w:pPr>
            <w:r>
              <w:rPr/>
              <w:t> </w:t>
            </w:r>
          </w:p>
        </w:tc>
        <w:tc>
          <w:tcPr>
            <w:tcW w:w="26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11,536</w:t>
            </w:r>
          </w:p>
        </w:tc>
        <w:tc>
          <w:tcPr>
            <w:tcW w:w="22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26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2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1,920</w:t>
            </w:r>
          </w:p>
        </w:tc>
        <w:tc>
          <w:tcPr>
            <w:tcW w:w="5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IN CASH AND CASH EQUIVALENTS</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4,442</w:t>
            </w:r>
          </w:p>
        </w:tc>
        <w:tc>
          <w:tcPr>
            <w:tcW w:w="22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2,554</w:t>
            </w:r>
          </w:p>
        </w:tc>
        <w:tc>
          <w:tcPr>
            <w:tcW w:w="516" w:type="dxa"/>
            <w:tcBorders/>
            <w:shd w:fill="CFF0FC" w:val="clear"/>
            <w:vAlign w:val="center"/>
          </w:tcPr>
          <w:p>
            <w:pPr>
              <w:pStyle w:val="TableContents"/>
              <w:bidi w:val="0"/>
              <w:spacing w:before="0" w:after="283"/>
              <w:jc w:val="left"/>
              <w:rPr/>
            </w:pPr>
            <w:r>
              <w:rPr/>
              <w:t> </w:t>
            </w:r>
          </w:p>
        </w:tc>
      </w:tr>
      <w:tr>
        <w:trPr/>
        <w:tc>
          <w:tcPr>
            <w:tcW w:w="69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beginning of period</w:t>
            </w:r>
          </w:p>
        </w:tc>
        <w:tc>
          <w:tcPr>
            <w:tcW w:w="146"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3,893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6,793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4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AND CASH EQUIVALENTS, end of period</w:t>
            </w:r>
          </w:p>
        </w:tc>
        <w:tc>
          <w:tcPr>
            <w:tcW w:w="146"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8,335</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9,347</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DISCLOSURE OF CASH FLOW INFORMATION</w:t>
            </w:r>
          </w:p>
        </w:tc>
        <w:tc>
          <w:tcPr>
            <w:tcW w:w="146" w:type="dxa"/>
            <w:tcBorders/>
            <w:shd w:fill="FFFFFF" w:val="clear"/>
            <w:vAlign w:val="center"/>
          </w:tcPr>
          <w:p>
            <w:pPr>
              <w:pStyle w:val="TableContents"/>
              <w:bidi w:val="0"/>
              <w:spacing w:before="0" w:after="283"/>
              <w:jc w:val="righ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100"/>
              <w:jc w:val="right"/>
              <w:rPr/>
            </w:pPr>
            <w:r>
              <w:rPr/>
              <w:t> </w:t>
            </w:r>
          </w:p>
        </w:tc>
      </w:tr>
      <w:tr>
        <w:trPr/>
        <w:tc>
          <w:tcPr>
            <w:tcW w:w="694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Cash paid for interest</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1,302</w:t>
            </w:r>
          </w:p>
        </w:tc>
        <w:tc>
          <w:tcPr>
            <w:tcW w:w="22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1,354</w:t>
            </w:r>
          </w:p>
        </w:tc>
        <w:tc>
          <w:tcPr>
            <w:tcW w:w="516" w:type="dxa"/>
            <w:tcBorders/>
            <w:shd w:fill="CFF0FC" w:val="clear"/>
            <w:vAlign w:val="center"/>
          </w:tcPr>
          <w:p>
            <w:pPr>
              <w:pStyle w:val="TableContents"/>
              <w:bidi w:val="0"/>
              <w:spacing w:before="0" w:after="283"/>
              <w:jc w:val="left"/>
              <w:rPr/>
            </w:pPr>
            <w:r>
              <w:rPr/>
              <w:t> </w:t>
            </w:r>
          </w:p>
        </w:tc>
      </w:tr>
      <w:tr>
        <w:trPr/>
        <w:tc>
          <w:tcPr>
            <w:tcW w:w="6944"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SUPPLEMENTAL DISCLOSURE OF NON-CASH INVESTING AND</w:t>
              <w:br/>
              <w:t>   FINANCING TRANSACTIONS</w:t>
            </w:r>
          </w:p>
        </w:tc>
        <w:tc>
          <w:tcPr>
            <w:tcW w:w="146" w:type="dxa"/>
            <w:tcBorders/>
            <w:shd w:fill="FFFFFF" w:val="clear"/>
            <w:vAlign w:val="center"/>
          </w:tcPr>
          <w:p>
            <w:pPr>
              <w:pStyle w:val="TableContents"/>
              <w:bidi w:val="0"/>
              <w:spacing w:before="0" w:after="283"/>
              <w:jc w:val="righ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226"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right"/>
              <w:rPr/>
            </w:pPr>
            <w:r>
              <w:rPr/>
              <w:t> </w:t>
            </w:r>
          </w:p>
        </w:tc>
        <w:tc>
          <w:tcPr>
            <w:tcW w:w="1087" w:type="dxa"/>
            <w:gridSpan w:val="2"/>
            <w:tcBorders/>
            <w:shd w:fill="FFFFFF" w:val="clear"/>
            <w:vAlign w:val="center"/>
          </w:tcPr>
          <w:p>
            <w:pPr>
              <w:pStyle w:val="TableContents"/>
              <w:bidi w:val="0"/>
              <w:spacing w:before="0" w:after="283"/>
              <w:jc w:val="right"/>
              <w:rPr/>
            </w:pPr>
            <w:r>
              <w:rPr/>
              <w:t> </w:t>
            </w:r>
          </w:p>
        </w:tc>
        <w:tc>
          <w:tcPr>
            <w:tcW w:w="516" w:type="dxa"/>
            <w:tcBorders/>
            <w:shd w:fill="FFFFFF" w:val="clear"/>
            <w:vAlign w:val="center"/>
          </w:tcPr>
          <w:p>
            <w:pPr>
              <w:pStyle w:val="TableContents"/>
              <w:bidi w:val="0"/>
              <w:spacing w:before="0" w:after="283"/>
              <w:ind w:left="0" w:right="0" w:firstLine="100"/>
              <w:jc w:val="right"/>
              <w:rPr/>
            </w:pPr>
            <w:r>
              <w:rPr/>
              <w:t> </w:t>
            </w:r>
          </w:p>
        </w:tc>
      </w:tr>
      <w:tr>
        <w:trPr/>
        <w:tc>
          <w:tcPr>
            <w:tcW w:w="6944" w:type="dxa"/>
            <w:tcBorders/>
            <w:shd w:fill="CFF0FC"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Issuance of common stock on our convertible debt</w:t>
            </w:r>
          </w:p>
        </w:tc>
        <w:tc>
          <w:tcPr>
            <w:tcW w:w="146"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22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shd w:fill="CFF0FC" w:val="clear"/>
            <w:vAlign w:val="center"/>
          </w:tcPr>
          <w:p>
            <w:pPr>
              <w:pStyle w:val="TableContents"/>
              <w:bidi w:val="0"/>
              <w:spacing w:before="0" w:after="283"/>
              <w:jc w:val="right"/>
              <w:rPr>
                <w:color w:val="000000"/>
              </w:rPr>
            </w:pPr>
            <w:r>
              <w:rPr>
                <w:color w:val="000000"/>
              </w:rPr>
              <w:t>—</w:t>
            </w:r>
          </w:p>
        </w:tc>
        <w:tc>
          <w:tcPr>
            <w:tcW w:w="516" w:type="dxa"/>
            <w:tcBorders/>
            <w:shd w:fill="CFF0FC" w:val="clear"/>
            <w:vAlign w:val="center"/>
          </w:tcPr>
          <w:p>
            <w:pPr>
              <w:pStyle w:val="TableContents"/>
              <w:bidi w:val="0"/>
              <w:spacing w:before="0" w:after="283"/>
              <w:ind w:left="0" w:right="0" w:firstLine="100"/>
              <w:jc w:val="left"/>
              <w:rPr/>
            </w:pPr>
            <w:r>
              <w:rPr/>
              <w:t> </w:t>
            </w:r>
          </w:p>
        </w:tc>
      </w:tr>
      <w:tr>
        <w:trPr/>
        <w:tc>
          <w:tcPr>
            <w:tcW w:w="6944" w:type="dxa"/>
            <w:tcBorders/>
            <w:shd w:fill="FFFFFF" w:val="clear"/>
            <w:vAlign w:val="center"/>
          </w:tcPr>
          <w:p>
            <w:pPr>
              <w:pStyle w:val="TableContents"/>
              <w:bidi w:val="0"/>
              <w:spacing w:before="0" w:after="283"/>
              <w:ind w:left="100" w:right="0" w:firstLine="100"/>
              <w:jc w:val="left"/>
              <w:rPr>
                <w:rFonts w:ascii="Times New Roman" w:hAnsi="Times New Roman"/>
                <w:color w:val="000000"/>
                <w:sz w:val="16"/>
              </w:rPr>
            </w:pPr>
            <w:r>
              <w:rPr>
                <w:rFonts w:ascii="Times New Roman" w:hAnsi="Times New Roman"/>
                <w:color w:val="000000"/>
                <w:sz w:val="16"/>
              </w:rPr>
              <w:t>Distributions paid through dividend reinvestment plan share issuances</w:t>
            </w:r>
          </w:p>
        </w:tc>
        <w:tc>
          <w:tcPr>
            <w:tcW w:w="146"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shd w:fill="FFFFFF" w:val="clear"/>
            <w:vAlign w:val="center"/>
          </w:tcPr>
          <w:p>
            <w:pPr>
              <w:pStyle w:val="TableContents"/>
              <w:bidi w:val="0"/>
              <w:spacing w:before="0" w:after="283"/>
              <w:jc w:val="right"/>
              <w:rPr>
                <w:color w:val="000000"/>
              </w:rPr>
            </w:pPr>
            <w:r>
              <w:rPr>
                <w:color w:val="000000"/>
              </w:rPr>
              <w:t>—</w:t>
            </w:r>
          </w:p>
        </w:tc>
        <w:tc>
          <w:tcPr>
            <w:tcW w:w="22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2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516" w:type="dxa"/>
            <w:tcBorders/>
            <w:shd w:fill="FFFFFF" w:val="cle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8" w:name="schedule_of_investments"/>
      <w:bookmarkEnd w:id="8"/>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43"/>
        <w:gridCol w:w="146"/>
        <w:gridCol w:w="1203"/>
        <w:gridCol w:w="146"/>
        <w:gridCol w:w="706"/>
        <w:gridCol w:w="146"/>
        <w:gridCol w:w="976"/>
        <w:gridCol w:w="146"/>
        <w:gridCol w:w="464"/>
        <w:gridCol w:w="146"/>
        <w:gridCol w:w="608"/>
        <w:gridCol w:w="146"/>
        <w:gridCol w:w="171"/>
        <w:gridCol w:w="583"/>
        <w:gridCol w:w="146"/>
        <w:gridCol w:w="146"/>
        <w:gridCol w:w="166"/>
        <w:gridCol w:w="496"/>
        <w:gridCol w:w="151"/>
        <w:gridCol w:w="146"/>
        <w:gridCol w:w="166"/>
        <w:gridCol w:w="496"/>
        <w:gridCol w:w="151"/>
        <w:gridCol w:w="146"/>
        <w:gridCol w:w="665"/>
      </w:tblGrid>
      <w:tr>
        <w:trPr/>
        <w:tc>
          <w:tcPr>
            <w:tcW w:w="1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17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5676" w:type="dxa"/>
            <w:gridSpan w:val="9"/>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Non-Control, Non-Affiliate Portfolio Companies - 186.0%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- 141.7%</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Accordion Partners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11.32%</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+ 6.02%</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08/29/2029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5,303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Accordion Partners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11.56%</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Accurate Background,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11.56%</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03/26/2027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4,174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4,301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AIDC Intermediateco 2, LLC (Peak Technologies)</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11.72%</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+ 6.40%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07/22/2027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4,857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16.44%</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 5.25% PIK</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01/01/2025</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 5.50% PIK</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06/30/2025</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Core Holdings II,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10.94%</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1,074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Core Holdings II,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10.94%</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Astro Acquisition, LLC (Cooper Machinery Services)</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10.80%</w:t>
            </w:r>
          </w:p>
        </w:tc>
        <w:tc>
          <w:tcPr>
            <w:tcW w:w="146" w:type="dxa"/>
            <w:tcBorders/>
            <w:shd w:fill="CFF0FC" w:val="clear"/>
            <w:vAlign w:val="center"/>
          </w:tcPr>
          <w:p>
            <w:pPr>
              <w:pStyle w:val="TableContents"/>
              <w:bidi w:val="0"/>
              <w:spacing w:before="0" w:after="283"/>
              <w:jc w:val="righ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righ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righ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12/13/2027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11.05%</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 (Revolver)</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9.56%</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+ 4.25%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11.18%</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Inc. (Revolver)</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10/21/2026</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Critical Nurse Staffing,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10/30/2026</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5,716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Critical Nurse Staffing, LLC (Revolver)</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10/30/2026</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12.18%</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11/23/2026</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5,567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12/26/2028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1,562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9.78%</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02/12/2029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Epic Staffing Group</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10/18/2028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Fortis Payment Systems,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11.15%</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02/13/2026</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Hudson Hospital OpCo,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HUMC Opco,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Lochner,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IDC Infusion Services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11.86%</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07/07/2028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IJKG OpCo,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 ET Holdings Limited</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18.33%</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 7.00% PIK</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12/15/2026</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11.48%</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7,243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11.48%</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(Priority First Out)</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12.97%</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+ 7.65%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(Priority Second Out)</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12.97%</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+ 7.65%</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Material Handling Systems,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10.83%</w:t>
            </w:r>
          </w:p>
        </w:tc>
        <w:tc>
          <w:tcPr>
            <w:tcW w:w="146" w:type="dxa"/>
            <w:tcBorders/>
            <w:shd w:fill="CFF0FC" w:val="clear"/>
            <w:vAlign w:val="center"/>
          </w:tcPr>
          <w:p>
            <w:pPr>
              <w:pStyle w:val="TableContents"/>
              <w:bidi w:val="0"/>
              <w:spacing w:before="0" w:after="283"/>
              <w:jc w:val="righ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righ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righ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06/08/2029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Money Transfer Acquisition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13.68%</w:t>
            </w:r>
          </w:p>
        </w:tc>
        <w:tc>
          <w:tcPr>
            <w:tcW w:w="146" w:type="dxa"/>
            <w:tcBorders/>
            <w:shd w:fill="FFFFFF" w:val="clear"/>
            <w:vAlign w:val="center"/>
          </w:tcPr>
          <w:p>
            <w:pPr>
              <w:pStyle w:val="TableContents"/>
              <w:bidi w:val="0"/>
              <w:spacing w:before="0" w:after="283"/>
              <w:jc w:val="righ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+ 8.25%</w:t>
            </w:r>
          </w:p>
        </w:tc>
        <w:tc>
          <w:tcPr>
            <w:tcW w:w="146" w:type="dxa"/>
            <w:tcBorders/>
            <w:shd w:fill="FFFFFF" w:val="clear"/>
            <w:vAlign w:val="center"/>
          </w:tcPr>
          <w:p>
            <w:pPr>
              <w:pStyle w:val="TableContents"/>
              <w:bidi w:val="0"/>
              <w:spacing w:before="0" w:after="283"/>
              <w:jc w:val="righ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righ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12/14/2027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6,724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13.47%</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10/26/2026</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2,991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10/26/2026</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BidCo US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 Services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10.42%</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04/11/2029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1,376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Orthopaedic (ITC) Buyer,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PhyNet Dermatology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11.99%</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Premier Imaging,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11.56%</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01/02/2025</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Riddell,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11.33%</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03/29/2029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RN Enterprises,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12.09%</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12/23/2025</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Sequoia Healthcare Management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Management</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9.00%</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Logistics</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11.45%</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03/24/2028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Symplr Software,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9.91%</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1,572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Synamedia Americas Holdings,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 Services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13.06%</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+ 7.75%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2,625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Tactical Air Support,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13.97%</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12.55%</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02/28/2029</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 (Revolver)</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12.57%</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TransNetwork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10.81%</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11/20/2030</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13.48%</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 (Revolver)</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13.47%</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Wealth Enhancement Group,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10.82%</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10/02/2027</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Wealth Enhancement Group, LLC (Revolver)</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134,488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127,844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30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- 8.3%</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14.50% PIK</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4,219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Online Merchandise Retailer</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14.94%</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 13.94% PIK</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08/28/2025</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999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12.84%</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30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8,265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7,443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 - 25.4%</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Eastport Holdings, LLC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14.10%</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09/29/2027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05/29/2028</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Tubular Textile Machinery,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 Equipment Manufacturer</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5.00%</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10/29/2027</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3,176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26,573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22,910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1743"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- 1.8%</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IV Ltd.</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07/17/2029</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(13)(15)</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V Ltd.</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07/17/2030</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(13)(15)</w:t>
            </w:r>
          </w:p>
        </w:tc>
      </w:tr>
      <w:tr>
        <w:trPr/>
        <w:tc>
          <w:tcPr>
            <w:tcW w:w="30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30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- 2.8%</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right"/>
              <w:rPr/>
            </w:pPr>
            <w:r>
              <w:rPr/>
              <w:t> </w:t>
            </w:r>
          </w:p>
        </w:tc>
        <w:tc>
          <w:tcPr>
            <w:tcW w:w="15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EBSC Holdings LLC (Riddell, Inc.)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10.00% PIK</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MicroHoldco, LLC</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General Industrial</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174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Taylor Precision Products, Inc. - Series C</w:t>
            </w:r>
          </w:p>
        </w:tc>
        <w:tc>
          <w:tcPr>
            <w:tcW w:w="146" w:type="dxa"/>
            <w:tcBorders/>
            <w:shd w:fill="CFF0FC" w:val="clear"/>
            <w:vAlign w:val="center"/>
          </w:tcPr>
          <w:p>
            <w:pPr>
              <w:pStyle w:val="TableContents"/>
              <w:bidi w:val="0"/>
              <w:spacing w:before="0" w:after="283"/>
              <w:jc w:val="left"/>
              <w:rPr/>
            </w:pPr>
            <w:r>
              <w:rPr/>
              <w:t> </w:t>
            </w:r>
          </w:p>
        </w:tc>
        <w:tc>
          <w:tcPr>
            <w:tcW w:w="120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 Manufacturer</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r>
        <w:trPr/>
        <w:tc>
          <w:tcPr>
            <w:tcW w:w="174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U.S. BioTek Laboratories, LLC - Class A</w:t>
            </w:r>
          </w:p>
        </w:tc>
        <w:tc>
          <w:tcPr>
            <w:tcW w:w="146" w:type="dxa"/>
            <w:tcBorders/>
            <w:shd w:fill="FFFFFF" w:val="clear"/>
            <w:vAlign w:val="center"/>
          </w:tcPr>
          <w:p>
            <w:pPr>
              <w:pStyle w:val="TableContents"/>
              <w:bidi w:val="0"/>
              <w:spacing w:before="0" w:after="283"/>
              <w:jc w:val="left"/>
              <w:rPr/>
            </w:pPr>
            <w:r>
              <w:rPr/>
              <w:t> </w:t>
            </w:r>
          </w:p>
        </w:tc>
        <w:tc>
          <w:tcPr>
            <w:tcW w:w="1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Testing laboratories</w:t>
            </w:r>
          </w:p>
        </w:tc>
        <w:tc>
          <w:tcPr>
            <w:tcW w:w="146"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4"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left"/>
              <w:rPr/>
            </w:pPr>
            <w:r>
              <w:rPr/>
              <w:t> </w:t>
            </w:r>
          </w:p>
        </w:tc>
      </w:tr>
      <w:tr>
        <w:trPr/>
        <w:tc>
          <w:tcPr>
            <w:tcW w:w="30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CFF0FC" w:val="clear"/>
            <w:vAlign w:val="center"/>
          </w:tcPr>
          <w:p>
            <w:pPr>
              <w:pStyle w:val="TableContents"/>
              <w:bidi w:val="0"/>
              <w:spacing w:before="0" w:after="283"/>
              <w:jc w:val="left"/>
              <w:rPr/>
            </w:pPr>
            <w:r>
              <w:rPr/>
              <w:t> </w:t>
            </w:r>
          </w:p>
        </w:tc>
        <w:tc>
          <w:tcPr>
            <w:tcW w:w="70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spacing w:before="0" w:after="120"/>
        <w:jc w:val="center"/>
        <w:rPr>
          <w:rFonts w:ascii="Times New Roman" w:hAnsi="Times New Roman"/>
          <w:b/>
          <w:color w:val="000000"/>
          <w:sz w:val="16"/>
        </w:rPr>
      </w:pPr>
      <w:r>
        <w:rPr>
          <w:rFonts w:ascii="Times New Roman" w:hAnsi="Times New Roman"/>
          <w:b/>
          <w:color w:val="000000"/>
          <w:sz w:val="16"/>
        </w:rPr>
        <w:t>(unaudited)</w:t>
      </w:r>
    </w:p>
    <w:tbl>
      <w:tblPr>
        <w:tblW w:w="10205" w:type="dxa"/>
        <w:jc w:val="left"/>
        <w:tblInd w:w="0" w:type="dxa"/>
        <w:tblLayout w:type="fixed"/>
        <w:tblCellMar>
          <w:top w:w="28" w:type="dxa"/>
          <w:left w:w="28" w:type="dxa"/>
          <w:bottom w:w="28" w:type="dxa"/>
          <w:right w:w="28" w:type="dxa"/>
        </w:tblCellMar>
      </w:tblPr>
      <w:tblGrid>
        <w:gridCol w:w="1579"/>
        <w:gridCol w:w="146"/>
        <w:gridCol w:w="1450"/>
        <w:gridCol w:w="146"/>
        <w:gridCol w:w="718"/>
        <w:gridCol w:w="146"/>
        <w:gridCol w:w="787"/>
        <w:gridCol w:w="146"/>
        <w:gridCol w:w="469"/>
        <w:gridCol w:w="146"/>
        <w:gridCol w:w="610"/>
        <w:gridCol w:w="146"/>
        <w:gridCol w:w="157"/>
        <w:gridCol w:w="696"/>
        <w:gridCol w:w="146"/>
        <w:gridCol w:w="146"/>
        <w:gridCol w:w="166"/>
        <w:gridCol w:w="496"/>
        <w:gridCol w:w="146"/>
        <w:gridCol w:w="146"/>
        <w:gridCol w:w="166"/>
        <w:gridCol w:w="496"/>
        <w:gridCol w:w="146"/>
        <w:gridCol w:w="146"/>
        <w:gridCol w:w="663"/>
      </w:tblGrid>
      <w:tr>
        <w:trPr/>
        <w:tc>
          <w:tcPr>
            <w:tcW w:w="1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1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- 6.1%</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 - Class A</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6,030,384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Aperture Dodge 18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2,045,271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 - Class A</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Online Merchandise Retailer</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217,013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DxTx Pain and Spine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Freedom Electronics,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Machine Repair</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181,818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 Warrants</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 - Warrants</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U.S. BioTek Laboratories, LLC - Class 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Testing laboratories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4039" w:type="dxa"/>
            <w:gridSpan w:val="5"/>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 Non-Affiliate Portfolio Companies</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180,798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167,802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Affiliated Portfolio Companies - 35.8%^</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- 2.8%</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06/28/2024</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- 1.0%</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06/28/2024</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- 0.4%</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Great Lakes Funding II LLC - Series A</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(12)(15)</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- 7.7%</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 - Series A-1</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A</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6.00% PIK</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6,949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- 23.9%</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A</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B</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Part Manufacturer</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 - Series B-1</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M-1</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(6)(12)</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157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Nth Degree Investment Group, LLC</w:t>
            </w:r>
          </w:p>
        </w:tc>
        <w:tc>
          <w:tcPr>
            <w:tcW w:w="146" w:type="dxa"/>
            <w:tcBorders/>
            <w:shd w:fill="CFF0FC" w:val="clear"/>
            <w:vAlign w:val="center"/>
          </w:tcPr>
          <w:p>
            <w:pPr>
              <w:pStyle w:val="TableContents"/>
              <w:bidi w:val="0"/>
              <w:spacing w:before="0" w:after="283"/>
              <w:jc w:val="left"/>
              <w:rPr/>
            </w:pPr>
            <w:r>
              <w:rPr/>
              <w:t> </w:t>
            </w:r>
          </w:p>
        </w:tc>
        <w:tc>
          <w:tcPr>
            <w:tcW w:w="145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6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6,088,000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15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45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&amp; Gas Engineering and Consulting Services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6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14,983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3" w:type="dxa"/>
            <w:tcBorders/>
            <w:shd w:fill="CFF0FC" w:val="clear"/>
            <w:vAlign w:val="center"/>
          </w:tcPr>
          <w:p>
            <w:pPr>
              <w:pStyle w:val="TableContents"/>
              <w:bidi w:val="0"/>
              <w:spacing w:before="0" w:after="283"/>
              <w:jc w:val="left"/>
              <w:rPr/>
            </w:pPr>
            <w:r>
              <w:rPr/>
              <w:t> </w:t>
            </w:r>
          </w:p>
        </w:tc>
      </w:tr>
      <w:tr>
        <w:trPr/>
        <w:tc>
          <w:tcPr>
            <w:tcW w:w="3175"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Affiliated Portfolio Companies^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69"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3"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3" w:type="dxa"/>
            <w:tcBorders/>
            <w:shd w:fill="FFFFFF" w:val="clear"/>
            <w:vAlign w:val="center"/>
          </w:tcPr>
          <w:p>
            <w:pPr>
              <w:pStyle w:val="TableContents"/>
              <w:bidi w:val="0"/>
              <w:spacing w:before="0" w:after="283"/>
              <w:jc w:val="left"/>
              <w:rPr/>
            </w:pPr>
            <w:r>
              <w:rPr/>
              <w:t> </w:t>
            </w:r>
          </w:p>
        </w:tc>
      </w:tr>
      <w:tr>
        <w:trPr/>
        <w:tc>
          <w:tcPr>
            <w:tcW w:w="3175"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- 221.9%</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6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206,307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3"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 </w:t>
      </w:r>
      <w:r>
        <w:rPr>
          <w:rFonts w:ascii="Times New Roman" w:hAnsi="Times New Roman"/>
          <w:color w:val="000000"/>
          <w:sz w:val="12"/>
        </w:rPr>
        <w:t>As defined in the Investment Company Act of 1940, as amended (the “1940 Act”), the investment is deemed to be an “affiliated person”</w:t>
      </w:r>
      <w:r>
        <w:rPr>
          <w:rFonts w:ascii="Times New Roman" w:hAnsi="Times New Roman"/>
          <w:color w:val="000000"/>
          <w:sz w:val="20"/>
        </w:rPr>
        <w:t xml:space="preserve"> </w:t>
      </w:r>
      <w:r>
        <w:rPr>
          <w:rFonts w:ascii="Times New Roman" w:hAnsi="Times New Roman"/>
          <w:color w:val="000000"/>
          <w:sz w:val="12"/>
        </w:rPr>
        <w:t>of the Company because the Company owns, either directly or indirectly, 5% or more of the portfolio company's outstanding voting securities.</w:t>
      </w:r>
    </w:p>
    <w:p>
      <w:pPr>
        <w:pStyle w:val="TextBody"/>
        <w:bidi w:val="0"/>
        <w:jc w:val="both"/>
        <w:rPr>
          <w:rFonts w:ascii="Times New Roman" w:hAnsi="Times New Roman"/>
          <w:color w:val="000000"/>
          <w:sz w:val="12"/>
        </w:rPr>
      </w:pPr>
      <w:r>
        <w:rPr>
          <w:rFonts w:ascii="Times New Roman" w:hAnsi="Times New Roman"/>
          <w:color w:val="000000"/>
          <w:sz w:val="12"/>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pStyle w:val="TextBody"/>
        <w:bidi w:val="0"/>
        <w:jc w:val="both"/>
        <w:rPr>
          <w:rFonts w:ascii="Times New Roman" w:hAnsi="Times New Roman"/>
          <w:color w:val="000000"/>
          <w:sz w:val="12"/>
        </w:rPr>
      </w:pPr>
      <w:r>
        <w:rPr>
          <w:rFonts w:ascii="Times New Roman" w:hAnsi="Times New Roman"/>
          <w:color w:val="000000"/>
          <w:sz w:val="12"/>
        </w:rPr>
        <w:t>(+) Represents the actual interest rate for partially or fully funded debt in effect as of the reporting date. Variable rate loans bear interest at a rate that may be determined by the larger of the floor of the reference to SOFR or alternate base rate (commonly known as the U.S. Prime Rate (“P”), unless otherwise noted) at the borrower's option, which reset periodically based on the terms of the credit agreement. SOFR loans are typically indexed to 6 month, 3 month, or 1 month SOFR rates. As of March 31, 2024, rates for the 6 month, 3 month and 1 month SOFR are 5.39%, 5.30%, and 5.33%, respectively. As of March 31, 2024, P was 8.50%. For investments with multiple reference rates or alternate base rates, the interest rate shown is the weighted average interest rate in effect at March 31, 2024.</w:t>
      </w:r>
    </w:p>
    <w:p>
      <w:pPr>
        <w:pStyle w:val="TextBody"/>
        <w:bidi w:val="0"/>
        <w:jc w:val="both"/>
        <w:rPr>
          <w:rFonts w:ascii="Times New Roman" w:hAnsi="Times New Roman"/>
          <w:sz w:val="20"/>
        </w:rPr>
      </w:pPr>
      <w:r>
        <w:rPr>
          <w:rFonts w:ascii="Times New Roman" w:hAnsi="Times New Roman"/>
          <w:color w:val="000000"/>
          <w:sz w:val="12"/>
        </w:rPr>
        <w:t>(++) Par amount is presented for debt investments, while the number of shares or units owned is presented for equity investments.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All investments valued using unobservable inputs (Level 3), unless otherwise noted.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(2)</w:t>
      </w:r>
    </w:p>
    <w:p>
      <w:pPr>
        <w:pStyle w:val="TextBody"/>
        <w:bidi w:val="0"/>
        <w:spacing w:before="0" w:after="0"/>
        <w:jc w:val="both"/>
        <w:rPr/>
      </w:pPr>
      <w:r>
        <w:rPr>
          <w:rFonts w:ascii="Times New Roman" w:hAnsi="Times New Roman"/>
          <w:color w:val="000000"/>
          <w:sz w:val="12"/>
        </w:rPr>
        <w:t>The fair value of each of the Company’s investments is determined in good faith using significant unobservable inputs by the Investment Adviser in its role as “valuation designee” in accordance with Rule 2a-5 under the 1940 Act, pursuant to valuation policies and procedures that have been approved by the Company’s board of directors (the “Board</w:t>
      </w:r>
      <w:r>
        <w:rPr>
          <w:color w:val="000000"/>
        </w:rPr>
        <w:t>”</w:t>
      </w:r>
      <w:r>
        <w:rPr>
          <w:rFonts w:ascii="Times New Roman" w:hAnsi="Times New Roman"/>
          <w:color w:val="000000"/>
          <w:sz w:val="12"/>
        </w:rPr>
        <w:t xml:space="preserve">).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(3)</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All debt investments are income producing, unless otherwise noted. Equity and warrant investments are non-income producing, unless otherwise noted.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(4)</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Percentages are based on net assets as of March 31, 2024.</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(5)</w:t>
      </w:r>
    </w:p>
    <w:p>
      <w:pPr>
        <w:pStyle w:val="TextBody"/>
        <w:bidi w:val="0"/>
        <w:spacing w:before="0" w:after="0"/>
        <w:jc w:val="both"/>
        <w:rPr/>
      </w:pPr>
      <w:r>
        <w:rPr>
          <w:rFonts w:ascii="Times New Roman" w:hAnsi="Times New Roman"/>
          <w:color w:val="000000"/>
          <w:sz w:val="12"/>
        </w:rPr>
        <w:t>The Company generally acquires its investments in private transactions exempt from registration under the Securities Act of 1933, as amended (the “Securities Act</w:t>
      </w:r>
      <w:r>
        <w:rPr>
          <w:color w:val="000000"/>
        </w:rPr>
        <w:t>”</w:t>
      </w:r>
      <w:r>
        <w:rPr>
          <w:rFonts w:ascii="Times New Roman" w:hAnsi="Times New Roman"/>
          <w:color w:val="000000"/>
          <w:sz w:val="12"/>
        </w:rPr>
        <w:t>). These investments are generally subject to certain limitations on resale, and may be deemed to be “restricted securities”</w:t>
      </w:r>
      <w:r>
        <w:rPr>
          <w:color w:val="000000"/>
        </w:rPr>
        <w:t xml:space="preserve"> </w:t>
      </w:r>
      <w:r>
        <w:rPr>
          <w:rFonts w:ascii="Times New Roman" w:hAnsi="Times New Roman"/>
          <w:color w:val="000000"/>
          <w:sz w:val="12"/>
        </w:rPr>
        <w:t>under the Securities Act.</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(6)</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Investment is held through our Taxable Subsidiary (See Note 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(7)</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Non-accrual investment.</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(8)</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 xml:space="preserve">1.0% of interest rate payable in cash. The remainder of interest rate payable is either in cash or paid-in-kind at borrower's election.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(9)</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 xml:space="preserve">Not used.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(10)</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Not used.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investment has been exited or sold. The residual value reflects estimated earnout, escrow, or other proceeds expected post-closing.</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(12)</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Company has an unfunded loan or investment commitment to the portfolio company at March 31, 2024. (See Note 2).</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(13)</w:t>
      </w:r>
    </w:p>
    <w:p>
      <w:pPr>
        <w:pStyle w:val="TextBody"/>
        <w:bidi w:val="0"/>
        <w:spacing w:before="0" w:after="0"/>
        <w:jc w:val="both"/>
        <w:rPr/>
      </w:pPr>
      <w:r>
        <w:rPr>
          <w:rFonts w:ascii="Times New Roman" w:hAnsi="Times New Roman"/>
          <w:color w:val="000000"/>
          <w:sz w:val="12"/>
        </w:rPr>
        <w:t>Collateralized loan obligations (“CLO</w:t>
      </w:r>
      <w:r>
        <w:rPr>
          <w:color w:val="000000"/>
        </w:rPr>
        <w:t xml:space="preserve">” </w:t>
      </w:r>
      <w:r>
        <w:rPr>
          <w:rFonts w:ascii="Times New Roman" w:hAnsi="Times New Roman"/>
          <w:color w:val="000000"/>
          <w:sz w:val="12"/>
        </w:rPr>
        <w:t>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(14)</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equity investment is income producing, based on rate disclosed.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(15)</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investment is treated as a non-qualifying asset under Section 55(a) of the 1940 Act. Under the 1940 Act, we may not acquire any non-qualifying asset unless, at the time the acquisition is made, qualifying assets represent at least 70% of our total assets. As of March 31, 2024, qualifying assets represent 99% of the Company’s total assets and non-qualifying assets represent 1% of the Company’s total assets.</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(16)</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All or a portion of this security is pledged as collateral under the KeyBank Credit Facility and held through the Company's wholly-owned subsidiary Capitala Business Lending, LLC.</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(17)</w:t>
      </w:r>
    </w:p>
    <w:p>
      <w:pPr>
        <w:pStyle w:val="TextBody"/>
        <w:bidi w:val="0"/>
        <w:jc w:val="both"/>
        <w:rPr>
          <w:rFonts w:ascii="Times New Roman" w:hAnsi="Times New Roman"/>
          <w:color w:val="000000"/>
          <w:sz w:val="12"/>
        </w:rPr>
      </w:pPr>
      <w:r>
        <w:rPr>
          <w:rFonts w:ascii="Times New Roman" w:hAnsi="Times New Roman"/>
          <w:color w:val="000000"/>
          <w:sz w:val="12"/>
        </w:rPr>
        <w:t>The negative cost is the result of the capitalized discount being greater than the principal amount outstanding on the loan.</w:t>
      </w:r>
    </w:p>
    <w:p>
      <w:pPr>
        <w:pStyle w:val="TextBody"/>
        <w:bidi w:val="0"/>
        <w:spacing w:before="16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26"/>
        <w:gridCol w:w="146"/>
        <w:gridCol w:w="1120"/>
        <w:gridCol w:w="146"/>
        <w:gridCol w:w="661"/>
        <w:gridCol w:w="146"/>
        <w:gridCol w:w="897"/>
        <w:gridCol w:w="146"/>
        <w:gridCol w:w="445"/>
        <w:gridCol w:w="146"/>
        <w:gridCol w:w="602"/>
        <w:gridCol w:w="146"/>
        <w:gridCol w:w="165"/>
        <w:gridCol w:w="561"/>
        <w:gridCol w:w="146"/>
        <w:gridCol w:w="146"/>
        <w:gridCol w:w="166"/>
        <w:gridCol w:w="496"/>
        <w:gridCol w:w="386"/>
        <w:gridCol w:w="386"/>
        <w:gridCol w:w="166"/>
        <w:gridCol w:w="496"/>
        <w:gridCol w:w="151"/>
        <w:gridCol w:w="146"/>
        <w:gridCol w:w="667"/>
      </w:tblGrid>
      <w:tr>
        <w:trPr/>
        <w:tc>
          <w:tcPr>
            <w:tcW w:w="1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1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5233" w:type="dxa"/>
            <w:gridSpan w:val="9"/>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Non-Control, Non-Affiliate Portfolio Companies - 181.5%</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27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- 136.2%</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Accordion Partners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11.60%</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08/29/2029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5,312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5,410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Accordion Partners LLC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+ 6.25%</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08/31/2028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3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Accurate Background,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03/26/2027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4,242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AIDC Intermediateco 2, LLC (Peak Technologies)</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11.80%</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+ 6.40%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07/22/2027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4,879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16.47%</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 5.25% PIK</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01/01/2025</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2,605</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12.50%</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 5.50% PIK</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06/30/2025</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Core Holdings II,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10.97%</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1,099</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 Core Holdings II,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10.97%</w:t>
            </w:r>
          </w:p>
        </w:tc>
        <w:tc>
          <w:tcPr>
            <w:tcW w:w="146" w:type="dxa"/>
            <w:tcBorders/>
            <w:shd w:fill="FFFFFF" w:val="clear"/>
            <w:vAlign w:val="center"/>
          </w:tcPr>
          <w:p>
            <w:pPr>
              <w:pStyle w:val="TableContents"/>
              <w:bidi w:val="0"/>
              <w:spacing w:before="0" w:after="283"/>
              <w:jc w:val="righ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FFFFFF" w:val="clear"/>
            <w:vAlign w:val="center"/>
          </w:tcPr>
          <w:p>
            <w:pPr>
              <w:pStyle w:val="TableContents"/>
              <w:bidi w:val="0"/>
              <w:spacing w:before="0" w:after="283"/>
              <w:jc w:val="righ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righ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07/21/2027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11.10%</w:t>
            </w:r>
          </w:p>
        </w:tc>
        <w:tc>
          <w:tcPr>
            <w:tcW w:w="146" w:type="dxa"/>
            <w:tcBorders/>
            <w:shd w:fill="CFF0FC" w:val="clear"/>
            <w:vAlign w:val="center"/>
          </w:tcPr>
          <w:p>
            <w:pPr>
              <w:pStyle w:val="TableContents"/>
              <w:bidi w:val="0"/>
              <w:spacing w:before="0" w:after="283"/>
              <w:jc w:val="righ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CFF0FC" w:val="clear"/>
            <w:vAlign w:val="center"/>
          </w:tcPr>
          <w:p>
            <w:pPr>
              <w:pStyle w:val="TableContents"/>
              <w:bidi w:val="0"/>
              <w:spacing w:before="0" w:after="283"/>
              <w:jc w:val="righ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2,232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BetaNXT, Inc.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9.60%</w:t>
            </w:r>
          </w:p>
        </w:tc>
        <w:tc>
          <w:tcPr>
            <w:tcW w:w="146" w:type="dxa"/>
            <w:tcBorders/>
            <w:shd w:fill="FFFFFF" w:val="clear"/>
            <w:vAlign w:val="center"/>
          </w:tcPr>
          <w:p>
            <w:pPr>
              <w:pStyle w:val="TableContents"/>
              <w:bidi w:val="0"/>
              <w:spacing w:before="0" w:after="283"/>
              <w:jc w:val="righ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+ 4.25%</w:t>
            </w:r>
          </w:p>
        </w:tc>
        <w:tc>
          <w:tcPr>
            <w:tcW w:w="146" w:type="dxa"/>
            <w:tcBorders/>
            <w:shd w:fill="FFFFFF" w:val="clear"/>
            <w:vAlign w:val="center"/>
          </w:tcPr>
          <w:p>
            <w:pPr>
              <w:pStyle w:val="TableContents"/>
              <w:bidi w:val="0"/>
              <w:spacing w:before="0" w:after="283"/>
              <w:jc w:val="right"/>
              <w:rPr/>
            </w:pPr>
            <w:r>
              <w:rPr/>
              <w:t> </w:t>
            </w:r>
          </w:p>
        </w:tc>
        <w:tc>
          <w:tcPr>
            <w:tcW w:w="44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07/01/2027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Bradshaw International, Inc.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10/21/2026</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3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Critical Nurse Staffing,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12.03%</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10/30/2026</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5,747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5,718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Critical Nurse Staffing, LLC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10/30/2026</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w:t>
            </w:r>
          </w:p>
        </w:tc>
        <w:tc>
          <w:tcPr>
            <w:tcW w:w="3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Datalink,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11/23/2026</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5,779</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12.35%</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12/26/2028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1,428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Dentive, LLC (Revolver)</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12.39%</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Dodge Data &amp; Analytics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10.25%</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+ 4.75%</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02/12/2029</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1,461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Epic Staffing Group</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11.36%</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Florida Food Products,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Staples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10.36%</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10/18/2028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1,888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1,737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Hudson Hospital OpCo,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HUMC Opco,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3,890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3,855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H.W. Lochner,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12.31%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+ 6.75%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07/02/2027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IDC Infusion Services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11.98%</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07/07/2028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IJKG OpCo,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13.43%</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JO ET Holdings Limited</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18.38%</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 7.00% PIK</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12/15/2026</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1,118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11.53%</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7,312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7,125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Keg Logistics LLC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11.53%</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11/23/2027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842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(Priority First Out)</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13.03%</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+ 7.65%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 (Priority Second Out)</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13.03%</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+ 7.65%</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10/02/2029</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Material Handling Systems,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10.89%</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06/08/2029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1,755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Money Transfer Acquisition Inc.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13.71%</w:t>
            </w:r>
          </w:p>
        </w:tc>
        <w:tc>
          <w:tcPr>
            <w:tcW w:w="146" w:type="dxa"/>
            <w:tcBorders/>
            <w:shd w:fill="FFFFFF" w:val="clear"/>
            <w:vAlign w:val="center"/>
          </w:tcPr>
          <w:p>
            <w:pPr>
              <w:pStyle w:val="TableContents"/>
              <w:bidi w:val="0"/>
              <w:spacing w:before="0" w:after="283"/>
              <w:jc w:val="righ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+ 8.25%</w:t>
            </w:r>
          </w:p>
        </w:tc>
        <w:tc>
          <w:tcPr>
            <w:tcW w:w="146" w:type="dxa"/>
            <w:tcBorders/>
            <w:shd w:fill="FFFFFF" w:val="clear"/>
            <w:vAlign w:val="center"/>
          </w:tcPr>
          <w:p>
            <w:pPr>
              <w:pStyle w:val="TableContents"/>
              <w:bidi w:val="0"/>
              <w:spacing w:before="0" w:after="283"/>
              <w:jc w:val="righ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righ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12/14/2027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6,717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13.53%</w:t>
            </w:r>
          </w:p>
        </w:tc>
        <w:tc>
          <w:tcPr>
            <w:tcW w:w="146" w:type="dxa"/>
            <w:tcBorders/>
            <w:shd w:fill="CFF0FC" w:val="clear"/>
            <w:vAlign w:val="center"/>
          </w:tcPr>
          <w:p>
            <w:pPr>
              <w:pStyle w:val="TableContents"/>
              <w:bidi w:val="0"/>
              <w:spacing w:before="0" w:after="283"/>
              <w:jc w:val="righ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righ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righ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10/26/2026</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2,985</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3,037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righ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righ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10/26/2026</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w:t>
            </w:r>
          </w:p>
        </w:tc>
        <w:tc>
          <w:tcPr>
            <w:tcW w:w="3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Neptune BidCo US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 Services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10.51%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04/11/2029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1,353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Orthopaedic (ITC) Buyer,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11.95%</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07/31/2028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2,345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PhyNet Dermatology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11.99%</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10/20/2029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Premier Imaging,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11.61%</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01/02/2025</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RN Enterprises,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12/23/2025</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Sequoia Healthcare Management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 Management</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11/04/2023</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11,935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9,465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9.00%</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09/20/2027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STG Logistics</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11.50%</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03/24/2028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2,408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Symplr Software,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9.98%</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+ 4.50%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0.75%</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1,667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Synamedia Americas Holdings, Inc.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Communication Services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13.10%</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+ 7.75%</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12/05/2028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2,663</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Tactical Air Support,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13.96%</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12/22/2028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12.60%</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02/28/2029</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2,194</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Taoglas Group Holdings Limited (Revolver)</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12.54%</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+ 7.16%</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02/28/2029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367</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TransNetwork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10.85%</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+ 5.50%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11/20/2030</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13.54%</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1,275</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VBC Spine Opco LLC (DxTx Pain and Spine LLC)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13.52%</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06/14/2028</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Wealth Enhancement Group,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11.11%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+ 5.75%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10/02/2027</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6,866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6,889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Wealth Enhancement Group, LLC (Revolver)</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+ 6.00%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10/02/2027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(12)(17)</w:t>
            </w:r>
          </w:p>
        </w:tc>
      </w:tr>
      <w:tr>
        <w:trPr/>
        <w:tc>
          <w:tcPr>
            <w:tcW w:w="27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2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125,937</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121,493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27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- 7.9%</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14.50% PIK</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03/01/2028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4,066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3,663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Online Merchandise Retailer</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13.96%</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 12.96% PIK</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1.50%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08/28/2025</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1,023</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(8)(16)</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Ivanti Software, Inc.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12.91%</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+ 7.25%</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0.50%</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12/01/2028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2,989</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r>
      <w:tr>
        <w:trPr/>
        <w:tc>
          <w:tcPr>
            <w:tcW w:w="27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8,078</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Subordinated Debt - 26.4%</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2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5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Eastport Holdings,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14.14%</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SOFR + 8.50%</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1.00%</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09/29/2027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19,250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19,215</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05/29/2028</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2,229</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Tubular Textile Machinery, Inc.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Textile Equipment Manufacturer</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10/29/2027</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5,094</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27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Subordinated Debt</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2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26,573</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23,548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Collateralized Loan Obligations - 1.8%</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IV Ltd.</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22.05%</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07/17/2029</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7,891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293</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(13)(15)</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JMP Credit Advisors CLO V Ltd.</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27.86%</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07/17/2030</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7,320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1,307</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1,307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(13)(15)</w:t>
            </w:r>
          </w:p>
        </w:tc>
      </w:tr>
      <w:tr>
        <w:trPr/>
        <w:tc>
          <w:tcPr>
            <w:tcW w:w="27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Collateralized Loan Obligations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2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2792"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- 1.5%</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right"/>
              <w:rPr/>
            </w:pPr>
            <w:r>
              <w:rPr/>
              <w:t> </w:t>
            </w:r>
          </w:p>
        </w:tc>
        <w:tc>
          <w:tcPr>
            <w:tcW w:w="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102,261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color w:val="000000"/>
              </w:rPr>
            </w:pPr>
            <w:r>
              <w:rPr>
                <w:color w:val="000000"/>
              </w:rPr>
              <w:t>—</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7"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MicroHoldco, LLC</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General Industrial</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740,237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1526"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Taylor Precision Products, Inc. - Series C</w:t>
            </w:r>
          </w:p>
        </w:tc>
        <w:tc>
          <w:tcPr>
            <w:tcW w:w="146" w:type="dxa"/>
            <w:tcBorders/>
            <w:shd w:fill="CFF0FC" w:val="clear"/>
            <w:vAlign w:val="center"/>
          </w:tcPr>
          <w:p>
            <w:pPr>
              <w:pStyle w:val="TableContents"/>
              <w:bidi w:val="0"/>
              <w:spacing w:before="0" w:after="283"/>
              <w:jc w:val="left"/>
              <w:rPr/>
            </w:pPr>
            <w:r>
              <w:rPr/>
              <w:t> </w:t>
            </w:r>
          </w:p>
        </w:tc>
        <w:tc>
          <w:tcPr>
            <w:tcW w:w="112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Household Product Manufacturer</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561"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pPr>
            <w:r>
              <w:rPr/>
              <w:t> </w:t>
            </w:r>
          </w:p>
        </w:tc>
      </w:tr>
      <w:tr>
        <w:trPr/>
        <w:tc>
          <w:tcPr>
            <w:tcW w:w="152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U.S. BioTek Laboratories, LLC - Class A</w:t>
            </w:r>
          </w:p>
        </w:tc>
        <w:tc>
          <w:tcPr>
            <w:tcW w:w="146" w:type="dxa"/>
            <w:tcBorders/>
            <w:shd w:fill="FFFFFF" w:val="clear"/>
            <w:vAlign w:val="center"/>
          </w:tcPr>
          <w:p>
            <w:pPr>
              <w:pStyle w:val="TableContents"/>
              <w:bidi w:val="0"/>
              <w:spacing w:before="0" w:after="283"/>
              <w:jc w:val="left"/>
              <w:rPr/>
            </w:pPr>
            <w:r>
              <w:rPr/>
              <w:t> </w:t>
            </w:r>
          </w:p>
        </w:tc>
        <w:tc>
          <w:tcPr>
            <w:tcW w:w="112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Testing Laboratories</w:t>
            </w:r>
          </w:p>
        </w:tc>
        <w:tc>
          <w:tcPr>
            <w:tcW w:w="146" w:type="dxa"/>
            <w:tcBorders/>
            <w:shd w:fill="FFFFFF" w:val="clear"/>
            <w:vAlign w:val="center"/>
          </w:tcPr>
          <w:p>
            <w:pPr>
              <w:pStyle w:val="TableContents"/>
              <w:bidi w:val="0"/>
              <w:spacing w:before="0" w:after="283"/>
              <w:jc w:val="left"/>
              <w:rPr/>
            </w:pPr>
            <w:r>
              <w:rPr/>
              <w:t> </w:t>
            </w:r>
          </w:p>
        </w:tc>
        <w:tc>
          <w:tcPr>
            <w:tcW w:w="661"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45"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7" w:type="dxa"/>
            <w:tcBorders/>
            <w:shd w:fill="FFFFFF" w:val="clear"/>
            <w:vAlign w:val="center"/>
          </w:tcPr>
          <w:p>
            <w:pPr>
              <w:pStyle w:val="TableContents"/>
              <w:bidi w:val="0"/>
              <w:spacing w:before="0" w:after="283"/>
              <w:jc w:val="left"/>
              <w:rPr/>
            </w:pPr>
            <w:r>
              <w:rPr/>
              <w:t> </w:t>
            </w:r>
          </w:p>
        </w:tc>
      </w:tr>
      <w:tr>
        <w:trPr/>
        <w:tc>
          <w:tcPr>
            <w:tcW w:w="2792"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CFF0FC" w:val="clear"/>
            <w:vAlign w:val="center"/>
          </w:tcPr>
          <w:p>
            <w:pPr>
              <w:pStyle w:val="TableContents"/>
              <w:bidi w:val="0"/>
              <w:spacing w:before="0" w:after="283"/>
              <w:jc w:val="left"/>
              <w:rPr/>
            </w:pPr>
            <w:r>
              <w:rPr/>
              <w:t> </w:t>
            </w:r>
          </w:p>
        </w:tc>
        <w:tc>
          <w:tcPr>
            <w:tcW w:w="661"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45"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602"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26"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2,047</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7"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CONSOLIDATED SCHEDULE OF INVESTMENTS - CONTINUED</w:t>
      </w:r>
    </w:p>
    <w:p>
      <w:pPr>
        <w:pStyle w:val="TextBody"/>
        <w:bidi w:val="0"/>
        <w:jc w:val="center"/>
        <w:rPr>
          <w:rFonts w:ascii="Times New Roman" w:hAnsi="Times New Roman"/>
          <w:b/>
          <w:color w:val="000000"/>
          <w:sz w:val="16"/>
        </w:rPr>
      </w:pPr>
      <w:r>
        <w:rPr>
          <w:rFonts w:ascii="Times New Roman" w:hAnsi="Times New Roman"/>
          <w:b/>
          <w:color w:val="000000"/>
          <w:sz w:val="16"/>
        </w:rPr>
        <w:t>(in thousands, except for units/shares)</w:t>
      </w:r>
    </w:p>
    <w:p>
      <w:pPr>
        <w:pStyle w:val="TextBody"/>
        <w:bidi w:val="0"/>
        <w:jc w:val="center"/>
        <w:rPr>
          <w:rFonts w:ascii="Times New Roman" w:hAnsi="Times New Roman"/>
          <w:b/>
          <w:color w:val="000000"/>
          <w:sz w:val="16"/>
        </w:rPr>
      </w:pPr>
      <w:r>
        <w:rPr>
          <w:rFonts w:ascii="Times New Roman" w:hAnsi="Times New Roman"/>
          <w:b/>
          <w:color w:val="000000"/>
          <w:sz w:val="16"/>
        </w:rPr>
        <w:t>December 31, 2023</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1"/>
        <w:gridCol w:w="146"/>
        <w:gridCol w:w="1092"/>
        <w:gridCol w:w="146"/>
        <w:gridCol w:w="613"/>
        <w:gridCol w:w="146"/>
        <w:gridCol w:w="718"/>
        <w:gridCol w:w="146"/>
        <w:gridCol w:w="426"/>
        <w:gridCol w:w="146"/>
        <w:gridCol w:w="596"/>
        <w:gridCol w:w="146"/>
        <w:gridCol w:w="151"/>
        <w:gridCol w:w="668"/>
        <w:gridCol w:w="386"/>
        <w:gridCol w:w="386"/>
        <w:gridCol w:w="166"/>
        <w:gridCol w:w="496"/>
        <w:gridCol w:w="386"/>
        <w:gridCol w:w="386"/>
        <w:gridCol w:w="166"/>
        <w:gridCol w:w="496"/>
        <w:gridCol w:w="146"/>
        <w:gridCol w:w="146"/>
        <w:gridCol w:w="664"/>
      </w:tblGrid>
      <w:tr>
        <w:trPr/>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r>
      <w:tr>
        <w:trPr/>
        <w:tc>
          <w:tcPr>
            <w:tcW w:w="1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 (1), (2), (3), (4), (5)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Industry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Interest Rate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Reference Rate </w:t>
              <w:br/>
              <w:t>and Spread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Floor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Maturity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Par/Shares (++)</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6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Cost</w:t>
            </w:r>
          </w:p>
        </w:tc>
        <w:tc>
          <w:tcPr>
            <w:tcW w:w="3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6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Fair Value</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Footnotes</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- 7.7%</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ind w:left="0" w:right="0" w:firstLine="240"/>
              <w:jc w:val="righ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Academy Holdings,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0.05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American Clinical Solutions, LLC - Class A</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6,030,384</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3,198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Aperture Dodge 18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2,045,271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2,045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BLST Operating Company, LLC - Class A</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Online Merchandise Retailer</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217,013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286</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1,136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DxTx Pain and Spine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Healthcare</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59,312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Freedom Electronics, LLC</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Electronic Machine Repair</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181,818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Lucky Bucks,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Consumer Discretionary</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50,066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741</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Morae Global Corporation - Warrants</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Information Technology</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South Street Securities Holdings, Inc. - Warrants</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567</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U.S. BioTek Laboratories, LLC - Class C</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Testing Laboratories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6,737</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3238" w:type="dxa"/>
            <w:gridSpan w:val="5"/>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Non-Control, Non-Affiliate Portfolio Companies</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170,972</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161,880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Investments in Affiliated Portfolio Companies - 31.2%^</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First Lien/Senior Secured Debt - 2.8%</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06/28/2024</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First Lien/Senior Secured Debt</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Second Lien/Senior Secured Debt - 1.0%</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06/28/2024</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Second Lien/Senior Secured Debt</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890</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Joint Ventures - 0.5%</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66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Great Lakes Funding II LLC - Series A</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(12)(15)</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Joint Ventures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440</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Preferred Stock and Units - 7.6%</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 - Series A-1</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3,476</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A</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1,998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Financial Services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6.00% PIK</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86,000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959</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Preferred Stock and Units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center"/>
              <w:rPr/>
            </w:pPr>
            <w:r>
              <w:rPr/>
              <w:t> </w:t>
            </w:r>
          </w:p>
        </w:tc>
        <w:tc>
          <w:tcPr>
            <w:tcW w:w="386" w:type="dxa"/>
            <w:tcBorders/>
            <w:shd w:fill="FFFFFF" w:val="cle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6,633</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Common Stock and Membership Units - 19.3%</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66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A</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1,253,198</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 - Class B</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Automobile Part Manufacturer</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1,085,073</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362</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 - Series B-1</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Advertising &amp; Marketing Services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200,000</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 - Series M-1</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Industrials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(6)(12)</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Medical Device Distributor</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4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124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Nth Degree Investment Group, LLC</w:t>
            </w:r>
          </w:p>
        </w:tc>
        <w:tc>
          <w:tcPr>
            <w:tcW w:w="146" w:type="dxa"/>
            <w:tcBorders/>
            <w:shd w:fill="CFF0FC" w:val="clear"/>
            <w:vAlign w:val="center"/>
          </w:tcPr>
          <w:p>
            <w:pPr>
              <w:pStyle w:val="TableContents"/>
              <w:bidi w:val="0"/>
              <w:spacing w:before="0" w:after="283"/>
              <w:jc w:val="left"/>
              <w:rPr/>
            </w:pPr>
            <w:r>
              <w:rPr/>
              <w:t> </w:t>
            </w:r>
          </w:p>
        </w:tc>
        <w:tc>
          <w:tcPr>
            <w:tcW w:w="109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Business Services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66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6,088,000</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6,088</w:t>
            </w:r>
          </w:p>
        </w:tc>
        <w:tc>
          <w:tcPr>
            <w:tcW w:w="386" w:type="dxa"/>
            <w:tcBorders/>
            <w:shd w:fill="CFF0FC" w:val="clear"/>
            <w:vAlign w:val="center"/>
          </w:tcPr>
          <w:p>
            <w:pPr>
              <w:pStyle w:val="TableContents"/>
              <w:bidi w:val="0"/>
              <w:spacing w:before="0" w:after="283"/>
              <w:jc w:val="lef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49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124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09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Oil &amp; Gas Engineering and Consulting Services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27,396,364</w:t>
            </w:r>
          </w:p>
        </w:tc>
        <w:tc>
          <w:tcPr>
            <w:tcW w:w="3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6,958</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Common Stock and Membership Units</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14,983</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4" w:type="dxa"/>
            <w:tcBorders/>
            <w:shd w:fill="CFF0FC" w:val="clear"/>
            <w:vAlign w:val="center"/>
          </w:tcPr>
          <w:p>
            <w:pPr>
              <w:pStyle w:val="TableContents"/>
              <w:bidi w:val="0"/>
              <w:spacing w:before="0" w:after="283"/>
              <w:jc w:val="left"/>
              <w:rPr/>
            </w:pPr>
            <w:r>
              <w:rPr/>
              <w:t> </w:t>
            </w:r>
          </w:p>
        </w:tc>
      </w:tr>
      <w:tr>
        <w:trPr/>
        <w:tc>
          <w:tcPr>
            <w:tcW w:w="2479" w:type="dxa"/>
            <w:gridSpan w:val="3"/>
            <w:tcBorders/>
            <w:shd w:fill="FFFFFF"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in Affiliated Portfolio Companies^</w:t>
            </w:r>
          </w:p>
        </w:tc>
        <w:tc>
          <w:tcPr>
            <w:tcW w:w="146" w:type="dxa"/>
            <w:tcBorders/>
            <w:shd w:fill="FFFFFF" w:val="clear"/>
            <w:vAlign w:val="center"/>
          </w:tcPr>
          <w:p>
            <w:pPr>
              <w:pStyle w:val="TableContents"/>
              <w:bidi w:val="0"/>
              <w:spacing w:before="0" w:after="283"/>
              <w:jc w:val="left"/>
              <w:rPr/>
            </w:pPr>
            <w:r>
              <w:rPr/>
              <w:t> </w:t>
            </w:r>
          </w:p>
        </w:tc>
        <w:tc>
          <w:tcPr>
            <w:tcW w:w="61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19" w:type="dxa"/>
            <w:gridSpan w:val="2"/>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25,546</w:t>
            </w:r>
          </w:p>
        </w:tc>
        <w:tc>
          <w:tcPr>
            <w:tcW w:w="3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FFFFFF" w:val="clear"/>
            <w:vAlign w:val="center"/>
          </w:tcPr>
          <w:p>
            <w:pPr>
              <w:pStyle w:val="TableContents"/>
              <w:bidi w:val="0"/>
              <w:spacing w:before="0" w:after="283"/>
              <w:ind w:left="240" w:right="0" w:firstLine="240"/>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64" w:type="dxa"/>
            <w:tcBorders/>
            <w:shd w:fill="FFFFFF" w:val="clear"/>
            <w:vAlign w:val="center"/>
          </w:tcPr>
          <w:p>
            <w:pPr>
              <w:pStyle w:val="TableContents"/>
              <w:bidi w:val="0"/>
              <w:spacing w:before="0" w:after="283"/>
              <w:jc w:val="left"/>
              <w:rPr/>
            </w:pPr>
            <w:r>
              <w:rPr/>
              <w:t> </w:t>
            </w:r>
          </w:p>
        </w:tc>
      </w:tr>
      <w:tr>
        <w:trPr/>
        <w:tc>
          <w:tcPr>
            <w:tcW w:w="2479" w:type="dxa"/>
            <w:gridSpan w:val="3"/>
            <w:tcBorders/>
            <w:shd w:fill="CFF0FC" w:val="clear"/>
            <w:vAlign w:val="center"/>
          </w:tcPr>
          <w:p>
            <w:pPr>
              <w:pStyle w:val="TableContents"/>
              <w:bidi w:val="0"/>
              <w:spacing w:before="0" w:after="283"/>
              <w:jc w:val="left"/>
              <w:rPr>
                <w:rFonts w:ascii="Times New Roman" w:hAnsi="Times New Roman"/>
                <w:b/>
                <w:color w:val="000000"/>
                <w:sz w:val="12"/>
              </w:rPr>
            </w:pPr>
            <w:r>
              <w:rPr>
                <w:rFonts w:ascii="Times New Roman" w:hAnsi="Times New Roman"/>
                <w:b/>
                <w:color w:val="000000"/>
                <w:sz w:val="12"/>
              </w:rPr>
              <w:t>Total Investments - 212.7%</w:t>
            </w:r>
          </w:p>
        </w:tc>
        <w:tc>
          <w:tcPr>
            <w:tcW w:w="146" w:type="dxa"/>
            <w:tcBorders/>
            <w:shd w:fill="CFF0FC" w:val="clear"/>
            <w:vAlign w:val="center"/>
          </w:tcPr>
          <w:p>
            <w:pPr>
              <w:pStyle w:val="TableContents"/>
              <w:bidi w:val="0"/>
              <w:spacing w:before="0" w:after="283"/>
              <w:jc w:val="left"/>
              <w:rPr/>
            </w:pPr>
            <w:r>
              <w:rPr/>
              <w:t> </w:t>
            </w:r>
          </w:p>
        </w:tc>
        <w:tc>
          <w:tcPr>
            <w:tcW w:w="61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42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9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819" w:type="dxa"/>
            <w:gridSpan w:val="2"/>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center"/>
              <w:rPr/>
            </w:pPr>
            <w:r>
              <w:rPr/>
              <w:t> </w:t>
            </w:r>
          </w:p>
        </w:tc>
        <w:tc>
          <w:tcPr>
            <w:tcW w:w="386" w:type="dxa"/>
            <w:tcBorders/>
            <w:shd w:fill="CFF0FC" w:val="cle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196,518</w:t>
            </w:r>
          </w:p>
        </w:tc>
        <w:tc>
          <w:tcPr>
            <w:tcW w:w="3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c>
          <w:tcPr>
            <w:tcW w:w="386" w:type="dxa"/>
            <w:tcBorders/>
            <w:shd w:fill="CFF0FC" w:val="clear"/>
            <w:vAlign w:val="center"/>
          </w:tcPr>
          <w:p>
            <w:pPr>
              <w:pStyle w:val="TableContents"/>
              <w:bidi w:val="0"/>
              <w:spacing w:before="0" w:after="283"/>
              <w:ind w:left="240" w:right="0" w:firstLine="240"/>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189,658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664"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16"/>
        </w:rPr>
        <w:t xml:space="preserve">^ </w:t>
      </w:r>
      <w:r>
        <w:rPr>
          <w:rFonts w:ascii="Times New Roman" w:hAnsi="Times New Roman"/>
          <w:color w:val="000000"/>
          <w:sz w:val="12"/>
        </w:rPr>
        <w:t>As defined in the 1940 Act, the investment is deemed to be an "affiliated person" of the Company because the Company owns, either directly or indirectly, 5% or more of the portfolio company's outstanding voting securities.</w:t>
      </w:r>
    </w:p>
    <w:p>
      <w:pPr>
        <w:pStyle w:val="TextBody"/>
        <w:bidi w:val="0"/>
        <w:jc w:val="both"/>
        <w:rPr>
          <w:rFonts w:ascii="Times New Roman" w:hAnsi="Times New Roman"/>
          <w:color w:val="000000"/>
          <w:sz w:val="12"/>
        </w:rPr>
      </w:pPr>
      <w:r>
        <w:rPr>
          <w:rFonts w:ascii="Times New Roman" w:hAnsi="Times New Roman"/>
          <w:color w:val="000000"/>
          <w:sz w:val="12"/>
        </w:rPr>
        <w:t>^^ As defined in the 1940 Act, the investment is deemed to be a “controlled affiliated person” of the Company because the Company owns, either directly or indirectly, 25% or more of the portfolio company's outstanding voting securities or has the power to exercise control over management or policies of such portfolio company.</w:t>
      </w:r>
    </w:p>
    <w:p>
      <w:pPr>
        <w:pStyle w:val="TextBody"/>
        <w:bidi w:val="0"/>
        <w:jc w:val="both"/>
        <w:rPr>
          <w:rFonts w:ascii="Times New Roman" w:hAnsi="Times New Roman"/>
          <w:color w:val="000000"/>
          <w:sz w:val="12"/>
        </w:rPr>
      </w:pPr>
      <w:r>
        <w:rPr>
          <w:rFonts w:ascii="Times New Roman" w:hAnsi="Times New Roman"/>
          <w:color w:val="000000"/>
          <w:sz w:val="12"/>
        </w:rPr>
        <w:t>(+) Represents the actual interest rate for partially or fully funded debt in effect as of the reporting date. Variable rate loans bear interest at a rate that may be determined by the larger of the floor of the reference to SOFR, or alternate base rate at the borrower's option, which reset periodically based on the terms of the credit agreement. SOFR loans are typically indexed to 6 month, 3 month, or 1 month SOFR rates. As of December 31, 2023, rates for the 6 month, 3 month, and 1 month SOFR are 5.16%, 5.33% and 5.35%, respectively. For investments with multiple reference rates or alternate base rates, the interest rate shown is the weighted average interest rate in effect at December 31, 2023.</w:t>
      </w:r>
    </w:p>
    <w:p>
      <w:pPr>
        <w:pStyle w:val="TextBody"/>
        <w:bidi w:val="0"/>
        <w:jc w:val="both"/>
        <w:rPr>
          <w:rFonts w:ascii="Times New Roman" w:hAnsi="Times New Roman"/>
          <w:sz w:val="20"/>
        </w:rPr>
      </w:pPr>
      <w:r>
        <w:rPr>
          <w:rFonts w:ascii="Times New Roman" w:hAnsi="Times New Roman"/>
          <w:color w:val="000000"/>
          <w:sz w:val="12"/>
        </w:rPr>
        <w:t>(++) Par amount is presented for debt investments, while the number of shares or units owned is presented for equity investments.</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All investments valued using unobservable inputs (Level 3), unless otherwise noted.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(2)</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fair value of each of the Company’s investments is determined in good faith using significant unobservable inputs by the Adviser in its role as “valuation designee” in accordance with Rule 2a-5 under the 1940 Act, pursuant to valuation policies and procedures that have been approved by the Company’s board of directors (the “Board”).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(3)</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All debt investments are income producing, unless otherwise noted. Equity and warrant investments are non-income producing, unless otherwise noted.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(4)</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Percentages are based on net assets as of December 31, 2023.</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(5)</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(6)</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Investment is held through our Taxable Subsidiary (See Note 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(7)</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Non-accrual investment.</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(8)</w:t>
      </w:r>
    </w:p>
    <w:p>
      <w:pPr>
        <w:pStyle w:val="TextBody"/>
        <w:bidi w:val="0"/>
        <w:spacing w:before="0" w:after="0"/>
        <w:jc w:val="both"/>
        <w:rPr/>
      </w:pPr>
      <w:r>
        <w:rPr>
          <w:rFonts w:ascii="Times New Roman" w:hAnsi="Times New Roman"/>
          <w:color w:val="000000"/>
          <w:sz w:val="12"/>
        </w:rPr>
        <w:t>1.0% interest rate payable in cash. 9.0% interest rate payable in cash or paid-in-kind at borrower's election.</w:t>
      </w:r>
      <w:r>
        <w:rPr>
          <w:color w:val="000000"/>
        </w:rPr>
        <w:t xml:space="preserve"> </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(9)</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Not used.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(10)</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Not used.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(11)</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investment has been exited or sold. The residual value reflects estimated earnout, escrow, or other proceeds expected post-closing.</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(12)</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Company has an unfunded loan or investment commitment to the portfolio company at December 31, 2023. (See Note 2).</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(13)</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Collateralized loan obligations ("CLO" or "CLO's")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(14)</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equity investment is income producing, based on rate disclosed.</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(15)</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The investment is treated as a non-qualifying asset under Section 55(a) of the 1940 Act. Under the 1940 Act, we may not acquire any non-qualifying asset unless, at the time the acquisition is made, qualifying assets represent at least 70% of our total assets. As of December 31, 2023, qualifying assets represent 99% of the Company’s total assets and non-qualifying assets represent 1% of the Company’s total assets.</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(16)</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All or a portion of this security is pledged as collateral under the KeyBank Credit Facility and held through the Company's wholly-owned subsidiary Capitala Business Lending, LLC.</w:t>
      </w:r>
    </w:p>
    <w:p>
      <w:pPr>
        <w:pStyle w:val="TextBody"/>
        <w:bidi w:val="0"/>
        <w:spacing w:before="0" w:after="0"/>
        <w:jc w:val="both"/>
        <w:rPr>
          <w:rFonts w:ascii="Times New Roman" w:hAnsi="Times New Roman"/>
          <w:color w:val="000000"/>
          <w:sz w:val="12"/>
        </w:rPr>
      </w:pPr>
      <w:r>
        <w:rPr>
          <w:rFonts w:ascii="Times New Roman" w:hAnsi="Times New Roman"/>
          <w:color w:val="000000"/>
          <w:sz w:val="12"/>
        </w:rPr>
        <w:t>(17)</w:t>
      </w:r>
    </w:p>
    <w:p>
      <w:pPr>
        <w:pStyle w:val="TextBody"/>
        <w:bidi w:val="0"/>
        <w:jc w:val="both"/>
        <w:rPr>
          <w:rFonts w:ascii="Times New Roman" w:hAnsi="Times New Roman"/>
          <w:color w:val="000000"/>
          <w:sz w:val="12"/>
        </w:rPr>
      </w:pPr>
      <w:r>
        <w:rPr>
          <w:rFonts w:ascii="Times New Roman" w:hAnsi="Times New Roman"/>
          <w:color w:val="000000"/>
          <w:sz w:val="12"/>
        </w:rPr>
        <w:t>The negative cost is the result of the capitalized discount being greater than the principal amount outstanding on the loan.</w:t>
      </w:r>
    </w:p>
    <w:p>
      <w:pPr>
        <w:pStyle w:val="TextBody"/>
        <w:bidi w:val="0"/>
        <w:spacing w:before="160" w:after="283"/>
        <w:jc w:val="center"/>
        <w:rPr>
          <w:rFonts w:ascii="Times New Roman" w:hAnsi="Times New Roman"/>
          <w:color w:val="000000"/>
          <w:sz w:val="16"/>
        </w:rPr>
      </w:pPr>
      <w:r>
        <w:rPr>
          <w:rFonts w:ascii="Times New Roman" w:hAnsi="Times New Roman"/>
          <w:color w:val="000000"/>
          <w:sz w:val="16"/>
        </w:rPr>
        <w:t>See accompanying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bookmarkStart w:id="9" w:name="notes_to_consolidated_financial"/>
      <w:bookmarkEnd w:id="9"/>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center"/>
        <w:rPr/>
      </w:pPr>
      <w:r>
        <w:rPr/>
        <w:t> </w:t>
      </w:r>
    </w:p>
    <w:p>
      <w:pPr>
        <w:pStyle w:val="TextBody"/>
        <w:bidi w:val="0"/>
        <w:spacing w:before="0" w:after="120"/>
        <w:jc w:val="left"/>
        <w:rPr>
          <w:rFonts w:ascii="Times New Roman" w:hAnsi="Times New Roman"/>
          <w:b/>
          <w:color w:val="000000"/>
          <w:sz w:val="16"/>
        </w:rPr>
      </w:pPr>
      <w:r>
        <w:rPr>
          <w:rFonts w:ascii="Times New Roman" w:hAnsi="Times New Roman"/>
          <w:b/>
          <w:color w:val="000000"/>
          <w:sz w:val="16"/>
        </w:rPr>
        <w:t>Note 1. Organization</w:t>
      </w:r>
    </w:p>
    <w:p>
      <w:pPr>
        <w:pStyle w:val="TextBody"/>
        <w:bidi w:val="0"/>
        <w:spacing w:before="120" w:after="283"/>
        <w:jc w:val="both"/>
        <w:rPr>
          <w:rFonts w:ascii="Times New Roman" w:hAnsi="Times New Roman"/>
          <w:sz w:val="20"/>
        </w:rPr>
      </w:pPr>
      <w:r>
        <w:rPr>
          <w:rFonts w:ascii="Times New Roman" w:hAnsi="Times New Roman"/>
          <w:color w:val="000000"/>
          <w:sz w:val="16"/>
        </w:rPr>
        <w:t>Logan Ridge Finance Corporation (“Logan Ridge”, the “Company”, “we”, “us”, and “our”) is an externally managed non-diversified closed-end management investment company incorporated in Maryland on February 21, 2013. The Company has elected to be regulated as a business development company (“BDC”) under the Investment Company Act of 1940, as amended (the “1940 Act”). The Company commenced operations on May 24, 2013 and completed its initial public offering (“IPO”) on September 30, 2013. The Company is managed by Mount Logan Management LLC (the “Investment Adviser”), an investment adviser that is registered as an investment adviser under the Investment Advisers Act of 1940, as amended, and BC Partners Management LLC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pStyle w:val="TextBody"/>
        <w:bidi w:val="0"/>
        <w:spacing w:before="120" w:after="283"/>
        <w:jc w:val="both"/>
        <w:rPr>
          <w:rFonts w:ascii="Times New Roman" w:hAnsi="Times New Roman"/>
          <w:sz w:val="20"/>
        </w:rPr>
      </w:pPr>
      <w:r>
        <w:rPr>
          <w:rFonts w:ascii="Times New Roman" w:hAnsi="Times New Roman"/>
          <w:color w:val="000000"/>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w:t>
      </w:r>
      <w:r>
        <w:rPr>
          <w:rFonts w:ascii="Times New Roman" w:hAnsi="Times New Roman"/>
          <w:color w:val="000000"/>
          <w:sz w:val="20"/>
        </w:rPr>
        <w:t xml:space="preserve"> </w:t>
      </w:r>
      <w:r>
        <w:rPr>
          <w:rFonts w:ascii="Times New Roman" w:hAnsi="Times New Roman"/>
          <w:color w:val="000000"/>
          <w:sz w:val="16"/>
        </w:rPr>
        <w:t>shares of the Company’s common stock (the “Formation Transactions”). Fund II, Fund III, and Florida Sidecar became the Company’s wholly owned subsidiaries. Fund II and Fund III retained their small business investment company (“SBIC”) licenses, continued to hold their existing investments at the time of the IPO and have continued to make new investments. The IPO consisted of the sale of 4,000,000</w:t>
      </w:r>
      <w:r>
        <w:rPr>
          <w:rFonts w:ascii="Times New Roman" w:hAnsi="Times New Roman"/>
          <w:color w:val="000000"/>
          <w:sz w:val="20"/>
        </w:rPr>
        <w:t xml:space="preserve"> </w:t>
      </w:r>
      <w:r>
        <w:rPr>
          <w:rFonts w:ascii="Times New Roman" w:hAnsi="Times New Roman"/>
          <w:color w:val="000000"/>
          <w:sz w:val="16"/>
        </w:rPr>
        <w:t>shares of the Company’s common stock at a price of $20.00</w:t>
      </w:r>
      <w:r>
        <w:rPr>
          <w:rFonts w:ascii="Times New Roman" w:hAnsi="Times New Roman"/>
          <w:color w:val="000000"/>
          <w:sz w:val="20"/>
        </w:rPr>
        <w:t xml:space="preserve"> </w:t>
      </w:r>
      <w:r>
        <w:rPr>
          <w:rFonts w:ascii="Times New Roman" w:hAnsi="Times New Roman"/>
          <w:color w:val="000000"/>
          <w:sz w:val="16"/>
        </w:rPr>
        <w:t>per share, resulting in net proceeds to the Company of $74.25</w:t>
      </w:r>
      <w:r>
        <w:rPr>
          <w:rFonts w:ascii="Times New Roman" w:hAnsi="Times New Roman"/>
          <w:color w:val="000000"/>
          <w:sz w:val="20"/>
        </w:rPr>
        <w:t xml:space="preserve"> </w:t>
      </w:r>
      <w:r>
        <w:rPr>
          <w:rFonts w:ascii="Times New Roman" w:hAnsi="Times New Roman"/>
          <w:color w:val="000000"/>
          <w:sz w:val="16"/>
        </w:rPr>
        <w:t>million, after deducting underwriting fees and commissions totaling $4.0</w:t>
      </w:r>
      <w:r>
        <w:rPr>
          <w:rFonts w:ascii="Times New Roman" w:hAnsi="Times New Roman"/>
          <w:color w:val="000000"/>
          <w:sz w:val="20"/>
        </w:rPr>
        <w:t xml:space="preserve"> </w:t>
      </w:r>
      <w:r>
        <w:rPr>
          <w:rFonts w:ascii="Times New Roman" w:hAnsi="Times New Roman"/>
          <w:color w:val="000000"/>
          <w:sz w:val="16"/>
        </w:rPr>
        <w:t>million and offering expenses totaling $1.75</w:t>
      </w:r>
      <w:r>
        <w:rPr>
          <w:rFonts w:ascii="Times New Roman" w:hAnsi="Times New Roman"/>
          <w:color w:val="000000"/>
          <w:sz w:val="20"/>
        </w:rPr>
        <w:t xml:space="preserve"> </w:t>
      </w:r>
      <w:r>
        <w:rPr>
          <w:rFonts w:ascii="Times New Roman" w:hAnsi="Times New Roman"/>
          <w:color w:val="000000"/>
          <w:sz w:val="16"/>
        </w:rPr>
        <w:t>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On June 10, 2021, Fund III repaid its SBA-guaranteed debentures and relinquished its SBIC license. Accordingly, as of March 31, 2024 and December 31, 2023, there were no</w:t>
      </w:r>
      <w:r>
        <w:rPr>
          <w:rFonts w:ascii="Times New Roman" w:hAnsi="Times New Roman"/>
          <w:color w:val="000000"/>
          <w:sz w:val="20"/>
        </w:rPr>
        <w:t xml:space="preserve"> </w:t>
      </w:r>
      <w:r>
        <w:rPr>
          <w:rFonts w:ascii="Times New Roman" w:hAnsi="Times New Roman"/>
          <w:color w:val="000000"/>
          <w:sz w:val="16"/>
        </w:rPr>
        <w:t>SBA-guaranteed debentures outstanding.</w:t>
      </w:r>
    </w:p>
    <w:p>
      <w:pPr>
        <w:pStyle w:val="TextBody"/>
        <w:bidi w:val="0"/>
        <w:spacing w:before="120" w:after="283"/>
        <w:jc w:val="both"/>
        <w:rPr>
          <w:rFonts w:ascii="Times New Roman" w:hAnsi="Times New Roman"/>
          <w:sz w:val="20"/>
        </w:rPr>
      </w:pPr>
      <w:r>
        <w:rPr>
          <w:rFonts w:ascii="Times New Roman" w:hAnsi="Times New Roman"/>
          <w:color w:val="000000"/>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Capitala Business Lending, LLC (“CBL”), a wholly-owned subsidiary of the Company, was established on October 30, 2020, for the sole purpose of holding certain investments pledged as collateral under the Company's line of credit with KeyBank National Association (the “KeyBank Credit Facility”). See Note 6 for more details about the KeyBank Credit Facility. The financial statements of CBL are consolidated with those of Logan Ridge Finance Corporation.</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Definitive Agreement</w:t>
      </w:r>
    </w:p>
    <w:p>
      <w:pPr>
        <w:pStyle w:val="TextBody"/>
        <w:bidi w:val="0"/>
        <w:jc w:val="both"/>
        <w:rPr>
          <w:rFonts w:ascii="Times New Roman" w:hAnsi="Times New Roman"/>
          <w:color w:val="000000"/>
          <w:sz w:val="16"/>
        </w:rPr>
      </w:pPr>
      <w:r>
        <w:rPr>
          <w:rFonts w:ascii="Times New Roman" w:hAnsi="Times New Roman"/>
          <w:color w:val="000000"/>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 Unless earlier terminated in accordance with its terms, the Investment Advisory Agreement will remain in effect from year to year if approved annually by the Board or by a majority of our outstanding voting securities, including, in either case, by a majority of our directors who are not “interest persons” as such term is defined in Section 2(a)(19) of the 1940 Act (“Independent Directors”). The Board most recently approved the renewal of the Investment Advisory Agreement at a meeting on May 7, 2024.</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 The Fee Waiver expired at the end of the two-year period.</w:t>
      </w:r>
    </w:p>
    <w:p>
      <w:pPr>
        <w:pStyle w:val="TextBody"/>
        <w:bidi w:val="0"/>
        <w:spacing w:before="120" w:after="283"/>
        <w:jc w:val="both"/>
        <w:rPr>
          <w:rFonts w:ascii="Times New Roman" w:hAnsi="Times New Roman"/>
          <w:sz w:val="20"/>
        </w:rPr>
      </w:pPr>
      <w:r>
        <w:rPr>
          <w:rFonts w:ascii="Times New Roman" w:hAnsi="Times New Roman"/>
          <w:color w:val="000000"/>
          <w:sz w:val="16"/>
        </w:rPr>
        <w:t>On the date of the Closing, the Company changed its name from Capitala Finance Corp. to Logan Ridge Finance Corporation and on July 2, 2021, the Company’s common stock began trading on the NASDAQ Global Select Market under the symbol “LRFC.”</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2. Summary of Significant Accounting Policies</w:t>
      </w:r>
    </w:p>
    <w:p>
      <w:pPr>
        <w:pStyle w:val="TextBody"/>
        <w:bidi w:val="0"/>
        <w:spacing w:before="0" w:after="120"/>
        <w:jc w:val="left"/>
        <w:rPr>
          <w:rFonts w:ascii="Times New Roman" w:hAnsi="Times New Roman"/>
          <w:b/>
          <w:color w:val="000000"/>
          <w:sz w:val="16"/>
        </w:rPr>
      </w:pPr>
      <w:r>
        <w:rPr>
          <w:rFonts w:ascii="Times New Roman" w:hAnsi="Times New Roman"/>
          <w:b/>
          <w:color w:val="000000"/>
          <w:sz w:val="16"/>
        </w:rPr>
        <w:t>Basis of Presentation</w:t>
      </w:r>
    </w:p>
    <w:p>
      <w:pPr>
        <w:pStyle w:val="TextBody"/>
        <w:bidi w:val="0"/>
        <w:jc w:val="both"/>
        <w:rPr>
          <w:rFonts w:ascii="Times New Roman" w:hAnsi="Times New Roman"/>
          <w:color w:val="000000"/>
          <w:sz w:val="16"/>
        </w:rPr>
      </w:pPr>
      <w:r>
        <w:rPr>
          <w:rFonts w:ascii="Times New Roman" w:hAnsi="Times New Roman"/>
          <w:color w:val="000000"/>
          <w:sz w:val="16"/>
        </w:rPr>
        <w:t>The Company is considered an investment company as defined in Accounting Standards Codification (“ASC”) Topic 946 — Financial Services — Investment Companies (“ASC 946”). 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pStyle w:val="TextBody"/>
        <w:bidi w:val="0"/>
        <w:spacing w:before="120" w:after="283"/>
        <w:jc w:val="both"/>
        <w:rPr>
          <w:rFonts w:ascii="Times New Roman" w:hAnsi="Times New Roman"/>
          <w:sz w:val="20"/>
        </w:rPr>
      </w:pPr>
      <w:r>
        <w:rPr>
          <w:rFonts w:ascii="Times New Roman" w:hAnsi="Times New Roman"/>
          <w:color w:val="000000"/>
          <w:sz w:val="16"/>
        </w:rPr>
        <w:t>The Company’s financial statements as of March 31, 2024 and December 31, 2023 and for the periods ended March 31, 2024 and 2023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the opinion of management, the consolidated financial statements reflect all adjustments that are necessary for the fair presentation of financial results as of and for the periods presented.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2023, filed with the U.S. Securities and Exchange Commission (“SEC”) on March 26, 2024.</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Use of Estimates in the Preparation of Financial Statements</w:t>
      </w:r>
    </w:p>
    <w:p>
      <w:pPr>
        <w:pStyle w:val="TextBody"/>
        <w:bidi w:val="0"/>
        <w:jc w:val="both"/>
        <w:rPr>
          <w:rFonts w:ascii="Times New Roman" w:hAnsi="Times New Roman"/>
          <w:sz w:val="20"/>
        </w:rPr>
      </w:pPr>
      <w:r>
        <w:rPr>
          <w:rFonts w:ascii="Times New Roman" w:hAnsi="Times New Roman"/>
          <w:color w:val="000000"/>
          <w:sz w:val="16"/>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Consolidation</w:t>
      </w:r>
    </w:p>
    <w:p>
      <w:pPr>
        <w:pStyle w:val="TextBody"/>
        <w:bidi w:val="0"/>
        <w:jc w:val="both"/>
        <w:rPr>
          <w:rFonts w:ascii="Times New Roman" w:hAnsi="Times New Roman"/>
          <w:color w:val="000000"/>
          <w:sz w:val="16"/>
        </w:rPr>
      </w:pPr>
      <w:r>
        <w:rPr>
          <w:rFonts w:ascii="Times New Roman" w:hAnsi="Times New Roman"/>
          <w:color w:val="000000"/>
          <w:sz w:val="16"/>
        </w:rPr>
        <w:t xml:space="preserve">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Cash and Cash Equivalents</w:t>
      </w:r>
    </w:p>
    <w:p>
      <w:pPr>
        <w:pStyle w:val="TextBody"/>
        <w:bidi w:val="0"/>
        <w:jc w:val="both"/>
        <w:rPr>
          <w:rFonts w:ascii="Times New Roman" w:hAnsi="Times New Roman"/>
          <w:sz w:val="20"/>
        </w:rPr>
      </w:pPr>
      <w:r>
        <w:rPr>
          <w:rFonts w:ascii="Times New Roman" w:hAnsi="Times New Roman"/>
          <w:color w:val="000000"/>
          <w:sz w:val="16"/>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Investment Classification</w:t>
      </w:r>
    </w:p>
    <w:p>
      <w:pPr>
        <w:pStyle w:val="TextBody"/>
        <w:bidi w:val="0"/>
        <w:jc w:val="both"/>
        <w:rPr>
          <w:rFonts w:ascii="Times New Roman" w:hAnsi="Times New Roman"/>
          <w:sz w:val="20"/>
        </w:rPr>
      </w:pPr>
      <w:r>
        <w:rPr>
          <w:rFonts w:ascii="Times New Roman" w:hAnsi="Times New Roman"/>
          <w:color w:val="000000"/>
          <w:sz w:val="16"/>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5% or more of the voting securities of such company.</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Valuation of Investments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bidi w:val="0"/>
        <w:jc w:val="both"/>
        <w:rPr>
          <w:rFonts w:ascii="Times New Roman" w:hAnsi="Times New Roman"/>
          <w:color w:val="000000"/>
          <w:sz w:val="16"/>
        </w:rPr>
      </w:pPr>
      <w:r>
        <w:rPr>
          <w:rFonts w:ascii="Times New Roman" w:hAnsi="Times New Roman"/>
          <w:color w:val="000000"/>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Investment Adviser, (the “Valuation Committee”) subjects these quotes to various criteria including, but not limited to, the number and quality of quotes, the deviation among the quotes and information derived from 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Board has designated the Investment Adviser as its “valuation designee” pursuant to Rule 2a-5 under the 1940 Act, and in that role the Investment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Investment Adviser, based on, among other things, input of independent third-party valuation firm(s).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Investment Adviser undertakes a multi-step valuation process, which includes, among other procedures,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Preliminary valuations are reviewed and discussed with management of the Investment Adviser and investment professionals;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Investment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bidi w:val="0"/>
        <w:spacing w:before="120" w:after="120"/>
        <w:jc w:val="both"/>
        <w:rPr>
          <w:rFonts w:ascii="Times New Roman" w:hAnsi="Times New Roman"/>
          <w:sz w:val="20"/>
        </w:rPr>
      </w:pPr>
      <w:r>
        <w:rPr>
          <w:rFonts w:ascii="Times New Roman" w:hAnsi="Times New Roman"/>
          <w:color w:val="000000"/>
          <w:sz w:val="16"/>
        </w:rPr>
        <w:t>As part of the valuation process, the Investment Adviser may consider other information and may use valuation methods including but not limited to (i) market quotes for similar investments, (ii) recent trading activity, (iii) discounting forecasted cash flows of the investment, (iv) models that consider the implied yields from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comparable debt, (v) third-party appraisal, (vi) sale negotiations and purchase offers received from independent parties and (vii) estimated value of underlying assets to be received in liquidation or restructuring.</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Company classifies the inputs used to measure these fair values into the following hierarchy as defined by current accounting guidance:</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Level 1: Unadjusted quoted prices in active markets for identical assets or liabilities that are accessible to the Company.</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Level 2: Quoted prices for similar assets or liabilities in active markets, or quoted prices for identical or similar assets or liabilities in markets that are not active, or other observable inputs other than quoted prices.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Level 3: Significant inputs that are unobservable for an asset or liability.</w:t>
      </w:r>
    </w:p>
    <w:p>
      <w:pPr>
        <w:pStyle w:val="TextBody"/>
        <w:bidi w:val="0"/>
        <w:jc w:val="both"/>
        <w:rPr>
          <w:rFonts w:ascii="Times New Roman" w:hAnsi="Times New Roman"/>
          <w:color w:val="000000"/>
          <w:sz w:val="16"/>
        </w:rPr>
      </w:pPr>
      <w:r>
        <w:rPr>
          <w:rFonts w:ascii="Times New Roman" w:hAnsi="Times New Roman"/>
          <w:color w:val="000000"/>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 xml:space="preserve">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 </w:t>
      </w:r>
    </w:p>
    <w:p>
      <w:pPr>
        <w:pStyle w:val="TextBody"/>
        <w:bidi w:val="0"/>
        <w:spacing w:before="120" w:after="120"/>
        <w:jc w:val="both"/>
        <w:rPr>
          <w:rFonts w:ascii="Times New Roman" w:hAnsi="Times New Roman"/>
          <w:i/>
          <w:color w:val="000000"/>
          <w:sz w:val="16"/>
        </w:rPr>
      </w:pPr>
      <w:r>
        <w:rPr>
          <w:rFonts w:ascii="Times New Roman" w:hAnsi="Times New Roman"/>
          <w:i/>
          <w:color w:val="000000"/>
          <w:sz w:val="16"/>
        </w:rPr>
        <w:t>Enterprise Value Waterfall Approach</w:t>
      </w:r>
    </w:p>
    <w:p>
      <w:pPr>
        <w:pStyle w:val="TextBody"/>
        <w:bidi w:val="0"/>
        <w:jc w:val="both"/>
        <w:rPr>
          <w:rFonts w:ascii="Times New Roman" w:hAnsi="Times New Roman"/>
          <w:sz w:val="20"/>
        </w:rPr>
      </w:pPr>
      <w:r>
        <w:rPr>
          <w:rFonts w:ascii="Times New Roman" w:hAnsi="Times New Roman"/>
          <w:color w:val="000000"/>
          <w:sz w:val="16"/>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i/>
          <w:color w:val="000000"/>
          <w:sz w:val="16"/>
        </w:rPr>
        <w:t>Income Approach</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r>
        <w:rPr>
          <w:rFonts w:ascii="Times New Roman" w:hAnsi="Times New Roman"/>
          <w:color w:val="000000"/>
          <w:sz w:val="20"/>
        </w:rPr>
        <w:t xml:space="preserve"> </w:t>
      </w:r>
    </w:p>
    <w:p>
      <w:pPr>
        <w:pStyle w:val="TextBody"/>
        <w:bidi w:val="0"/>
        <w:spacing w:before="120" w:after="120"/>
        <w:jc w:val="left"/>
        <w:rPr>
          <w:rFonts w:ascii="Times New Roman" w:hAnsi="Times New Roman"/>
          <w:i/>
          <w:color w:val="000000"/>
          <w:sz w:val="16"/>
        </w:rPr>
      </w:pPr>
      <w:r>
        <w:rPr>
          <w:rFonts w:ascii="Times New Roman" w:hAnsi="Times New Roman"/>
          <w:i/>
          <w:color w:val="000000"/>
          <w:sz w:val="16"/>
        </w:rPr>
        <w:t>Asset Approach</w:t>
      </w:r>
    </w:p>
    <w:p>
      <w:pPr>
        <w:pStyle w:val="TextBody"/>
        <w:bidi w:val="0"/>
        <w:jc w:val="both"/>
        <w:rPr>
          <w:rFonts w:ascii="Times New Roman" w:hAnsi="Times New Roman"/>
          <w:color w:val="000000"/>
          <w:sz w:val="16"/>
        </w:rPr>
      </w:pPr>
      <w:r>
        <w:rPr>
          <w:rFonts w:ascii="Times New Roman" w:hAnsi="Times New Roman"/>
          <w:color w:val="000000"/>
          <w:sz w:val="16"/>
        </w:rPr>
        <w:t>The asset approach values an investment based on the value of the underlying collateral securing the investment.</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Revenue Recognition</w:t>
      </w:r>
    </w:p>
    <w:p>
      <w:pPr>
        <w:pStyle w:val="TextBody"/>
        <w:bidi w:val="0"/>
        <w:jc w:val="both"/>
        <w:rPr>
          <w:rFonts w:ascii="Times New Roman" w:hAnsi="Times New Roman"/>
          <w:color w:val="000000"/>
          <w:sz w:val="16"/>
        </w:rPr>
      </w:pPr>
      <w:r>
        <w:rPr>
          <w:rFonts w:ascii="Times New Roman" w:hAnsi="Times New Roman"/>
          <w:color w:val="000000"/>
          <w:sz w:val="16"/>
        </w:rPr>
        <w:t>The Company’s revenue recognition policies are as follows:</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Interest income and payment-in-kind (“PIK”) interest income: </w:t>
      </w:r>
      <w:r>
        <w:rPr>
          <w:rFonts w:ascii="Times New Roman" w:hAnsi="Times New Roman"/>
          <w:color w:val="000000"/>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Non-accrual investments: </w:t>
      </w:r>
      <w:r>
        <w:rPr>
          <w:rFonts w:ascii="Times New Roman" w:hAnsi="Times New Roman"/>
          <w:color w:val="000000"/>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6"/>
        </w:rPr>
        <w:t>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 As of March 31, 2024, we had debt investments in three</w:t>
      </w:r>
      <w:r>
        <w:rPr>
          <w:rFonts w:ascii="Times New Roman" w:hAnsi="Times New Roman"/>
          <w:color w:val="000000"/>
          <w:sz w:val="20"/>
        </w:rPr>
        <w:t xml:space="preserve"> </w:t>
      </w:r>
      <w:r>
        <w:rPr>
          <w:rFonts w:ascii="Times New Roman" w:hAnsi="Times New Roman"/>
          <w:color w:val="000000"/>
          <w:sz w:val="16"/>
        </w:rPr>
        <w:t>portfolio companies on non-accrual status with an aggregate amortized cost</w:t>
      </w:r>
      <w:r>
        <w:rPr>
          <w:rFonts w:ascii="Times New Roman" w:hAnsi="Times New Roman"/>
          <w:color w:val="000000"/>
          <w:sz w:val="20"/>
        </w:rPr>
        <w:t xml:space="preserve"> </w:t>
      </w:r>
      <w:r>
        <w:rPr>
          <w:rFonts w:ascii="Times New Roman" w:hAnsi="Times New Roman"/>
          <w:color w:val="000000"/>
          <w:sz w:val="16"/>
        </w:rPr>
        <w:t>of $17.2</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an aggregate fair value</w:t>
      </w:r>
      <w:r>
        <w:rPr>
          <w:rFonts w:ascii="Times New Roman" w:hAnsi="Times New Roman"/>
          <w:color w:val="000000"/>
          <w:sz w:val="20"/>
        </w:rPr>
        <w:t xml:space="preserve"> </w:t>
      </w:r>
      <w:r>
        <w:rPr>
          <w:rFonts w:ascii="Times New Roman" w:hAnsi="Times New Roman"/>
          <w:color w:val="000000"/>
          <w:sz w:val="16"/>
        </w:rPr>
        <w:t>of $10.6</w:t>
      </w:r>
      <w:r>
        <w:rPr>
          <w:rFonts w:ascii="Times New Roman" w:hAnsi="Times New Roman"/>
          <w:color w:val="000000"/>
          <w:sz w:val="20"/>
        </w:rPr>
        <w:t xml:space="preserve"> </w:t>
      </w:r>
      <w:r>
        <w:rPr>
          <w:rFonts w:ascii="Times New Roman" w:hAnsi="Times New Roman"/>
          <w:color w:val="000000"/>
          <w:sz w:val="16"/>
        </w:rPr>
        <w:t>million, which represented 8.3%</w:t>
      </w:r>
      <w:r>
        <w:rPr>
          <w:rFonts w:ascii="Times New Roman" w:hAnsi="Times New Roman"/>
          <w:color w:val="000000"/>
          <w:sz w:val="20"/>
        </w:rPr>
        <w:t xml:space="preserve"> </w:t>
      </w:r>
      <w:r>
        <w:rPr>
          <w:rFonts w:ascii="Times New Roman" w:hAnsi="Times New Roman"/>
          <w:color w:val="000000"/>
          <w:sz w:val="16"/>
        </w:rPr>
        <w:t>and 5.3%</w:t>
      </w:r>
      <w:r>
        <w:rPr>
          <w:rFonts w:ascii="Times New Roman" w:hAnsi="Times New Roman"/>
          <w:color w:val="000000"/>
          <w:sz w:val="20"/>
        </w:rPr>
        <w:t xml:space="preserve"> </w:t>
      </w:r>
      <w:r>
        <w:rPr>
          <w:rFonts w:ascii="Times New Roman" w:hAnsi="Times New Roman"/>
          <w:color w:val="000000"/>
          <w:sz w:val="16"/>
        </w:rPr>
        <w:t>of the investment portfolio, respectively. As of December 31, 2023, we had debt investments in three</w:t>
      </w:r>
      <w:r>
        <w:rPr>
          <w:rFonts w:ascii="Times New Roman" w:hAnsi="Times New Roman"/>
          <w:color w:val="000000"/>
          <w:sz w:val="20"/>
        </w:rPr>
        <w:t xml:space="preserve"> </w:t>
      </w:r>
      <w:r>
        <w:rPr>
          <w:rFonts w:ascii="Times New Roman" w:hAnsi="Times New Roman"/>
          <w:color w:val="000000"/>
          <w:sz w:val="16"/>
        </w:rPr>
        <w:t>portfolio companies on non-accrual status with aggregate amortized cost of $17.2</w:t>
      </w:r>
      <w:r>
        <w:rPr>
          <w:rFonts w:ascii="Times New Roman" w:hAnsi="Times New Roman"/>
          <w:color w:val="000000"/>
          <w:sz w:val="20"/>
        </w:rPr>
        <w:t xml:space="preserve"> </w:t>
      </w:r>
      <w:r>
        <w:rPr>
          <w:rFonts w:ascii="Times New Roman" w:hAnsi="Times New Roman"/>
          <w:color w:val="000000"/>
          <w:sz w:val="16"/>
        </w:rPr>
        <w:t>million and an aggregate fair value of $12.8</w:t>
      </w:r>
      <w:r>
        <w:rPr>
          <w:rFonts w:ascii="Times New Roman" w:hAnsi="Times New Roman"/>
          <w:color w:val="000000"/>
          <w:sz w:val="20"/>
        </w:rPr>
        <w:t xml:space="preserve"> </w:t>
      </w:r>
      <w:r>
        <w:rPr>
          <w:rFonts w:ascii="Times New Roman" w:hAnsi="Times New Roman"/>
          <w:color w:val="000000"/>
          <w:sz w:val="16"/>
        </w:rPr>
        <w:t>million, which represented 8.7% and 6.8% of the investment portfolio, respectively.</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Gains and losses on investment sales: </w:t>
      </w:r>
      <w:r>
        <w:rPr>
          <w:rFonts w:ascii="Times New Roman" w:hAnsi="Times New Roman"/>
          <w:color w:val="000000"/>
          <w:sz w:val="16"/>
        </w:rPr>
        <w:t>Realized gains and losses on investments are recognized using the specific identification method.</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Dividend income and payment-in-kind dividends: </w:t>
      </w:r>
      <w:r>
        <w:rPr>
          <w:rFonts w:ascii="Times New Roman" w:hAnsi="Times New Roman"/>
          <w:color w:val="000000"/>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Original issue discount: </w:t>
      </w:r>
      <w:r>
        <w:rPr>
          <w:rFonts w:ascii="Times New Roman" w:hAnsi="Times New Roman"/>
          <w:color w:val="000000"/>
          <w:sz w:val="16"/>
        </w:rPr>
        <w:t>Discounts received to par on loans purchased are capitalized and accreted into income over the life of the loan. Any remaining discount is accreted into income upon prepayment of the loan.</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Other income: </w:t>
      </w:r>
      <w:r>
        <w:rPr>
          <w:rFonts w:ascii="Times New Roman" w:hAnsi="Times New Roman"/>
          <w:color w:val="000000"/>
          <w:sz w:val="16"/>
        </w:rPr>
        <w:t>Origination fees (to the extent services are performed to earn such income), amendment fees, consent fees, and other fees associated with investments in portfolio companies are recognized as income when they are earned. Prepayment penalties received by the Company for debt instruments repaid prior to maturity date are recorded as income upon receipt.</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General and Administrative Expenses</w:t>
      </w:r>
    </w:p>
    <w:p>
      <w:pPr>
        <w:pStyle w:val="TextBody"/>
        <w:bidi w:val="0"/>
        <w:jc w:val="both"/>
        <w:rPr>
          <w:rFonts w:ascii="Times New Roman" w:hAnsi="Times New Roman"/>
          <w:color w:val="000000"/>
          <w:sz w:val="16"/>
        </w:rPr>
      </w:pPr>
      <w:r>
        <w:rPr>
          <w:rFonts w:ascii="Times New Roman" w:hAnsi="Times New Roman"/>
          <w:color w:val="000000"/>
          <w:sz w:val="16"/>
        </w:rPr>
        <w:t>General and administrative expenses are accrued as incurred. The Company’s administrative expenses include personnel and overhead expenses allocable to the Company paid by and reimbursed to the Administrator under an administration agreement between the Company and the Administrator (the “Administration Agreement”). Other operating expenses such as legal and audit fees and director and officer insurance are generally paid directly by the Company.</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Deferred Financing Fees</w:t>
      </w:r>
    </w:p>
    <w:p>
      <w:pPr>
        <w:pStyle w:val="TextBody"/>
        <w:bidi w:val="0"/>
        <w:jc w:val="both"/>
        <w:rPr>
          <w:rFonts w:ascii="Times New Roman" w:hAnsi="Times New Roman"/>
          <w:color w:val="000000"/>
          <w:sz w:val="16"/>
        </w:rPr>
      </w:pPr>
      <w:r>
        <w:rPr>
          <w:rFonts w:ascii="Times New Roman" w:hAnsi="Times New Roman"/>
          <w:color w:val="000000"/>
          <w:sz w:val="16"/>
        </w:rPr>
        <w:t>Costs incurred to issue the Company’s debt obligations are capitalized and are amortized over the term of the debt agreements under the effective interest method. Deferred financing fees are presented as a direct deduction from the carrying amount of the corresponding debt liability in the consolidated statements of assets and liabilities.</w:t>
      </w:r>
    </w:p>
    <w:p>
      <w:pPr>
        <w:pStyle w:val="TextBody"/>
        <w:bidi w:val="0"/>
        <w:spacing w:before="120" w:after="120"/>
        <w:jc w:val="both"/>
        <w:rPr>
          <w:rFonts w:ascii="Times New Roman" w:hAnsi="Times New Roman"/>
          <w:sz w:val="20"/>
        </w:rPr>
      </w:pPr>
      <w:r>
        <w:rPr>
          <w:rFonts w:ascii="Times New Roman" w:hAnsi="Times New Roman"/>
          <w:b/>
          <w:color w:val="000000"/>
          <w:sz w:val="16"/>
        </w:rPr>
        <w:t>Earnings Per Share</w:t>
      </w:r>
      <w:r>
        <w:rPr>
          <w:rFonts w:ascii="Times New Roman" w:hAnsi="Times New Roman"/>
          <w:color w:val="000000"/>
          <w:sz w:val="20"/>
        </w:rPr>
        <w:t xml:space="preserve"> </w:t>
      </w:r>
    </w:p>
    <w:p>
      <w:pPr>
        <w:pStyle w:val="TextBody"/>
        <w:bidi w:val="0"/>
        <w:jc w:val="both"/>
        <w:rPr>
          <w:rFonts w:ascii="Times New Roman" w:hAnsi="Times New Roman"/>
          <w:color w:val="000000"/>
          <w:sz w:val="16"/>
        </w:rPr>
      </w:pPr>
      <w:r>
        <w:rPr>
          <w:rFonts w:ascii="Times New Roman" w:hAnsi="Times New Roman"/>
          <w:color w:val="000000"/>
          <w:sz w:val="16"/>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Commitments and Contingencies</w:t>
      </w:r>
    </w:p>
    <w:p>
      <w:pPr>
        <w:pStyle w:val="TextBody"/>
        <w:bidi w:val="0"/>
        <w:jc w:val="both"/>
        <w:rPr>
          <w:rFonts w:ascii="Times New Roman" w:hAnsi="Times New Roman"/>
          <w:color w:val="000000"/>
          <w:sz w:val="16"/>
        </w:rPr>
      </w:pPr>
      <w:r>
        <w:rPr>
          <w:rFonts w:ascii="Times New Roman" w:hAnsi="Times New Roman"/>
          <w:color w:val="000000"/>
          <w:sz w:val="16"/>
        </w:rPr>
        <w:t>As of March 31, 2024 and December 31, 2023, the Company had the following unfunded commitments to existing portfolio companies (dollars in thousands):</w:t>
      </w:r>
    </w:p>
    <w:p>
      <w:pPr>
        <w:pStyle w:val="TextBody"/>
        <w:bidi w:val="0"/>
        <w:jc w:val="both"/>
        <w:rPr/>
      </w:pPr>
      <w:r>
        <w:rPr/>
        <w:t> </w:t>
      </w:r>
    </w:p>
    <w:tbl>
      <w:tblPr>
        <w:tblW w:w="10073" w:type="dxa"/>
        <w:jc w:val="left"/>
        <w:tblInd w:w="0" w:type="dxa"/>
        <w:tblLayout w:type="fixed"/>
        <w:tblCellMar>
          <w:top w:w="28" w:type="dxa"/>
          <w:left w:w="28" w:type="dxa"/>
          <w:bottom w:w="28" w:type="dxa"/>
          <w:right w:w="28" w:type="dxa"/>
        </w:tblCellMar>
      </w:tblPr>
      <w:tblGrid>
        <w:gridCol w:w="4516"/>
        <w:gridCol w:w="2866"/>
        <w:gridCol w:w="196"/>
        <w:gridCol w:w="146"/>
        <w:gridCol w:w="512"/>
        <w:gridCol w:w="146"/>
        <w:gridCol w:w="414"/>
        <w:gridCol w:w="1086"/>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Portfolio Company</w:t>
            </w:r>
          </w:p>
        </w:tc>
        <w:tc>
          <w:tcPr>
            <w:tcW w:w="28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85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Accordion Partners LLC (Revolver)</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American Clinical Solutions, LLC</w:t>
            </w:r>
            <w:r>
              <w:rPr>
                <w:rFonts w:ascii="Times New Roman" w:hAnsi="Times New Roman"/>
                <w:color w:val="000000"/>
                <w:sz w:val="11"/>
              </w:rPr>
              <w:t>(1)</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BetaNXT, Inc. (Revolver)</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Bradshaw International, Inc. (Revolver)</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Critical Nurse Staffing, LLC (Revolver)</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Dentive, LLC</w:t>
            </w:r>
            <w:r>
              <w:rPr>
                <w:rFonts w:ascii="Times New Roman" w:hAnsi="Times New Roman"/>
                <w:color w:val="000000"/>
                <w:sz w:val="11"/>
              </w:rPr>
              <w:t>(1)</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Dentive, LLC (Revolver)</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Fortis Payment Systems, LLC</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Funding II LLC - Series A</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Joint Venture</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GreenPark Infrastructure, LLC - Series M-1</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Common Stock and Membership Units</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IDC Infusion Services, LLC</w:t>
            </w:r>
            <w:r>
              <w:rPr>
                <w:rFonts w:ascii="Times New Roman" w:hAnsi="Times New Roman"/>
                <w:color w:val="000000"/>
                <w:sz w:val="11"/>
              </w:rPr>
              <w:t>(1)</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Morae Global Corporation (Revolver)</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Orthopaedic (ITC) Buyer, LLC</w:t>
            </w:r>
            <w:r>
              <w:rPr>
                <w:rFonts w:ascii="Times New Roman" w:hAnsi="Times New Roman"/>
                <w:color w:val="000000"/>
                <w:sz w:val="11"/>
              </w:rPr>
              <w:t>(1)</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PhyNet Dermatology LLC</w:t>
            </w:r>
            <w:r>
              <w:rPr>
                <w:rFonts w:ascii="Times New Roman" w:hAnsi="Times New Roman"/>
                <w:color w:val="000000"/>
                <w:sz w:val="11"/>
              </w:rPr>
              <w:t>(1)</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Riddell, Inc.</w:t>
            </w:r>
            <w:r>
              <w:rPr>
                <w:rFonts w:ascii="Times New Roman" w:hAnsi="Times New Roman"/>
                <w:color w:val="000000"/>
                <w:sz w:val="11"/>
              </w:rPr>
              <w:t>(1)</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Tactical Air Support, Inc.</w:t>
            </w:r>
            <w:r>
              <w:rPr>
                <w:rFonts w:ascii="Times New Roman" w:hAnsi="Times New Roman"/>
                <w:color w:val="000000"/>
                <w:sz w:val="11"/>
              </w:rPr>
              <w:t>(1)</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Taoglas Group Holdings Limited (Revolver)</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VBC Spine Opco, LLC (DxTx Pain and Spine LLC)</w:t>
            </w:r>
            <w:r>
              <w:rPr>
                <w:rFonts w:ascii="Times New Roman" w:hAnsi="Times New Roman"/>
                <w:color w:val="000000"/>
                <w:sz w:val="11"/>
              </w:rPr>
              <w:t>(1)</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VBC Spine Opco, LLC (DxTx Pain and Spine LLC) (Revolver)</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Wealth Enhancement Group, LLC (Revolver)</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Unfunded Commitments</w:t>
            </w:r>
          </w:p>
        </w:tc>
        <w:tc>
          <w:tcPr>
            <w:tcW w:w="286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top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Delayed-draw term loan.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pStyle w:val="TextBody"/>
        <w:bidi w:val="0"/>
        <w:spacing w:before="120" w:after="283"/>
        <w:jc w:val="both"/>
        <w:rPr>
          <w:rFonts w:ascii="Times New Roman" w:hAnsi="Times New Roman"/>
          <w:sz w:val="20"/>
        </w:rPr>
      </w:pPr>
      <w:r>
        <w:rPr>
          <w:rFonts w:ascii="Times New Roman" w:hAnsi="Times New Roman"/>
          <w:color w:val="000000"/>
          <w:sz w:val="16"/>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In management’s opinion, no</w:t>
      </w:r>
      <w:r>
        <w:rPr>
          <w:rFonts w:ascii="Times New Roman" w:hAnsi="Times New Roman"/>
          <w:color w:val="000000"/>
          <w:sz w:val="20"/>
        </w:rPr>
        <w:t xml:space="preserve"> </w:t>
      </w:r>
      <w:r>
        <w:rPr>
          <w:rFonts w:ascii="Times New Roman" w:hAnsi="Times New Roman"/>
          <w:color w:val="000000"/>
          <w:sz w:val="16"/>
        </w:rPr>
        <w:t>direct losses with respect to litigation contingencies were probable as of March 31, 2024 and December 31, 2023.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Income Taxes</w:t>
      </w:r>
    </w:p>
    <w:p>
      <w:pPr>
        <w:pStyle w:val="TextBody"/>
        <w:bidi w:val="0"/>
        <w:jc w:val="both"/>
        <w:rPr>
          <w:rFonts w:ascii="Times New Roman" w:hAnsi="Times New Roman"/>
          <w:sz w:val="20"/>
        </w:rPr>
      </w:pPr>
      <w:r>
        <w:rPr>
          <w:rFonts w:ascii="Times New Roman" w:hAnsi="Times New Roman"/>
          <w:color w:val="000000"/>
          <w:sz w:val="16"/>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order to qualify as a RIC, among other requirements, the Company is required to timely distribute to its stockholders at least 90.0% of its investment company taxable income, as defined by the Code, for each fiscal tax year. The Company may be subject to a nondeductible U.S. federal excise tax of 4.0% on undistributed income if it does not distribute at least 98.0% of its ordinary income in any calendar year and 98.2% of its capital gain net income for each one-year period ending on October 31.</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pStyle w:val="TextBody"/>
        <w:bidi w:val="0"/>
        <w:spacing w:before="120" w:after="283"/>
        <w:jc w:val="both"/>
        <w:rPr>
          <w:rFonts w:ascii="Times New Roman" w:hAnsi="Times New Roman"/>
          <w:sz w:val="20"/>
        </w:rPr>
      </w:pPr>
      <w:r>
        <w:rPr>
          <w:rFonts w:ascii="Times New Roman" w:hAnsi="Times New Roman"/>
          <w:color w:val="000000"/>
          <w:sz w:val="16"/>
        </w:rPr>
        <w:t>The tax years ended December 31, 2023, 2022, 2021 and 2020 remain subject to examination by U.S. federal, state, and local tax authorities.</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r>
        <w:rPr>
          <w:rFonts w:ascii="Times New Roman" w:hAnsi="Times New Roman"/>
          <w:color w:val="000000"/>
          <w:sz w:val="16"/>
        </w:rPr>
        <w:t>material interest expense or penalties have been assessed for the three months ended March 31, 2024 and 2023. If the Company was required to recognize interest and penalties, if any, related to unrecognized tax benefits this would be recognized as income tax expense in the consolidated statements of operations.</w:t>
      </w:r>
    </w:p>
    <w:p>
      <w:pPr>
        <w:pStyle w:val="TextBody"/>
        <w:bidi w:val="0"/>
        <w:spacing w:before="120" w:after="283"/>
        <w:jc w:val="both"/>
        <w:rPr>
          <w:rFonts w:ascii="Times New Roman" w:hAnsi="Times New Roman"/>
          <w:sz w:val="20"/>
        </w:rPr>
      </w:pPr>
      <w:r>
        <w:rPr>
          <w:rFonts w:ascii="Times New Roman" w:hAnsi="Times New Roman"/>
          <w:color w:val="000000"/>
          <w:sz w:val="16"/>
        </w:rPr>
        <w:t>For U.S. federal income tax purposes, as of March 31, 2024, the aggregate net unrealized depreciation for all securities was $11.0</w:t>
      </w:r>
      <w:r>
        <w:rPr>
          <w:rFonts w:ascii="Times New Roman" w:hAnsi="Times New Roman"/>
          <w:color w:val="000000"/>
          <w:sz w:val="20"/>
        </w:rPr>
        <w:t xml:space="preserve"> </w:t>
      </w:r>
      <w:r>
        <w:rPr>
          <w:rFonts w:ascii="Times New Roman" w:hAnsi="Times New Roman"/>
          <w:color w:val="000000"/>
          <w:sz w:val="16"/>
        </w:rPr>
        <w:t>million. As of March 31, 2024, gross unrealized appreciation was $16.0</w:t>
      </w:r>
      <w:r>
        <w:rPr>
          <w:rFonts w:ascii="Times New Roman" w:hAnsi="Times New Roman"/>
          <w:color w:val="000000"/>
          <w:sz w:val="20"/>
        </w:rPr>
        <w:t xml:space="preserve"> </w:t>
      </w:r>
      <w:r>
        <w:rPr>
          <w:rFonts w:ascii="Times New Roman" w:hAnsi="Times New Roman"/>
          <w:color w:val="000000"/>
          <w:sz w:val="16"/>
        </w:rPr>
        <w:t>million and gross unrealized depreciation was $27.0</w:t>
      </w:r>
      <w:r>
        <w:rPr>
          <w:rFonts w:ascii="Times New Roman" w:hAnsi="Times New Roman"/>
          <w:color w:val="000000"/>
          <w:sz w:val="20"/>
        </w:rPr>
        <w:t xml:space="preserve"> </w:t>
      </w:r>
      <w:r>
        <w:rPr>
          <w:rFonts w:ascii="Times New Roman" w:hAnsi="Times New Roman"/>
          <w:color w:val="000000"/>
          <w:sz w:val="16"/>
        </w:rPr>
        <w:t>million. The aggregate cost of securities for U.S. federal income tax purposes was $211.1</w:t>
      </w:r>
      <w:r>
        <w:rPr>
          <w:rFonts w:ascii="Times New Roman" w:hAnsi="Times New Roman"/>
          <w:color w:val="000000"/>
          <w:sz w:val="20"/>
        </w:rPr>
        <w:t xml:space="preserve"> </w:t>
      </w:r>
      <w:r>
        <w:rPr>
          <w:rFonts w:ascii="Times New Roman" w:hAnsi="Times New Roman"/>
          <w:color w:val="000000"/>
          <w:sz w:val="16"/>
        </w:rPr>
        <w:t>million as of March 31, 2024. For U.S. federal income tax purposes, as of December 31, 2023, the aggregate net unrealized depreciation for all securities was $11.5</w:t>
      </w:r>
      <w:r>
        <w:rPr>
          <w:rFonts w:ascii="Times New Roman" w:hAnsi="Times New Roman"/>
          <w:color w:val="000000"/>
          <w:sz w:val="20"/>
        </w:rPr>
        <w:t xml:space="preserve"> </w:t>
      </w:r>
      <w:r>
        <w:rPr>
          <w:rFonts w:ascii="Times New Roman" w:hAnsi="Times New Roman"/>
          <w:color w:val="000000"/>
          <w:sz w:val="16"/>
        </w:rPr>
        <w:t>million. As of December 31, 2023, gross unrealized appreciation was $11.1</w:t>
      </w:r>
      <w:r>
        <w:rPr>
          <w:rFonts w:ascii="Times New Roman" w:hAnsi="Times New Roman"/>
          <w:color w:val="000000"/>
          <w:sz w:val="20"/>
        </w:rPr>
        <w:t xml:space="preserve"> </w:t>
      </w:r>
      <w:r>
        <w:rPr>
          <w:rFonts w:ascii="Times New Roman" w:hAnsi="Times New Roman"/>
          <w:color w:val="000000"/>
          <w:sz w:val="16"/>
        </w:rPr>
        <w:t>million and gross unrealized depreciation was $22.6</w:t>
      </w:r>
      <w:r>
        <w:rPr>
          <w:rFonts w:ascii="Times New Roman" w:hAnsi="Times New Roman"/>
          <w:color w:val="000000"/>
          <w:sz w:val="20"/>
        </w:rPr>
        <w:t xml:space="preserve"> </w:t>
      </w:r>
      <w:r>
        <w:rPr>
          <w:rFonts w:ascii="Times New Roman" w:hAnsi="Times New Roman"/>
          <w:color w:val="000000"/>
          <w:sz w:val="16"/>
        </w:rPr>
        <w:t>million. The aggregate cost of securities for U.S. federal income tax purposes was $201.2</w:t>
      </w:r>
      <w:r>
        <w:rPr>
          <w:rFonts w:ascii="Times New Roman" w:hAnsi="Times New Roman"/>
          <w:color w:val="000000"/>
          <w:sz w:val="20"/>
        </w:rPr>
        <w:t xml:space="preserve"> </w:t>
      </w:r>
      <w:r>
        <w:rPr>
          <w:rFonts w:ascii="Times New Roman" w:hAnsi="Times New Roman"/>
          <w:color w:val="000000"/>
          <w:sz w:val="16"/>
        </w:rPr>
        <w:t>million as of December 31, 2023.</w:t>
      </w:r>
    </w:p>
    <w:p>
      <w:pPr>
        <w:pStyle w:val="TextBody"/>
        <w:bidi w:val="0"/>
        <w:spacing w:before="120" w:after="283"/>
        <w:jc w:val="both"/>
        <w:rPr>
          <w:rFonts w:ascii="Times New Roman" w:hAnsi="Times New Roman"/>
          <w:sz w:val="20"/>
        </w:rPr>
      </w:pPr>
      <w:r>
        <w:rPr>
          <w:rFonts w:ascii="Times New Roman" w:hAnsi="Times New Roman"/>
          <w:color w:val="000000"/>
          <w:sz w:val="16"/>
        </w:rPr>
        <w:t>The Company’s Taxable Subsidiaries record deferred tax assets or liabilities related to temporary book versus tax differences on the income or loss generated by the underlying equity investments held by the Taxable Subsidiaries. As of both March 31, 2024 and December 31, 2023, the Company recorded a net deferred tax asset of zero. For both the three months ended March 31, 2024 and 2023, the Company recorded a tax provision of zero. As of March 31, 2024 and December 31, 2023, the valuation allowance on the Company’s deferred tax asset was $4.3</w:t>
      </w:r>
      <w:r>
        <w:rPr>
          <w:rFonts w:ascii="Times New Roman" w:hAnsi="Times New Roman"/>
          <w:color w:val="000000"/>
          <w:sz w:val="20"/>
        </w:rPr>
        <w:t xml:space="preserve"> </w:t>
      </w:r>
      <w:r>
        <w:rPr>
          <w:rFonts w:ascii="Times New Roman" w:hAnsi="Times New Roman"/>
          <w:color w:val="000000"/>
          <w:sz w:val="16"/>
        </w:rPr>
        <w:t>million and $3.9</w:t>
      </w:r>
      <w:r>
        <w:rPr>
          <w:rFonts w:ascii="Times New Roman" w:hAnsi="Times New Roman"/>
          <w:color w:val="000000"/>
          <w:sz w:val="20"/>
        </w:rPr>
        <w:t xml:space="preserve"> </w:t>
      </w:r>
      <w:r>
        <w:rPr>
          <w:rFonts w:ascii="Times New Roman" w:hAnsi="Times New Roman"/>
          <w:color w:val="000000"/>
          <w:sz w:val="16"/>
        </w:rPr>
        <w:t>million, respectively. During the three months ended March 31, 2024, the Company recognized an increase in the valuation allowance of $0.4</w:t>
      </w:r>
      <w:r>
        <w:rPr>
          <w:rFonts w:ascii="Times New Roman" w:hAnsi="Times New Roman"/>
          <w:color w:val="000000"/>
          <w:sz w:val="20"/>
        </w:rPr>
        <w:t xml:space="preserve"> </w:t>
      </w:r>
      <w:r>
        <w:rPr>
          <w:rFonts w:ascii="Times New Roman" w:hAnsi="Times New Roman"/>
          <w:color w:val="000000"/>
          <w:sz w:val="16"/>
        </w:rPr>
        <w:t>million. During the three months ended March 31, 2023, there was no</w:t>
      </w:r>
      <w:r>
        <w:rPr>
          <w:rFonts w:ascii="Times New Roman" w:hAnsi="Times New Roman"/>
          <w:color w:val="000000"/>
          <w:sz w:val="20"/>
        </w:rPr>
        <w:t xml:space="preserve"> </w:t>
      </w:r>
      <w:r>
        <w:rPr>
          <w:rFonts w:ascii="Times New Roman" w:hAnsi="Times New Roman"/>
          <w:color w:val="000000"/>
          <w:sz w:val="16"/>
        </w:rPr>
        <w:t>change in the valuation allowance recognized by the Company.</w:t>
      </w:r>
    </w:p>
    <w:p>
      <w:pPr>
        <w:pStyle w:val="TextBody"/>
        <w:bidi w:val="0"/>
        <w:spacing w:before="120" w:after="283"/>
        <w:jc w:val="both"/>
        <w:rPr>
          <w:rFonts w:ascii="Times New Roman" w:hAnsi="Times New Roman"/>
          <w:sz w:val="20"/>
        </w:rPr>
      </w:pPr>
      <w:r>
        <w:rPr>
          <w:rFonts w:ascii="Times New Roman" w:hAnsi="Times New Roman"/>
          <w:color w:val="000000"/>
          <w:sz w:val="16"/>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ASC Topic 740 — </w:t>
      </w:r>
      <w:r>
        <w:rPr>
          <w:rFonts w:ascii="Times New Roman" w:hAnsi="Times New Roman"/>
          <w:i/>
          <w:color w:val="000000"/>
          <w:sz w:val="16"/>
        </w:rPr>
        <w:t>Income Taxes</w:t>
      </w:r>
      <w:r>
        <w:rPr>
          <w:rFonts w:ascii="Times New Roman" w:hAnsi="Times New Roman"/>
          <w:color w:val="000000"/>
          <w:sz w:val="20"/>
        </w:rPr>
        <w:t xml:space="preserve"> </w:t>
      </w:r>
      <w:r>
        <w:rPr>
          <w:rFonts w:ascii="Times New Roman" w:hAnsi="Times New Roman"/>
          <w:color w:val="000000"/>
          <w:sz w:val="16"/>
        </w:rPr>
        <w:t>(“ASC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March 31, 2024 and December 31, 2023, there were no</w:t>
      </w:r>
      <w:r>
        <w:rPr>
          <w:rFonts w:ascii="Times New Roman" w:hAnsi="Times New Roman"/>
          <w:color w:val="000000"/>
          <w:sz w:val="20"/>
        </w:rPr>
        <w:t xml:space="preserve"> </w:t>
      </w:r>
      <w:r>
        <w:rPr>
          <w:rFonts w:ascii="Times New Roman" w:hAnsi="Times New Roman"/>
          <w:color w:val="000000"/>
          <w:sz w:val="16"/>
        </w:rPr>
        <w:t>uncertain tax positions.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Distributions</w:t>
      </w:r>
    </w:p>
    <w:p>
      <w:pPr>
        <w:pStyle w:val="TextBody"/>
        <w:bidi w:val="0"/>
        <w:jc w:val="both"/>
        <w:rPr>
          <w:rFonts w:ascii="Times New Roman" w:hAnsi="Times New Roman"/>
          <w:sz w:val="20"/>
        </w:rPr>
      </w:pPr>
      <w:r>
        <w:rPr>
          <w:rFonts w:ascii="Times New Roman" w:hAnsi="Times New Roman"/>
          <w:color w:val="000000"/>
          <w:sz w:val="16"/>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pPr>
      <w:r>
        <w:rPr>
          <w:color w:val="000000"/>
        </w:rPr>
        <w:t>“</w:t>
      </w:r>
      <w:r>
        <w:rPr>
          <w:rFonts w:ascii="Times New Roman" w:hAnsi="Times New Roman"/>
          <w:color w:val="000000"/>
          <w:sz w:val="16"/>
        </w:rPr>
        <w:t>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pStyle w:val="TextBody"/>
        <w:bidi w:val="0"/>
        <w:spacing w:before="120" w:after="120"/>
        <w:jc w:val="left"/>
        <w:rPr>
          <w:rFonts w:ascii="Times New Roman" w:hAnsi="Times New Roman"/>
          <w:sz w:val="20"/>
        </w:rPr>
      </w:pPr>
      <w:r>
        <w:rPr>
          <w:rFonts w:ascii="Times New Roman" w:hAnsi="Times New Roman"/>
          <w:b/>
          <w:color w:val="000000"/>
          <w:sz w:val="16"/>
        </w:rPr>
        <w:t>Company Investment Risk, Concentration of Credit Risk and Liquidity Risk</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The Investment Adviser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Investment Adviser may attempt to minimize this risk by maintaining low debt-to-liquidation values with each debt investment and the collateral underlying the debt investment.</w:t>
      </w:r>
    </w:p>
    <w:p>
      <w:pPr>
        <w:pStyle w:val="TextBody"/>
        <w:bidi w:val="0"/>
        <w:spacing w:before="120" w:after="283"/>
        <w:jc w:val="both"/>
        <w:rPr>
          <w:rFonts w:ascii="Times New Roman" w:hAnsi="Times New Roman"/>
          <w:sz w:val="20"/>
        </w:rPr>
      </w:pPr>
      <w:r>
        <w:rPr>
          <w:rFonts w:ascii="Times New Roman" w:hAnsi="Times New Roman"/>
          <w:color w:val="000000"/>
          <w:sz w:val="16"/>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r>
        <w:rPr>
          <w:rFonts w:ascii="Times New Roman" w:hAnsi="Times New Roman"/>
          <w:color w:val="000000"/>
          <w:sz w:val="20"/>
        </w:rPr>
        <w:t xml:space="preserve">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3. Investments and Fair Value Measurements</w:t>
      </w:r>
    </w:p>
    <w:p>
      <w:pPr>
        <w:pStyle w:val="TextBody"/>
        <w:bidi w:val="0"/>
        <w:jc w:val="both"/>
        <w:rPr>
          <w:rFonts w:ascii="Times New Roman" w:hAnsi="Times New Roman"/>
          <w:sz w:val="20"/>
        </w:rPr>
      </w:pPr>
      <w:r>
        <w:rPr>
          <w:rFonts w:ascii="Times New Roman" w:hAnsi="Times New Roman"/>
          <w:color w:val="000000"/>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r>
        <w:rPr>
          <w:rFonts w:ascii="Times New Roman" w:hAnsi="Times New Roman"/>
          <w:color w:val="000000"/>
          <w:sz w:val="20"/>
        </w:rPr>
        <w:t xml:space="preserve"> </w:t>
      </w:r>
      <w:r>
        <w:rPr>
          <w:rFonts w:ascii="Times New Roman" w:hAnsi="Times New Roman"/>
          <w:color w:val="000000"/>
          <w:sz w:val="16"/>
        </w:rPr>
        <w:t>As of March 31, 2024, our portfolio consisted of investments in 62</w:t>
      </w:r>
      <w:r>
        <w:rPr>
          <w:rFonts w:ascii="Times New Roman" w:hAnsi="Times New Roman"/>
          <w:color w:val="000000"/>
          <w:sz w:val="20"/>
        </w:rPr>
        <w:t xml:space="preserve"> </w:t>
      </w:r>
      <w:r>
        <w:rPr>
          <w:rFonts w:ascii="Times New Roman" w:hAnsi="Times New Roman"/>
          <w:color w:val="000000"/>
          <w:sz w:val="16"/>
        </w:rPr>
        <w:t>portfolio companies with a fair value of approximately $200.1</w:t>
      </w:r>
      <w:r>
        <w:rPr>
          <w:rFonts w:ascii="Times New Roman" w:hAnsi="Times New Roman"/>
          <w:color w:val="000000"/>
          <w:sz w:val="20"/>
        </w:rPr>
        <w:t xml:space="preserve"> </w:t>
      </w:r>
      <w:r>
        <w:rPr>
          <w:rFonts w:ascii="Times New Roman" w:hAnsi="Times New Roman"/>
          <w:color w:val="000000"/>
          <w:sz w:val="16"/>
        </w:rPr>
        <w:t>million. As of December 31, 2023, our portfolio consisted of investments in 60</w:t>
      </w:r>
      <w:r>
        <w:rPr>
          <w:rFonts w:ascii="Times New Roman" w:hAnsi="Times New Roman"/>
          <w:color w:val="000000"/>
          <w:sz w:val="20"/>
        </w:rPr>
        <w:t xml:space="preserve"> </w:t>
      </w:r>
      <w:r>
        <w:rPr>
          <w:rFonts w:ascii="Times New Roman" w:hAnsi="Times New Roman"/>
          <w:color w:val="000000"/>
          <w:sz w:val="16"/>
        </w:rPr>
        <w:t>portfolio companies with a fair value of approximately $189.7</w:t>
      </w:r>
      <w:r>
        <w:rPr>
          <w:rFonts w:ascii="Times New Roman" w:hAnsi="Times New Roman"/>
          <w:color w:val="000000"/>
          <w:sz w:val="20"/>
        </w:rPr>
        <w:t xml:space="preserve"> </w:t>
      </w:r>
      <w:r>
        <w:rPr>
          <w:rFonts w:ascii="Times New Roman" w:hAnsi="Times New Roman"/>
          <w:color w:val="000000"/>
          <w:sz w:val="16"/>
        </w:rPr>
        <w:t>million.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March 31, 2024 and December 31, 2023, none of the fair value of our first lien loans consisted of last-out loans.</w:t>
      </w:r>
    </w:p>
    <w:p>
      <w:pPr>
        <w:pStyle w:val="TextBody"/>
        <w:bidi w:val="0"/>
        <w:spacing w:before="120" w:after="283"/>
        <w:jc w:val="both"/>
        <w:rPr>
          <w:rFonts w:ascii="Times New Roman" w:hAnsi="Times New Roman"/>
          <w:sz w:val="20"/>
        </w:rPr>
      </w:pPr>
      <w:r>
        <w:rPr>
          <w:rFonts w:ascii="Times New Roman" w:hAnsi="Times New Roman"/>
          <w:color w:val="000000"/>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6"/>
        </w:rPr>
        <w:t>During the three months ended March 31, 2024, we made approximately $9.8</w:t>
      </w:r>
      <w:r>
        <w:rPr>
          <w:rFonts w:ascii="Times New Roman" w:hAnsi="Times New Roman"/>
          <w:color w:val="000000"/>
          <w:sz w:val="20"/>
        </w:rPr>
        <w:t xml:space="preserve"> </w:t>
      </w:r>
      <w:r>
        <w:rPr>
          <w:rFonts w:ascii="Times New Roman" w:hAnsi="Times New Roman"/>
          <w:color w:val="000000"/>
          <w:sz w:val="16"/>
        </w:rPr>
        <w:t>million of investments and had approximately $0.9</w:t>
      </w:r>
      <w:r>
        <w:rPr>
          <w:rFonts w:ascii="Times New Roman" w:hAnsi="Times New Roman"/>
          <w:color w:val="000000"/>
          <w:sz w:val="20"/>
        </w:rPr>
        <w:t xml:space="preserve"> </w:t>
      </w:r>
      <w:r>
        <w:rPr>
          <w:rFonts w:ascii="Times New Roman" w:hAnsi="Times New Roman"/>
          <w:color w:val="000000"/>
          <w:sz w:val="16"/>
        </w:rPr>
        <w:t>million in repayments and sales, resulting in net deployment of approximately $8.9</w:t>
      </w:r>
      <w:r>
        <w:rPr>
          <w:rFonts w:ascii="Times New Roman" w:hAnsi="Times New Roman"/>
          <w:color w:val="000000"/>
          <w:sz w:val="20"/>
        </w:rPr>
        <w:t xml:space="preserve"> </w:t>
      </w:r>
      <w:r>
        <w:rPr>
          <w:rFonts w:ascii="Times New Roman" w:hAnsi="Times New Roman"/>
          <w:color w:val="000000"/>
          <w:sz w:val="16"/>
        </w:rPr>
        <w:t>million for the period. During the three months ended March 31, 2023, the Company made approximately $7.4</w:t>
      </w:r>
      <w:r>
        <w:rPr>
          <w:rFonts w:ascii="Times New Roman" w:hAnsi="Times New Roman"/>
          <w:color w:val="000000"/>
          <w:sz w:val="20"/>
        </w:rPr>
        <w:t xml:space="preserve"> </w:t>
      </w:r>
      <w:r>
        <w:rPr>
          <w:rFonts w:ascii="Times New Roman" w:hAnsi="Times New Roman"/>
          <w:color w:val="000000"/>
          <w:sz w:val="16"/>
        </w:rPr>
        <w:t>million of investments and had approximately $6.7</w:t>
      </w:r>
      <w:r>
        <w:rPr>
          <w:rFonts w:ascii="Times New Roman" w:hAnsi="Times New Roman"/>
          <w:color w:val="000000"/>
          <w:sz w:val="20"/>
        </w:rPr>
        <w:t xml:space="preserve"> </w:t>
      </w:r>
      <w:r>
        <w:rPr>
          <w:rFonts w:ascii="Times New Roman" w:hAnsi="Times New Roman"/>
          <w:color w:val="000000"/>
          <w:sz w:val="16"/>
        </w:rPr>
        <w:t>million in repayments and sales, resulting in net deployment of approximately $0.7</w:t>
      </w:r>
      <w:r>
        <w:rPr>
          <w:rFonts w:ascii="Times New Roman" w:hAnsi="Times New Roman"/>
          <w:color w:val="000000"/>
          <w:sz w:val="20"/>
        </w:rPr>
        <w:t xml:space="preserve"> </w:t>
      </w:r>
      <w:r>
        <w:rPr>
          <w:rFonts w:ascii="Times New Roman" w:hAnsi="Times New Roman"/>
          <w:color w:val="000000"/>
          <w:sz w:val="16"/>
        </w:rPr>
        <w:t>million for the period.</w:t>
      </w:r>
    </w:p>
    <w:p>
      <w:pPr>
        <w:pStyle w:val="TextBody"/>
        <w:bidi w:val="0"/>
        <w:jc w:val="both"/>
        <w:rPr>
          <w:rFonts w:ascii="Times New Roman" w:hAnsi="Times New Roman"/>
          <w:sz w:val="20"/>
        </w:rPr>
      </w:pPr>
      <w:r>
        <w:rPr>
          <w:rFonts w:ascii="Times New Roman" w:hAnsi="Times New Roman"/>
          <w:color w:val="000000"/>
          <w:sz w:val="16"/>
        </w:rPr>
        <w:t>As of March 31, 2024, the Company’s Investment Adviser approved the fair value of the Company’s investment portfolio of approximately $200.1</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good faith in accordance with the Company’s valuation procedures. The Company’s Investment Adviser approved the fair value of the Company’s investment portfolio as of March 31, 2024 with input from third-party valuation firms and the Investment Adviser, as valuation designee, based on information known or knowable as of the valuation date, including trailing and forward looking data.</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composition of our investments as of March 31, 2024, at amortized cost and fair value was as follows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composition of our investments as of December 31, 2023, at amortized cost and fair value was as follows (dollars in thousands):</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following table shows the portfolio composition by industry grouping at fair value as of March 31, 2024 and December 31, 2023 (dollars in thousands):</w:t>
      </w:r>
    </w:p>
    <w:tbl>
      <w:tblPr>
        <w:tblW w:w="10205" w:type="dxa"/>
        <w:jc w:val="left"/>
        <w:tblInd w:w="0" w:type="dxa"/>
        <w:tblLayout w:type="fixed"/>
        <w:tblCellMar>
          <w:top w:w="28" w:type="dxa"/>
          <w:left w:w="28" w:type="dxa"/>
          <w:bottom w:w="28" w:type="dxa"/>
          <w:right w:w="28" w:type="dxa"/>
        </w:tblCellMar>
      </w:tblPr>
      <w:tblGrid>
        <w:gridCol w:w="2797"/>
        <w:gridCol w:w="146"/>
        <w:gridCol w:w="249"/>
        <w:gridCol w:w="882"/>
        <w:gridCol w:w="146"/>
        <w:gridCol w:w="146"/>
        <w:gridCol w:w="414"/>
        <w:gridCol w:w="1456"/>
        <w:gridCol w:w="241"/>
        <w:gridCol w:w="146"/>
        <w:gridCol w:w="249"/>
        <w:gridCol w:w="882"/>
        <w:gridCol w:w="146"/>
        <w:gridCol w:w="146"/>
        <w:gridCol w:w="414"/>
        <w:gridCol w:w="1456"/>
        <w:gridCol w:w="289"/>
      </w:tblGrid>
      <w:tr>
        <w:trPr/>
        <w:tc>
          <w:tcPr>
            <w:tcW w:w="2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Information Technology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Discretionary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Management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 &amp; Marketing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Communication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Medical Device Distributor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Textile Equipment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Online Merchandise Retailer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Product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&amp; Gas Engineering and Consulting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Testing Laboratories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Machine Repair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Industrial</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As noted above, the Company values all investments in accordance with Rule 2a-5 under the 1940 Act and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tbl>
      <w:tblPr>
        <w:tblW w:w="9879" w:type="dxa"/>
        <w:jc w:val="left"/>
        <w:tblInd w:w="0" w:type="dxa"/>
        <w:tblLayout w:type="fixed"/>
        <w:tblCellMar>
          <w:top w:w="28" w:type="dxa"/>
          <w:left w:w="28" w:type="dxa"/>
          <w:bottom w:w="28" w:type="dxa"/>
          <w:right w:w="28" w:type="dxa"/>
        </w:tblCellMar>
      </w:tblPr>
      <w:tblGrid>
        <w:gridCol w:w="124"/>
        <w:gridCol w:w="109"/>
        <w:gridCol w:w="96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64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1 — Valuations based on quoted prices in active markets for identical assets or liabilities that the Company has the ability to access.</w:t>
            </w:r>
          </w:p>
        </w:tc>
      </w:tr>
    </w:tbl>
    <w:tbl>
      <w:tblPr>
        <w:tblW w:w="9474" w:type="dxa"/>
        <w:jc w:val="left"/>
        <w:tblInd w:w="0" w:type="dxa"/>
        <w:tblLayout w:type="fixed"/>
        <w:tblCellMar>
          <w:top w:w="28" w:type="dxa"/>
          <w:left w:w="28" w:type="dxa"/>
          <w:bottom w:w="28" w:type="dxa"/>
          <w:right w:w="28" w:type="dxa"/>
        </w:tblCellMar>
      </w:tblPr>
      <w:tblGrid>
        <w:gridCol w:w="124"/>
        <w:gridCol w:w="109"/>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41"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2 — Valuations based on inputs other than quoted prices in active markets, which are either directly or indirectly observable.</w:t>
            </w:r>
          </w:p>
        </w:tc>
      </w:tr>
    </w:tbl>
    <w:tbl>
      <w:tblPr>
        <w:tblW w:w="8289" w:type="dxa"/>
        <w:jc w:val="left"/>
        <w:tblInd w:w="0" w:type="dxa"/>
        <w:tblLayout w:type="fixed"/>
        <w:tblCellMar>
          <w:top w:w="28" w:type="dxa"/>
          <w:left w:w="28" w:type="dxa"/>
          <w:bottom w:w="28" w:type="dxa"/>
          <w:right w:w="28" w:type="dxa"/>
        </w:tblCellMar>
      </w:tblPr>
      <w:tblGrid>
        <w:gridCol w:w="124"/>
        <w:gridCol w:w="109"/>
        <w:gridCol w:w="80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5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05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Level 3 — Valuations based on inputs that are unobservable and significant to the overall fair value measurement.</w:t>
            </w:r>
          </w:p>
        </w:tc>
      </w:tr>
    </w:tbl>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employs the valuation policy approved by the Board that is consistent with ASC 820 (see Note 2). Consistent with the Company’s valuation policy, the Company evaluates the source of inputs, including any markets in which its investments are trading, in determining fair value.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estimating the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table presents the fair value measurements of investments, by major class, as of March 31, 2024, according to the fair value hierarchy (dollars in thousands):</w:t>
      </w:r>
    </w:p>
    <w:tbl>
      <w:tblPr>
        <w:tblW w:w="7422" w:type="dxa"/>
        <w:jc w:val="left"/>
        <w:tblInd w:w="0" w:type="dxa"/>
        <w:tblLayout w:type="fixed"/>
        <w:tblCellMar>
          <w:top w:w="28" w:type="dxa"/>
          <w:left w:w="28" w:type="dxa"/>
          <w:bottom w:w="28" w:type="dxa"/>
          <w:right w:w="28" w:type="dxa"/>
        </w:tblCellMar>
      </w:tblPr>
      <w:tblGrid>
        <w:gridCol w:w="2311"/>
        <w:gridCol w:w="146"/>
        <w:gridCol w:w="228"/>
        <w:gridCol w:w="402"/>
        <w:gridCol w:w="146"/>
        <w:gridCol w:w="146"/>
        <w:gridCol w:w="228"/>
        <w:gridCol w:w="402"/>
        <w:gridCol w:w="146"/>
        <w:gridCol w:w="146"/>
        <w:gridCol w:w="196"/>
        <w:gridCol w:w="691"/>
        <w:gridCol w:w="146"/>
        <w:gridCol w:w="146"/>
        <w:gridCol w:w="196"/>
        <w:gridCol w:w="376"/>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77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130,377</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8,308</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22,910</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199,726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200,122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following table presents fair value measurements of investments, by major class, as of December 31, 2023, according to the fair value hierarchy (dollars in thousands):</w:t>
      </w:r>
    </w:p>
    <w:tbl>
      <w:tblPr>
        <w:tblW w:w="7422" w:type="dxa"/>
        <w:jc w:val="left"/>
        <w:tblInd w:w="0" w:type="dxa"/>
        <w:tblLayout w:type="fixed"/>
        <w:tblCellMar>
          <w:top w:w="28" w:type="dxa"/>
          <w:left w:w="28" w:type="dxa"/>
          <w:bottom w:w="28" w:type="dxa"/>
          <w:right w:w="28" w:type="dxa"/>
        </w:tblCellMar>
      </w:tblPr>
      <w:tblGrid>
        <w:gridCol w:w="2311"/>
        <w:gridCol w:w="146"/>
        <w:gridCol w:w="228"/>
        <w:gridCol w:w="402"/>
        <w:gridCol w:w="146"/>
        <w:gridCol w:w="146"/>
        <w:gridCol w:w="228"/>
        <w:gridCol w:w="402"/>
        <w:gridCol w:w="146"/>
        <w:gridCol w:w="146"/>
        <w:gridCol w:w="196"/>
        <w:gridCol w:w="691"/>
        <w:gridCol w:w="146"/>
        <w:gridCol w:w="146"/>
        <w:gridCol w:w="196"/>
        <w:gridCol w:w="376"/>
        <w:gridCol w:w="146"/>
        <w:gridCol w:w="146"/>
        <w:gridCol w:w="196"/>
        <w:gridCol w:w="69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77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NAV</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pPr>
            <w:r>
              <w:rPr/>
              <w:t> </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189,208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following table provides a reconciliation of the beginning and ending balances for investments that use Level 3 inputs for the three months ended March 31, 2024 (dollars in thousands):</w:t>
      </w:r>
    </w:p>
    <w:tbl>
      <w:tblPr>
        <w:tblW w:w="10205" w:type="dxa"/>
        <w:jc w:val="left"/>
        <w:tblInd w:w="0" w:type="dxa"/>
        <w:tblLayout w:type="fixed"/>
        <w:tblCellMar>
          <w:top w:w="28" w:type="dxa"/>
          <w:left w:w="28" w:type="dxa"/>
          <w:bottom w:w="28" w:type="dxa"/>
          <w:right w:w="28" w:type="dxa"/>
        </w:tblCellMar>
      </w:tblPr>
      <w:tblGrid>
        <w:gridCol w:w="2367"/>
        <w:gridCol w:w="146"/>
        <w:gridCol w:w="196"/>
        <w:gridCol w:w="691"/>
        <w:gridCol w:w="166"/>
        <w:gridCol w:w="146"/>
        <w:gridCol w:w="218"/>
        <w:gridCol w:w="569"/>
        <w:gridCol w:w="146"/>
        <w:gridCol w:w="146"/>
        <w:gridCol w:w="265"/>
        <w:gridCol w:w="816"/>
        <w:gridCol w:w="166"/>
        <w:gridCol w:w="146"/>
        <w:gridCol w:w="421"/>
        <w:gridCol w:w="1099"/>
        <w:gridCol w:w="166"/>
        <w:gridCol w:w="146"/>
        <w:gridCol w:w="196"/>
        <w:gridCol w:w="601"/>
        <w:gridCol w:w="146"/>
        <w:gridCol w:w="146"/>
        <w:gridCol w:w="196"/>
        <w:gridCol w:w="691"/>
        <w:gridCol w:w="213"/>
      </w:tblGrid>
      <w:tr>
        <w:trPr/>
        <w:tc>
          <w:tcPr>
            <w:tcW w:w="23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6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w:t>
              <w:br/>
              <w:t>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January 1, 2024</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189,208</w:t>
            </w:r>
          </w:p>
        </w:tc>
        <w:tc>
          <w:tcPr>
            <w:tcW w:w="213" w:type="dxa"/>
            <w:tcBorders/>
            <w:shd w:fill="CFF0FC"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Repayments/sales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(895</w:t>
            </w:r>
          </w:p>
        </w:tc>
        <w:tc>
          <w:tcPr>
            <w:tcW w:w="2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1"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9,839</w:t>
            </w:r>
          </w:p>
        </w:tc>
        <w:tc>
          <w:tcPr>
            <w:tcW w:w="213" w:type="dxa"/>
            <w:tcBorders/>
            <w:shd w:fill="CFF0FC"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interest and dividends accrued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213" w:type="dxa"/>
            <w:tcBorders/>
            <w:shd w:fill="FFFFFF" w:val="clear"/>
            <w:vAlign w:val="center"/>
          </w:tcPr>
          <w:p>
            <w:pPr>
              <w:pStyle w:val="TableContents"/>
              <w:bidi w:val="0"/>
              <w:spacing w:before="0" w:after="283"/>
              <w:jc w:val="left"/>
              <w:rPr/>
            </w:pPr>
            <w:r>
              <w:rPr/>
              <w:t> </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21"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213" w:type="dxa"/>
            <w:tcBorders/>
            <w:shd w:fill="CFF0FC"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1" w:type="dxa"/>
            <w:tcBorders/>
            <w:shd w:fill="FFFFFF" w:val="clear"/>
            <w:vAlign w:val="center"/>
          </w:tcPr>
          <w:p>
            <w:pPr>
              <w:pStyle w:val="TableContents"/>
              <w:bidi w:val="0"/>
              <w:spacing w:before="0" w:after="283"/>
              <w:jc w:val="left"/>
              <w:rPr/>
            </w:pPr>
            <w:r>
              <w:rPr/>
              <w:t> </w:t>
            </w:r>
          </w:p>
        </w:tc>
        <w:tc>
          <w:tcPr>
            <w:tcW w:w="109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213" w:type="dxa"/>
            <w:tcBorders/>
            <w:shd w:fill="FFFFFF" w:val="clear"/>
            <w:vAlign w:val="center"/>
          </w:tcPr>
          <w:p>
            <w:pPr>
              <w:pStyle w:val="TableContents"/>
              <w:bidi w:val="0"/>
              <w:spacing w:before="0" w:after="283"/>
              <w:jc w:val="left"/>
              <w:rPr/>
            </w:pPr>
            <w:r>
              <w:rPr/>
              <w:t> </w:t>
            </w:r>
          </w:p>
        </w:tc>
      </w:tr>
      <w:tr>
        <w:trPr/>
        <w:tc>
          <w:tcPr>
            <w:tcW w:w="23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421" w:type="dxa"/>
            <w:tcBorders/>
            <w:shd w:fill="CFF0FC" w:val="clear"/>
            <w:vAlign w:val="center"/>
          </w:tcPr>
          <w:p>
            <w:pPr>
              <w:pStyle w:val="TableContents"/>
              <w:bidi w:val="0"/>
              <w:spacing w:before="0" w:after="283"/>
              <w:jc w:val="left"/>
              <w:rPr/>
            </w:pPr>
            <w:r>
              <w:rPr/>
              <w:t> </w:t>
            </w:r>
          </w:p>
        </w:tc>
        <w:tc>
          <w:tcPr>
            <w:tcW w:w="109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213" w:type="dxa"/>
            <w:tcBorders/>
            <w:shd w:fill="CFF0FC" w:val="clear"/>
            <w:vAlign w:val="center"/>
          </w:tcPr>
          <w:p>
            <w:pPr>
              <w:pStyle w:val="TableContents"/>
              <w:bidi w:val="0"/>
              <w:spacing w:before="0" w:after="283"/>
              <w:jc w:val="left"/>
              <w:rPr/>
            </w:pPr>
            <w:r>
              <w:rPr/>
              <w:t> </w:t>
            </w:r>
          </w:p>
        </w:tc>
      </w:tr>
      <w:tr>
        <w:trPr/>
        <w:tc>
          <w:tcPr>
            <w:tcW w:w="236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2024</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130,377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2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9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199,726</w:t>
            </w:r>
          </w:p>
        </w:tc>
        <w:tc>
          <w:tcPr>
            <w:tcW w:w="2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following table provides a reconciliation of the beginning and ending balances for investments that use Level 3 inputs for the three months ended March 31, 2023 (dollars in thousands):</w:t>
      </w:r>
    </w:p>
    <w:tbl>
      <w:tblPr>
        <w:tblW w:w="10205" w:type="dxa"/>
        <w:jc w:val="left"/>
        <w:tblInd w:w="0" w:type="dxa"/>
        <w:tblLayout w:type="fixed"/>
        <w:tblCellMar>
          <w:top w:w="28" w:type="dxa"/>
          <w:left w:w="28" w:type="dxa"/>
          <w:bottom w:w="28" w:type="dxa"/>
          <w:right w:w="28" w:type="dxa"/>
        </w:tblCellMar>
      </w:tblPr>
      <w:tblGrid>
        <w:gridCol w:w="2353"/>
        <w:gridCol w:w="146"/>
        <w:gridCol w:w="196"/>
        <w:gridCol w:w="691"/>
        <w:gridCol w:w="166"/>
        <w:gridCol w:w="146"/>
        <w:gridCol w:w="218"/>
        <w:gridCol w:w="568"/>
        <w:gridCol w:w="146"/>
        <w:gridCol w:w="146"/>
        <w:gridCol w:w="265"/>
        <w:gridCol w:w="816"/>
        <w:gridCol w:w="166"/>
        <w:gridCol w:w="146"/>
        <w:gridCol w:w="386"/>
        <w:gridCol w:w="1129"/>
        <w:gridCol w:w="166"/>
        <w:gridCol w:w="146"/>
        <w:gridCol w:w="196"/>
        <w:gridCol w:w="601"/>
        <w:gridCol w:w="166"/>
        <w:gridCol w:w="146"/>
        <w:gridCol w:w="196"/>
        <w:gridCol w:w="691"/>
        <w:gridCol w:w="213"/>
      </w:tblGrid>
      <w:tr>
        <w:trPr/>
        <w:tc>
          <w:tcPr>
            <w:tcW w:w="23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3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First Lien</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Second Lien</w:t>
              <w:br/>
              <w:t>Debt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Subordinated</w:t>
              <w:br/>
              <w:t>Debt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Collateralized Loan Obligations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January 1, 2023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136,896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25,851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29,006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203,189</w:t>
            </w:r>
          </w:p>
        </w:tc>
        <w:tc>
          <w:tcPr>
            <w:tcW w:w="213" w:type="dxa"/>
            <w:tcBorders/>
            <w:shd w:fill="CFF0FC" w:val="clear"/>
            <w:vAlign w:val="center"/>
          </w:tcPr>
          <w:p>
            <w:pPr>
              <w:pStyle w:val="TableContents"/>
              <w:bidi w:val="0"/>
              <w:spacing w:before="0" w:after="283"/>
              <w:jc w:val="left"/>
              <w:rPr/>
            </w:pPr>
            <w:r>
              <w:rPr/>
              <w:t> </w:t>
            </w:r>
          </w:p>
        </w:tc>
      </w:tr>
      <w:tr>
        <w:trPr/>
        <w:tc>
          <w:tcPr>
            <w:tcW w:w="23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Repayments/sales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(6,713</w:t>
            </w:r>
          </w:p>
        </w:tc>
        <w:tc>
          <w:tcPr>
            <w:tcW w:w="2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7,388</w:t>
            </w:r>
          </w:p>
        </w:tc>
        <w:tc>
          <w:tcPr>
            <w:tcW w:w="213" w:type="dxa"/>
            <w:tcBorders/>
            <w:shd w:fill="CFF0FC" w:val="clear"/>
            <w:vAlign w:val="center"/>
          </w:tcPr>
          <w:p>
            <w:pPr>
              <w:pStyle w:val="TableContents"/>
              <w:bidi w:val="0"/>
              <w:spacing w:before="0" w:after="283"/>
              <w:jc w:val="left"/>
              <w:rPr/>
            </w:pPr>
            <w:r>
              <w:rPr/>
              <w:t> </w:t>
            </w:r>
          </w:p>
        </w:tc>
      </w:tr>
      <w:tr>
        <w:trPr/>
        <w:tc>
          <w:tcPr>
            <w:tcW w:w="23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interest and dividends accrued</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213" w:type="dxa"/>
            <w:tcBorders/>
            <w:shd w:fill="FFFFFF" w:val="clear"/>
            <w:vAlign w:val="center"/>
          </w:tcPr>
          <w:p>
            <w:pPr>
              <w:pStyle w:val="TableContents"/>
              <w:bidi w:val="0"/>
              <w:spacing w:before="0" w:after="283"/>
              <w:jc w:val="left"/>
              <w:rPr/>
            </w:pPr>
            <w:r>
              <w:rPr/>
              <w:t> </w:t>
            </w:r>
          </w:p>
        </w:tc>
      </w:tr>
      <w:tr>
        <w:trPr/>
        <w:tc>
          <w:tcPr>
            <w:tcW w:w="2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Accretion of original issue discount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w:t>
            </w:r>
          </w:p>
        </w:tc>
        <w:tc>
          <w:tcPr>
            <w:tcW w:w="213" w:type="dxa"/>
            <w:tcBorders/>
            <w:shd w:fill="CFF0FC" w:val="clear"/>
            <w:vAlign w:val="center"/>
          </w:tcPr>
          <w:p>
            <w:pPr>
              <w:pStyle w:val="TableContents"/>
              <w:bidi w:val="0"/>
              <w:spacing w:before="0" w:after="283"/>
              <w:jc w:val="left"/>
              <w:rPr/>
            </w:pPr>
            <w:r>
              <w:rPr/>
              <w:t> </w:t>
            </w:r>
          </w:p>
        </w:tc>
      </w:tr>
      <w:tr>
        <w:trPr/>
        <w:tc>
          <w:tcPr>
            <w:tcW w:w="23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(loss) gain on investments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8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(1,593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21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(depreciation) appreciation on investments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(591</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81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386" w:type="dxa"/>
            <w:tcBorders/>
            <w:shd w:fill="CFF0FC" w:val="clear"/>
            <w:vAlign w:val="center"/>
          </w:tcPr>
          <w:p>
            <w:pPr>
              <w:pStyle w:val="TableContents"/>
              <w:bidi w:val="0"/>
              <w:spacing w:before="0" w:after="283"/>
              <w:jc w:val="left"/>
              <w:rPr/>
            </w:pPr>
            <w:r>
              <w:rPr/>
              <w:t> </w:t>
            </w:r>
          </w:p>
        </w:tc>
        <w:tc>
          <w:tcPr>
            <w:tcW w:w="112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21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5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as of March 31, 2023</w:t>
            </w:r>
          </w:p>
        </w:tc>
        <w:tc>
          <w:tcPr>
            <w:tcW w:w="146" w:type="dxa"/>
            <w:tcBorders/>
            <w:shd w:fill="FFFFFF" w:val="clear"/>
            <w:vAlign w:val="center"/>
          </w:tcPr>
          <w:p>
            <w:pPr>
              <w:pStyle w:val="TableContents"/>
              <w:bidi w:val="0"/>
              <w:spacing w:before="0" w:after="283"/>
              <w:jc w:val="lef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137,563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6,775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24,696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12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29,640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202,881</w:t>
            </w:r>
          </w:p>
        </w:tc>
        <w:tc>
          <w:tcPr>
            <w:tcW w:w="2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color w:val="000000"/>
          <w:sz w:val="16"/>
        </w:rPr>
        <w:t>The net change in unrealized appreciation (depreciation) on investments held was $0.7</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$(0.1) million</w:t>
      </w:r>
      <w:r>
        <w:rPr>
          <w:rFonts w:ascii="Times New Roman" w:hAnsi="Times New Roman"/>
          <w:color w:val="000000"/>
          <w:sz w:val="20"/>
        </w:rPr>
        <w:t xml:space="preserve"> </w:t>
      </w:r>
      <w:r>
        <w:rPr>
          <w:rFonts w:ascii="Times New Roman" w:hAnsi="Times New Roman"/>
          <w:color w:val="000000"/>
          <w:sz w:val="16"/>
        </w:rPr>
        <w:t>for the three months ended March 31, 2024 and 2023, respectively, and is included in net change in unrealized appreciation (depreciation) on investments on the consolidated statements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valuation techniques and significant unobservable inputs used in recurring Level 3 fair value measurements of assets as of March 31, 2024 were as follows:</w:t>
      </w:r>
    </w:p>
    <w:tbl>
      <w:tblPr>
        <w:tblW w:w="10205" w:type="dxa"/>
        <w:jc w:val="left"/>
        <w:tblInd w:w="0" w:type="dxa"/>
        <w:tblLayout w:type="fixed"/>
        <w:tblCellMar>
          <w:top w:w="28" w:type="dxa"/>
          <w:left w:w="28" w:type="dxa"/>
          <w:bottom w:w="28" w:type="dxa"/>
          <w:right w:w="28" w:type="dxa"/>
        </w:tblCellMar>
      </w:tblPr>
      <w:tblGrid>
        <w:gridCol w:w="2297"/>
        <w:gridCol w:w="146"/>
        <w:gridCol w:w="265"/>
        <w:gridCol w:w="691"/>
        <w:gridCol w:w="146"/>
        <w:gridCol w:w="146"/>
        <w:gridCol w:w="2606"/>
        <w:gridCol w:w="146"/>
        <w:gridCol w:w="1778"/>
        <w:gridCol w:w="146"/>
        <w:gridCol w:w="1838"/>
      </w:tblGrid>
      <w:tr>
        <w:trPr/>
        <w:tc>
          <w:tcPr>
            <w:tcW w:w="2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22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Valuation </w:t>
              <w:b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b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Range of Input</w:t>
              <w:br/>
              <w:t> (Weighted Average)</w:t>
            </w:r>
            <w:r>
              <w:rPr>
                <w:rFonts w:ascii="Times New Roman" w:hAnsi="Times New Roman"/>
                <w:b/>
                <w:color w:val="000000"/>
                <w:sz w:val="11"/>
              </w:rPr>
              <w:t>(2)</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Broker/Dealer Quotes</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7.4% – 22.5% (12.5%)</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Broker/Dealer Quotes</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 – 19.8% (16.1%)</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13.8%</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4.5x</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0.7x</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Discount Margin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22.3% – 23.8% (23.6%)</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Price</w:t>
              <w:br/>
              <w:t>Time to Exit (Years)</w:t>
              <w:br/>
              <w:t>Volatility</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$96.90</w:t>
              <w:br/>
              <w:t>2.0</w:t>
              <w:br/>
              <w:t>35.0%</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Enterprise Market Value and Asset</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2.3x – 18.3x (6.9x)</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0.3x – 1.6x (0.7x)</w:t>
            </w:r>
          </w:p>
        </w:tc>
      </w:tr>
      <w:tr>
        <w:trPr/>
        <w:tc>
          <w:tcPr>
            <w:tcW w:w="229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sz w:val="16"/>
        </w:rPr>
      </w:pPr>
      <w:r>
        <w:rPr>
          <w:rFonts w:ascii="Times New Roman" w:hAnsi="Times New Roman"/>
          <w:color w:val="000000"/>
          <w:sz w:val="14"/>
        </w:rPr>
        <w:t>$1.0</w:t>
      </w:r>
      <w:r>
        <w:rPr>
          <w:rFonts w:ascii="Times New Roman" w:hAnsi="Times New Roman"/>
          <w:color w:val="000000"/>
          <w:sz w:val="16"/>
        </w:rPr>
        <w:t xml:space="preserve"> </w:t>
      </w:r>
      <w:r>
        <w:rPr>
          <w:rFonts w:ascii="Times New Roman" w:hAnsi="Times New Roman"/>
          <w:color w:val="000000"/>
          <w:sz w:val="14"/>
        </w:rPr>
        <w:t>million</w:t>
      </w:r>
      <w:r>
        <w:rPr>
          <w:rFonts w:ascii="Times New Roman" w:hAnsi="Times New Roman"/>
          <w:color w:val="000000"/>
          <w:sz w:val="16"/>
        </w:rPr>
        <w:t xml:space="preserve"> </w:t>
      </w:r>
      <w:r>
        <w:rPr>
          <w:rFonts w:ascii="Times New Roman" w:hAnsi="Times New Roman"/>
          <w:color w:val="000000"/>
          <w:sz w:val="14"/>
        </w:rPr>
        <w:t>in equity was valued using the asset approach.</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jc w:val="both"/>
        <w:rPr>
          <w:rFonts w:ascii="Times New Roman" w:hAnsi="Times New Roman"/>
          <w:color w:val="000000"/>
          <w:sz w:val="14"/>
        </w:rPr>
      </w:pPr>
      <w:r>
        <w:rPr>
          <w:rFonts w:ascii="Times New Roman" w:hAnsi="Times New Roman"/>
          <w:color w:val="000000"/>
          <w:sz w:val="14"/>
        </w:rPr>
        <w:t>The weighted averages disclosed in the table above were weighted by their relative fair value.</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valuation techniques and significant unobservable inputs used in recurring Level 3 fair value measurements of assets as of December 31, 2023 were as follows:</w:t>
      </w:r>
    </w:p>
    <w:tbl>
      <w:tblPr>
        <w:tblW w:w="10205" w:type="dxa"/>
        <w:jc w:val="left"/>
        <w:tblInd w:w="0" w:type="dxa"/>
        <w:tblLayout w:type="fixed"/>
        <w:tblCellMar>
          <w:top w:w="28" w:type="dxa"/>
          <w:left w:w="28" w:type="dxa"/>
          <w:bottom w:w="28" w:type="dxa"/>
          <w:right w:w="28" w:type="dxa"/>
        </w:tblCellMar>
      </w:tblPr>
      <w:tblGrid>
        <w:gridCol w:w="2297"/>
        <w:gridCol w:w="146"/>
        <w:gridCol w:w="265"/>
        <w:gridCol w:w="691"/>
        <w:gridCol w:w="146"/>
        <w:gridCol w:w="146"/>
        <w:gridCol w:w="2606"/>
        <w:gridCol w:w="146"/>
        <w:gridCol w:w="1778"/>
        <w:gridCol w:w="146"/>
        <w:gridCol w:w="1838"/>
      </w:tblGrid>
      <w:tr>
        <w:trPr/>
        <w:tc>
          <w:tcPr>
            <w:tcW w:w="2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r>
      <w:tr>
        <w:trPr/>
        <w:tc>
          <w:tcPr>
            <w:tcW w:w="229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Valuation </w:t>
              <w:br/>
              <w:t>Technique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Unobservable</w:t>
              <w:br/>
              <w:t>Input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Range of Input</w:t>
              <w:br/>
              <w:t> (Weighted Average)</w:t>
            </w:r>
            <w:r>
              <w:rPr>
                <w:rFonts w:ascii="Times New Roman" w:hAnsi="Times New Roman"/>
                <w:b/>
                <w:color w:val="000000"/>
                <w:sz w:val="11"/>
              </w:rPr>
              <w:t>(2)</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Broker/Dealer Quotes</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7.8% – 30.0% (13.5%)</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Market</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Broker/Dealer Quotes</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N/A</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 – 17.9% (15.7%)</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Required Rate of Return</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11.0%</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4.5x</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0.5x</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Discount Margin</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22.4% – 24.1% (23.8%)</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Income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 Price</w:t>
              <w:br/>
              <w:t>Time to Exit (Years)</w:t>
              <w:br/>
              <w:t>Volatility</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$102.49</w:t>
              <w:br/>
              <w:t>2.0</w:t>
              <w:br/>
              <w:t>35.0%</w:t>
            </w:r>
          </w:p>
        </w:tc>
      </w:tr>
      <w:tr>
        <w:trPr/>
        <w:tc>
          <w:tcPr>
            <w:tcW w:w="22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65"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Enterprise Market Value and Asset</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EBITDA Multiple</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2.3x – 18.0x (6.6x)</w:t>
            </w:r>
          </w:p>
        </w:tc>
      </w:tr>
      <w:tr>
        <w:trPr/>
        <w:tc>
          <w:tcPr>
            <w:tcW w:w="22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CFF0FC" w:val="cle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0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Enterprise Market Value</w:t>
            </w:r>
          </w:p>
        </w:tc>
        <w:tc>
          <w:tcPr>
            <w:tcW w:w="146" w:type="dxa"/>
            <w:tcBorders/>
            <w:shd w:fill="CFF0FC" w:val="clear"/>
            <w:vAlign w:val="center"/>
          </w:tcPr>
          <w:p>
            <w:pPr>
              <w:pStyle w:val="TableContents"/>
              <w:bidi w:val="0"/>
              <w:spacing w:before="0" w:after="283"/>
              <w:jc w:val="left"/>
              <w:rPr/>
            </w:pPr>
            <w:r>
              <w:rPr/>
              <w:t> </w:t>
            </w:r>
          </w:p>
        </w:tc>
        <w:tc>
          <w:tcPr>
            <w:tcW w:w="177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Revenue Multiple</w:t>
            </w:r>
          </w:p>
        </w:tc>
        <w:tc>
          <w:tcPr>
            <w:tcW w:w="146" w:type="dxa"/>
            <w:tcBorders/>
            <w:shd w:fill="CFF0FC" w:val="clear"/>
            <w:vAlign w:val="center"/>
          </w:tcPr>
          <w:p>
            <w:pPr>
              <w:pStyle w:val="TableContents"/>
              <w:bidi w:val="0"/>
              <w:spacing w:before="0" w:after="283"/>
              <w:jc w:val="left"/>
              <w:rPr/>
            </w:pPr>
            <w:r>
              <w:rPr/>
              <w:t> </w:t>
            </w:r>
          </w:p>
        </w:tc>
        <w:tc>
          <w:tcPr>
            <w:tcW w:w="183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0.3x – 1.2x (0.9x)</w:t>
            </w:r>
          </w:p>
        </w:tc>
      </w:tr>
      <w:tr>
        <w:trPr/>
        <w:tc>
          <w:tcPr>
            <w:tcW w:w="229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7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38" w:type="dxa"/>
            <w:tcBorders/>
            <w:shd w:fill="FFFFFF" w:val="cle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sz w:val="16"/>
        </w:rPr>
      </w:pPr>
      <w:r>
        <w:rPr>
          <w:rFonts w:ascii="Times New Roman" w:hAnsi="Times New Roman"/>
          <w:color w:val="000000"/>
          <w:sz w:val="14"/>
        </w:rPr>
        <w:t>$1.0</w:t>
      </w:r>
      <w:r>
        <w:rPr>
          <w:rFonts w:ascii="Times New Roman" w:hAnsi="Times New Roman"/>
          <w:color w:val="000000"/>
          <w:sz w:val="16"/>
        </w:rPr>
        <w:t xml:space="preserve"> </w:t>
      </w:r>
      <w:r>
        <w:rPr>
          <w:rFonts w:ascii="Times New Roman" w:hAnsi="Times New Roman"/>
          <w:color w:val="000000"/>
          <w:sz w:val="14"/>
        </w:rPr>
        <w:t>million in</w:t>
      </w:r>
      <w:r>
        <w:rPr>
          <w:rFonts w:ascii="Times New Roman" w:hAnsi="Times New Roman"/>
          <w:color w:val="000000"/>
          <w:sz w:val="16"/>
        </w:rPr>
        <w:t xml:space="preserve"> </w:t>
      </w:r>
      <w:r>
        <w:rPr>
          <w:rFonts w:ascii="Times New Roman" w:hAnsi="Times New Roman"/>
          <w:color w:val="000000"/>
          <w:sz w:val="14"/>
        </w:rPr>
        <w:t>equity was valued using the asset approach.</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jc w:val="both"/>
        <w:rPr>
          <w:rFonts w:ascii="Times New Roman" w:hAnsi="Times New Roman"/>
          <w:color w:val="000000"/>
          <w:sz w:val="14"/>
        </w:rPr>
      </w:pPr>
      <w:r>
        <w:rPr>
          <w:rFonts w:ascii="Times New Roman" w:hAnsi="Times New Roman"/>
          <w:color w:val="000000"/>
          <w:sz w:val="14"/>
        </w:rPr>
        <w:t>The weighted averages disclosed in the table above were weighted by their relative fair value.</w:t>
      </w:r>
    </w:p>
    <w:p>
      <w:pPr>
        <w:pStyle w:val="TextBody"/>
        <w:bidi w:val="0"/>
        <w:spacing w:before="120" w:after="283"/>
        <w:jc w:val="both"/>
        <w:rPr>
          <w:rFonts w:ascii="Times New Roman" w:hAnsi="Times New Roman"/>
          <w:sz w:val="20"/>
        </w:rPr>
      </w:pPr>
      <w:r>
        <w:rPr>
          <w:rFonts w:ascii="Times New Roman" w:hAnsi="Times New Roman"/>
          <w:color w:val="000000"/>
          <w:sz w:val="16"/>
        </w:rPr>
        <w:t>The significant unobservable inputs used in the valuation of the Company’s investments are required rate of return, EBITDA multiples, revenue multiples, discount margin, stock price, projected time to exit and volatility. Changes in any of these unobservable inputs could have a significant impact on the Company’s estimate of fair value. An increase (decrease) in the required rate of return or discount margin will result in a lower (higher) estimate of fair value, respectively, while an increase (decrease) in adjusted EBITDA or revenue multiples, stock price, projected time to exit (option-pricing model) or volatility will result in a higher (lower) estimate of fair value, respectively.</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16"/>
        </w:rPr>
      </w:pPr>
      <w:r>
        <w:rPr>
          <w:rFonts w:ascii="Times New Roman" w:hAnsi="Times New Roman"/>
          <w:b/>
          <w:i/>
          <w:color w:val="000000"/>
          <w:sz w:val="16"/>
        </w:rPr>
        <w:t>Great Lakes Funding II LLC</w:t>
      </w:r>
    </w:p>
    <w:p>
      <w:pPr>
        <w:pStyle w:val="TextBody"/>
        <w:bidi w:val="0"/>
        <w:spacing w:before="120" w:after="283"/>
        <w:jc w:val="both"/>
        <w:rPr>
          <w:rFonts w:ascii="Times New Roman" w:hAnsi="Times New Roman"/>
          <w:sz w:val="20"/>
        </w:rPr>
      </w:pPr>
      <w:r>
        <w:rPr>
          <w:rFonts w:ascii="Times New Roman" w:hAnsi="Times New Roman"/>
          <w:color w:val="000000"/>
          <w:sz w:val="16"/>
        </w:rPr>
        <w:t>In August 2022, the Company invested in the Great Lakes II Joint Venture, a joint venture with an investment strategy to underwrite and hold senior, secured unitranche loans made to middle-market companies. The Company treats its investment in the Great Lakes II Joint Venture as a joint venture since an affiliate of the Investment Adviser controls a 50% voting interest in the Great Lakes II Joint Venture.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Great Lakes II Joint Venture is a Delaware series limited liability company, and pursuant to the terms of the Great Lakes Funding II LLC Limited Liability Company Agreement (the “Great Lakes II LLC Agreement”), prior to the end of the investment period with respect to each series established under the Great Lakes II LLC Agreement, each member of the predecessor series would be offered the opportunity to roll its interests into any subsequent series of the Great Lakes II Joint Venture. The Company does not pay any advisory fees in connection with its investment in the Great Lakes II Joint Venture. Certain other funds managed by the Investment Adviser or its affiliates have also invested in the Great Lakes II Joint Venture.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fair value of the Company’s investment in the Great Lakes II Joint Venture at March 31, 2024 and December 31, 2023 was $0.4</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$0.5</w:t>
      </w:r>
      <w:r>
        <w:rPr>
          <w:rFonts w:ascii="Times New Roman" w:hAnsi="Times New Roman"/>
          <w:color w:val="000000"/>
          <w:sz w:val="20"/>
        </w:rPr>
        <w:t xml:space="preserve"> </w:t>
      </w:r>
      <w:r>
        <w:rPr>
          <w:rFonts w:ascii="Times New Roman" w:hAnsi="Times New Roman"/>
          <w:color w:val="000000"/>
          <w:sz w:val="16"/>
        </w:rPr>
        <w:t>million, respectively. Fair value has been determined utilizing the net asset value as a practical expedient pursuant to U.S. GAAP. Pursuant to the terms of the Great Lakes II LLC Agreement, the Company generally may not effect any direct or indirect sale, transfer, assignment, hypothecation, pledge or other disposition of or encumbrance upon its interests in the Great Lakes II Joint Venture, except that the Company may sell or otherwise transfer its interests with the consent of the managing members of the Great Lakes II Joint Venture or to an affiliate or a successor to substantially all of the assets of the Company.</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As of March 31, 2024, the Company has an unfunded commitment to the Great Lakes II Joint Venture of $0.1</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4. Transactions With Affiliated Companies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During the three months ended March 31, 2024, the Company had investments in portfolio companies designated as affiliates under the 1940 Act. Transactions with affiliates were as follows (dollars in thousands):</w:t>
      </w:r>
    </w:p>
    <w:tbl>
      <w:tblPr>
        <w:tblW w:w="10205" w:type="dxa"/>
        <w:jc w:val="left"/>
        <w:tblInd w:w="0" w:type="dxa"/>
        <w:tblLayout w:type="fixed"/>
        <w:tblCellMar>
          <w:top w:w="28" w:type="dxa"/>
          <w:left w:w="28" w:type="dxa"/>
          <w:bottom w:w="28" w:type="dxa"/>
          <w:right w:w="28" w:type="dxa"/>
        </w:tblCellMar>
      </w:tblPr>
      <w:tblGrid>
        <w:gridCol w:w="1035"/>
        <w:gridCol w:w="146"/>
        <w:gridCol w:w="1170"/>
        <w:gridCol w:w="184"/>
        <w:gridCol w:w="419"/>
        <w:gridCol w:w="146"/>
        <w:gridCol w:w="146"/>
        <w:gridCol w:w="256"/>
        <w:gridCol w:w="538"/>
        <w:gridCol w:w="146"/>
        <w:gridCol w:w="146"/>
        <w:gridCol w:w="186"/>
        <w:gridCol w:w="490"/>
        <w:gridCol w:w="146"/>
        <w:gridCol w:w="146"/>
        <w:gridCol w:w="208"/>
        <w:gridCol w:w="437"/>
        <w:gridCol w:w="146"/>
        <w:gridCol w:w="146"/>
        <w:gridCol w:w="237"/>
        <w:gridCol w:w="498"/>
        <w:gridCol w:w="151"/>
        <w:gridCol w:w="146"/>
        <w:gridCol w:w="194"/>
        <w:gridCol w:w="406"/>
        <w:gridCol w:w="146"/>
        <w:gridCol w:w="146"/>
        <w:gridCol w:w="282"/>
        <w:gridCol w:w="642"/>
        <w:gridCol w:w="151"/>
        <w:gridCol w:w="146"/>
        <w:gridCol w:w="172"/>
        <w:gridCol w:w="452"/>
        <w:gridCol w:w="199"/>
      </w:tblGrid>
      <w:tr>
        <w:trPr/>
        <w:tc>
          <w:tcPr>
            <w:tcW w:w="1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0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6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Amount of Interest, Fees or Dividends Credited to Income</w:t>
            </w:r>
            <w:r>
              <w:rPr>
                <w:rFonts w:ascii="Times New Roman" w:hAnsi="Times New Roman"/>
                <w:b/>
                <w:color w:val="000000"/>
                <w:sz w:val="8"/>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December 31, </w:t>
              <w:br/>
              <w:t>2023</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Additions</w:t>
            </w:r>
            <w:r>
              <w:rPr>
                <w:rFonts w:ascii="Times New Roman" w:hAnsi="Times New Roman"/>
                <w:b/>
                <w:color w:val="000000"/>
                <w:sz w:val="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Reductions</w:t>
            </w:r>
            <w:r>
              <w:rPr>
                <w:rFonts w:ascii="Times New Roman" w:hAnsi="Times New Roman"/>
                <w:b/>
                <w:color w:val="000000"/>
                <w:sz w:val="8"/>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 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Unrealized Appreciation (Depreciation)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March 31, 2024</w:t>
              <w:br/>
              <w:t>Fair Value</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1"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Affiliate investments</w:t>
            </w:r>
          </w:p>
        </w:tc>
        <w:tc>
          <w:tcPr>
            <w:tcW w:w="60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4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24"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4" w:type="dxa"/>
            <w:gridSpan w:val="2"/>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Class A (1,253,198</w:t>
            </w:r>
            <w:r>
              <w:rPr>
                <w:rFonts w:ascii="Times New Roman" w:hAnsi="Times New Roman"/>
                <w:color w:val="000000"/>
                <w:sz w:val="20"/>
              </w:rPr>
              <w:t> </w:t>
            </w:r>
            <w:r>
              <w:rPr>
                <w:rFonts w:ascii="Times New Roman" w:hAnsi="Times New Roman"/>
                <w:color w:val="000000"/>
                <w:sz w:val="12"/>
              </w:rPr>
              <w:t>shares)</w:t>
            </w:r>
          </w:p>
        </w:tc>
        <w:tc>
          <w:tcPr>
            <w:tcW w:w="18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757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3,847</w:t>
            </w:r>
          </w:p>
        </w:tc>
        <w:tc>
          <w:tcPr>
            <w:tcW w:w="199" w:type="dxa"/>
            <w:tcBorders/>
            <w:shd w:fill="FFFFFF" w:val="clear"/>
            <w:vAlign w:val="center"/>
          </w:tcPr>
          <w:p>
            <w:pPr>
              <w:pStyle w:val="TableContents"/>
              <w:bidi w:val="0"/>
              <w:spacing w:before="0" w:after="283"/>
              <w:jc w:val="left"/>
              <w:rPr/>
            </w:pPr>
            <w:r>
              <w:rPr/>
              <w:t> </w:t>
            </w:r>
          </w:p>
        </w:tc>
      </w:tr>
      <w:tr>
        <w:trPr/>
        <w:tc>
          <w:tcPr>
            <w:tcW w:w="103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Class B (1,085,073</w:t>
            </w:r>
            <w:r>
              <w:rPr>
                <w:rFonts w:ascii="Times New Roman" w:hAnsi="Times New Roman"/>
                <w:color w:val="000000"/>
                <w:sz w:val="20"/>
              </w:rPr>
              <w:t> </w:t>
            </w:r>
            <w:r>
              <w:rPr>
                <w:rFonts w:ascii="Times New Roman" w:hAnsi="Times New Roman"/>
                <w:color w:val="000000"/>
                <w:sz w:val="12"/>
              </w:rPr>
              <w:t>shares)</w:t>
            </w:r>
          </w:p>
        </w:tc>
        <w:tc>
          <w:tcPr>
            <w:tcW w:w="184"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2,582</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left"/>
              <w:rPr/>
            </w:pPr>
            <w:r>
              <w:rPr/>
              <w:t> </w:t>
            </w:r>
          </w:p>
        </w:tc>
        <w:tc>
          <w:tcPr>
            <w:tcW w:w="60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6,429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w:t>
            </w:r>
          </w:p>
        </w:tc>
        <w:tc>
          <w:tcPr>
            <w:tcW w:w="146"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A-1 Preferred Stock (1,998</w:t>
            </w:r>
            <w:r>
              <w:rPr>
                <w:rFonts w:ascii="Times New Roman" w:hAnsi="Times New Roman"/>
                <w:color w:val="000000"/>
                <w:sz w:val="20"/>
              </w:rPr>
              <w:t> </w:t>
            </w:r>
            <w:r>
              <w:rPr>
                <w:rFonts w:ascii="Times New Roman" w:hAnsi="Times New Roman"/>
                <w:color w:val="000000"/>
                <w:sz w:val="12"/>
              </w:rPr>
              <w:t>shares)</w:t>
            </w:r>
          </w:p>
        </w:tc>
        <w:tc>
          <w:tcPr>
            <w:tcW w:w="184"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3,772</w:t>
            </w:r>
          </w:p>
        </w:tc>
        <w:tc>
          <w:tcPr>
            <w:tcW w:w="199" w:type="dxa"/>
            <w:tcBorders/>
            <w:shd w:fill="CFF0FC" w:val="cle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w:t>
            </w:r>
          </w:p>
        </w:tc>
        <w:tc>
          <w:tcPr>
            <w:tcW w:w="146"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B-1 Common Stock (200,000</w:t>
            </w:r>
            <w:r>
              <w:rPr>
                <w:rFonts w:ascii="Times New Roman" w:hAnsi="Times New Roman"/>
                <w:color w:val="000000"/>
                <w:sz w:val="20"/>
              </w:rPr>
              <w:t> </w:t>
            </w:r>
            <w:r>
              <w:rPr>
                <w:rFonts w:ascii="Times New Roman" w:hAnsi="Times New Roman"/>
                <w:color w:val="000000"/>
                <w:sz w:val="12"/>
              </w:rPr>
              <w:t>shares)</w:t>
            </w:r>
          </w:p>
        </w:tc>
        <w:tc>
          <w:tcPr>
            <w:tcW w:w="184"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left"/>
              <w:rPr/>
            </w:pPr>
            <w:r>
              <w:rPr/>
              <w:t> </w:t>
            </w:r>
          </w:p>
        </w:tc>
        <w:tc>
          <w:tcPr>
            <w:tcW w:w="60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4,143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Great Lakes Funding II LLC</w:t>
            </w:r>
          </w:p>
        </w:tc>
        <w:tc>
          <w:tcPr>
            <w:tcW w:w="146"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Series A</w:t>
            </w:r>
          </w:p>
        </w:tc>
        <w:tc>
          <w:tcPr>
            <w:tcW w:w="184"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left"/>
              <w:rPr/>
            </w:pPr>
            <w:r>
              <w:rPr/>
              <w:t> </w:t>
            </w:r>
          </w:p>
        </w:tc>
        <w:tc>
          <w:tcPr>
            <w:tcW w:w="60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396</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w:t>
            </w:r>
          </w:p>
        </w:tc>
        <w:tc>
          <w:tcPr>
            <w:tcW w:w="146"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A (400</w:t>
            </w:r>
            <w:r>
              <w:rPr>
                <w:rFonts w:ascii="Times New Roman" w:hAnsi="Times New Roman"/>
                <w:color w:val="000000"/>
                <w:sz w:val="20"/>
              </w:rPr>
              <w:t> </w:t>
            </w:r>
            <w:r>
              <w:rPr>
                <w:rFonts w:ascii="Times New Roman" w:hAnsi="Times New Roman"/>
                <w:color w:val="000000"/>
                <w:sz w:val="12"/>
              </w:rPr>
              <w:t>Units)</w:t>
            </w:r>
          </w:p>
        </w:tc>
        <w:tc>
          <w:tcPr>
            <w:tcW w:w="184"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99" w:type="dxa"/>
            <w:tcBorders/>
            <w:shd w:fill="FFFFFF" w:val="clear"/>
            <w:vAlign w:val="center"/>
          </w:tcPr>
          <w:p>
            <w:pPr>
              <w:pStyle w:val="TableContents"/>
              <w:bidi w:val="0"/>
              <w:spacing w:before="0" w:after="283"/>
              <w:jc w:val="left"/>
              <w:rPr/>
            </w:pPr>
            <w:r>
              <w:rPr/>
              <w:t> </w:t>
            </w:r>
          </w:p>
        </w:tc>
      </w:tr>
      <w:tr>
        <w:trPr/>
        <w:tc>
          <w:tcPr>
            <w:tcW w:w="103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w:t>
            </w:r>
          </w:p>
        </w:tc>
        <w:tc>
          <w:tcPr>
            <w:tcW w:w="146"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M-1 (200</w:t>
            </w:r>
            <w:r>
              <w:rPr>
                <w:rFonts w:ascii="Times New Roman" w:hAnsi="Times New Roman"/>
                <w:color w:val="000000"/>
                <w:sz w:val="20"/>
              </w:rPr>
              <w:t> </w:t>
            </w:r>
            <w:r>
              <w:rPr>
                <w:rFonts w:ascii="Times New Roman" w:hAnsi="Times New Roman"/>
                <w:color w:val="000000"/>
                <w:sz w:val="12"/>
              </w:rPr>
              <w:t>Units)</w:t>
            </w:r>
          </w:p>
        </w:tc>
        <w:tc>
          <w:tcPr>
            <w:tcW w:w="184"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left"/>
              <w:rPr/>
            </w:pPr>
            <w:r>
              <w:rPr/>
              <w:t> </w:t>
            </w:r>
          </w:p>
        </w:tc>
        <w:tc>
          <w:tcPr>
            <w:tcW w:w="60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First Lien Debt (Due</w:t>
            </w:r>
            <w:r>
              <w:rPr>
                <w:rFonts w:ascii="Times New Roman" w:hAnsi="Times New Roman"/>
                <w:color w:val="000000"/>
                <w:sz w:val="20"/>
              </w:rPr>
              <w:t xml:space="preserve"> </w:t>
            </w:r>
            <w:r>
              <w:rPr>
                <w:rFonts w:ascii="Times New Roman" w:hAnsi="Times New Roman"/>
                <w:color w:val="000000"/>
                <w:sz w:val="12"/>
              </w:rPr>
              <w:t>6/28/24)</w:t>
            </w:r>
          </w:p>
        </w:tc>
        <w:tc>
          <w:tcPr>
            <w:tcW w:w="184"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53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49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shd w:fill="CFF0FC" w:val="clear"/>
            <w:vAlign w:val="center"/>
          </w:tcPr>
          <w:p>
            <w:pPr>
              <w:pStyle w:val="TableContents"/>
              <w:bidi w:val="0"/>
              <w:spacing w:before="0" w:after="283"/>
              <w:jc w:val="left"/>
              <w:rPr/>
            </w:pPr>
            <w:r>
              <w:rPr/>
              <w:t> </w:t>
            </w:r>
          </w:p>
        </w:tc>
        <w:tc>
          <w:tcPr>
            <w:tcW w:w="43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498"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left"/>
              <w:rPr/>
            </w:pPr>
            <w:r>
              <w:rPr/>
              <w:t> </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shd w:fill="CFF0FC" w:val="clear"/>
            <w:vAlign w:val="center"/>
          </w:tcPr>
          <w:p>
            <w:pPr>
              <w:pStyle w:val="TableContents"/>
              <w:bidi w:val="0"/>
              <w:spacing w:before="0" w:after="283"/>
              <w:jc w:val="left"/>
              <w:rPr/>
            </w:pPr>
            <w:r>
              <w:rPr/>
              <w:t> </w:t>
            </w:r>
          </w:p>
        </w:tc>
        <w:tc>
          <w:tcPr>
            <w:tcW w:w="64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shd w:fill="CFF0FC" w:val="clear"/>
            <w:vAlign w:val="center"/>
          </w:tcPr>
          <w:p>
            <w:pPr>
              <w:pStyle w:val="TableContents"/>
              <w:bidi w:val="0"/>
              <w:spacing w:before="0" w:after="283"/>
              <w:jc w:val="left"/>
              <w:rPr/>
            </w:pPr>
            <w:r>
              <w:rPr/>
              <w:t> </w:t>
            </w:r>
          </w:p>
        </w:tc>
        <w:tc>
          <w:tcPr>
            <w:tcW w:w="45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2,533</w:t>
            </w:r>
          </w:p>
        </w:tc>
        <w:tc>
          <w:tcPr>
            <w:tcW w:w="199" w:type="dxa"/>
            <w:tcBorders/>
            <w:shd w:fill="CFF0FC" w:val="cle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Second Lien Debt (Cash, Due</w:t>
            </w:r>
            <w:r>
              <w:rPr>
                <w:rFonts w:ascii="Times New Roman" w:hAnsi="Times New Roman"/>
                <w:color w:val="000000"/>
                <w:sz w:val="20"/>
              </w:rPr>
              <w:t xml:space="preserve"> </w:t>
            </w:r>
            <w:r>
              <w:rPr>
                <w:rFonts w:ascii="Times New Roman" w:hAnsi="Times New Roman"/>
                <w:color w:val="000000"/>
                <w:sz w:val="12"/>
              </w:rPr>
              <w:t>6/28/24)</w:t>
            </w:r>
          </w:p>
        </w:tc>
        <w:tc>
          <w:tcPr>
            <w:tcW w:w="184"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53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left"/>
              <w:rPr/>
            </w:pPr>
            <w:r>
              <w:rPr/>
              <w:t> </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45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w:t>
            </w:r>
          </w:p>
        </w:tc>
        <w:tc>
          <w:tcPr>
            <w:tcW w:w="199" w:type="dxa"/>
            <w:tcBorders/>
            <w:shd w:fill="FFFFFF" w:val="clear"/>
            <w:vAlign w:val="center"/>
          </w:tcPr>
          <w:p>
            <w:pPr>
              <w:pStyle w:val="TableContents"/>
              <w:bidi w:val="0"/>
              <w:spacing w:before="0" w:after="283"/>
              <w:jc w:val="left"/>
              <w:rPr/>
            </w:pPr>
            <w:r>
              <w:rPr/>
              <w:t> </w:t>
            </w:r>
          </w:p>
        </w:tc>
      </w:tr>
      <w:tr>
        <w:trPr/>
        <w:tc>
          <w:tcPr>
            <w:tcW w:w="1035"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146"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(1,000</w:t>
            </w:r>
            <w:r>
              <w:rPr>
                <w:rFonts w:ascii="Times New Roman" w:hAnsi="Times New Roman"/>
                <w:color w:val="000000"/>
                <w:sz w:val="20"/>
              </w:rPr>
              <w:t> </w:t>
            </w:r>
            <w:r>
              <w:rPr>
                <w:rFonts w:ascii="Times New Roman" w:hAnsi="Times New Roman"/>
                <w:color w:val="000000"/>
                <w:sz w:val="12"/>
              </w:rPr>
              <w:t>units)</w:t>
            </w:r>
          </w:p>
        </w:tc>
        <w:tc>
          <w:tcPr>
            <w:tcW w:w="184"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710</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left"/>
              <w:rPr/>
            </w:pPr>
            <w:r>
              <w:rPr/>
              <w:t> </w:t>
            </w:r>
          </w:p>
        </w:tc>
        <w:tc>
          <w:tcPr>
            <w:tcW w:w="60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3,603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Nth Degree Investment Group, LLC</w:t>
            </w:r>
          </w:p>
        </w:tc>
        <w:tc>
          <w:tcPr>
            <w:tcW w:w="146"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Membership Units (6,088,000</w:t>
            </w:r>
            <w:r>
              <w:rPr>
                <w:rFonts w:ascii="Times New Roman" w:hAnsi="Times New Roman"/>
                <w:color w:val="000000"/>
                <w:sz w:val="20"/>
              </w:rPr>
              <w:t> </w:t>
            </w:r>
            <w:r>
              <w:rPr>
                <w:rFonts w:ascii="Times New Roman" w:hAnsi="Times New Roman"/>
                <w:color w:val="000000"/>
                <w:sz w:val="12"/>
              </w:rPr>
              <w:t>units)</w:t>
            </w:r>
          </w:p>
        </w:tc>
        <w:tc>
          <w:tcPr>
            <w:tcW w:w="184"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3,845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left"/>
              <w:rPr/>
            </w:pPr>
            <w:r>
              <w:rPr/>
              <w:t> </w:t>
            </w:r>
          </w:p>
        </w:tc>
        <w:tc>
          <w:tcPr>
            <w:tcW w:w="60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3,845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14,185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RAM Payment, LLC</w:t>
            </w:r>
            <w:r>
              <w:rPr>
                <w:rFonts w:ascii="Times New Roman" w:hAnsi="Times New Roman"/>
                <w:color w:val="000000"/>
                <w:sz w:val="8"/>
              </w:rPr>
              <w:t>(5)</w:t>
            </w:r>
          </w:p>
        </w:tc>
        <w:tc>
          <w:tcPr>
            <w:tcW w:w="146"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(86,000</w:t>
            </w:r>
            <w:r>
              <w:rPr>
                <w:rFonts w:ascii="Times New Roman" w:hAnsi="Times New Roman"/>
                <w:color w:val="000000"/>
                <w:sz w:val="20"/>
              </w:rPr>
              <w:t> </w:t>
            </w:r>
            <w:r>
              <w:rPr>
                <w:rFonts w:ascii="Times New Roman" w:hAnsi="Times New Roman"/>
                <w:color w:val="000000"/>
                <w:sz w:val="12"/>
              </w:rPr>
              <w:t>units, 6.00% PIK Dividend)</w:t>
            </w:r>
          </w:p>
        </w:tc>
        <w:tc>
          <w:tcPr>
            <w:tcW w:w="184"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2,267</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left"/>
              <w:rPr/>
            </w:pPr>
            <w:r>
              <w:rPr/>
              <w:t> </w:t>
            </w:r>
          </w:p>
        </w:tc>
        <w:tc>
          <w:tcPr>
            <w:tcW w:w="60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(195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2,267</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(27,396,364</w:t>
            </w:r>
            <w:r>
              <w:rPr>
                <w:rFonts w:ascii="Times New Roman" w:hAnsi="Times New Roman"/>
                <w:color w:val="000000"/>
                <w:sz w:val="20"/>
              </w:rPr>
              <w:t> </w:t>
            </w:r>
            <w:r>
              <w:rPr>
                <w:rFonts w:ascii="Times New Roman" w:hAnsi="Times New Roman"/>
                <w:color w:val="000000"/>
                <w:sz w:val="12"/>
              </w:rPr>
              <w:t>shares)</w:t>
            </w:r>
          </w:p>
        </w:tc>
        <w:tc>
          <w:tcPr>
            <w:tcW w:w="184"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left"/>
              <w:rPr/>
            </w:pPr>
            <w:r>
              <w:rPr/>
              <w:t> </w:t>
            </w:r>
          </w:p>
        </w:tc>
        <w:tc>
          <w:tcPr>
            <w:tcW w:w="60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523</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146" w:type="dxa"/>
            <w:tcBorders/>
            <w:shd w:fill="CFF0FC" w:val="clear"/>
            <w:vAlign w:val="center"/>
          </w:tcPr>
          <w:p>
            <w:pPr>
              <w:pStyle w:val="TableContents"/>
              <w:bidi w:val="0"/>
              <w:spacing w:before="0" w:after="283"/>
              <w:jc w:val="left"/>
              <w:rPr/>
            </w:pPr>
            <w:r>
              <w:rPr/>
              <w:t> </w:t>
            </w:r>
          </w:p>
        </w:tc>
        <w:tc>
          <w:tcPr>
            <w:tcW w:w="1170"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w:t>
            </w:r>
          </w:p>
        </w:tc>
        <w:tc>
          <w:tcPr>
            <w:tcW w:w="184" w:type="dxa"/>
            <w:tcBorders/>
            <w:shd w:fill="CFF0FC" w:val="clear"/>
            <w:vAlign w:val="center"/>
          </w:tcPr>
          <w:p>
            <w:pPr>
              <w:pStyle w:val="TableContents"/>
              <w:bidi w:val="0"/>
              <w:spacing w:before="0" w:after="283"/>
              <w:jc w:val="left"/>
              <w:rPr/>
            </w:pPr>
            <w:r>
              <w:rPr/>
              <w:t> </w:t>
            </w:r>
          </w:p>
        </w:tc>
        <w:tc>
          <w:tcPr>
            <w:tcW w:w="41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505</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70" w:type="dxa"/>
            <w:tcBorders/>
            <w:shd w:fill="FFFFFF" w:val="clear"/>
            <w:vAlign w:val="center"/>
          </w:tcPr>
          <w:p>
            <w:pPr>
              <w:pStyle w:val="TableContents"/>
              <w:bidi w:val="0"/>
              <w:spacing w:before="0" w:after="283"/>
              <w:jc w:val="left"/>
              <w:rPr/>
            </w:pPr>
            <w:r>
              <w:rPr/>
              <w:t> </w:t>
            </w:r>
          </w:p>
        </w:tc>
        <w:tc>
          <w:tcPr>
            <w:tcW w:w="603"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51"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Affiliate investments</w:t>
            </w:r>
          </w:p>
        </w:tc>
        <w:tc>
          <w:tcPr>
            <w:tcW w:w="60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32,320</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Represents the total amount of interest, original issue discount, fees and dividends credited to income for the portion of the year an investment was included in Affiliate or Control categories, respectively.</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(3)</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Gross reductions include decreases in the cost basis of investments resulting from principal repayments and sales. Gross reductions also include transfers out of Affiliate or Control classification.</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(4)</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All debt investments are income producing. Equity and warrant investments are non-income producing, unless otherwise noted.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(5)</w:t>
      </w:r>
    </w:p>
    <w:p>
      <w:pPr>
        <w:pStyle w:val="TextBody"/>
        <w:bidi w:val="0"/>
        <w:jc w:val="both"/>
        <w:rPr>
          <w:rFonts w:ascii="Times New Roman" w:hAnsi="Times New Roman"/>
          <w:color w:val="000000"/>
          <w:sz w:val="14"/>
        </w:rPr>
      </w:pPr>
      <w:r>
        <w:rPr>
          <w:rFonts w:ascii="Times New Roman" w:hAnsi="Times New Roman"/>
          <w:color w:val="000000"/>
          <w:sz w:val="14"/>
        </w:rPr>
        <w:t>The equity investment is income producing, based on rate disclosed.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During the year ended December 31, 2023, the Company had investments in portfolio companies designated as affiliates under the 1940 Act. Transactions with affiliates were as follows (dollars in thousands):</w:t>
      </w:r>
    </w:p>
    <w:tbl>
      <w:tblPr>
        <w:tblW w:w="10205" w:type="dxa"/>
        <w:jc w:val="left"/>
        <w:tblInd w:w="0" w:type="dxa"/>
        <w:tblLayout w:type="fixed"/>
        <w:tblCellMar>
          <w:top w:w="28" w:type="dxa"/>
          <w:left w:w="28" w:type="dxa"/>
          <w:bottom w:w="28" w:type="dxa"/>
          <w:right w:w="28" w:type="dxa"/>
        </w:tblCellMar>
      </w:tblPr>
      <w:tblGrid>
        <w:gridCol w:w="1005"/>
        <w:gridCol w:w="146"/>
        <w:gridCol w:w="1189"/>
        <w:gridCol w:w="146"/>
        <w:gridCol w:w="179"/>
        <w:gridCol w:w="410"/>
        <w:gridCol w:w="146"/>
        <w:gridCol w:w="146"/>
        <w:gridCol w:w="230"/>
        <w:gridCol w:w="484"/>
        <w:gridCol w:w="151"/>
        <w:gridCol w:w="146"/>
        <w:gridCol w:w="184"/>
        <w:gridCol w:w="485"/>
        <w:gridCol w:w="146"/>
        <w:gridCol w:w="146"/>
        <w:gridCol w:w="204"/>
        <w:gridCol w:w="428"/>
        <w:gridCol w:w="146"/>
        <w:gridCol w:w="146"/>
        <w:gridCol w:w="203"/>
        <w:gridCol w:w="519"/>
        <w:gridCol w:w="151"/>
        <w:gridCol w:w="146"/>
        <w:gridCol w:w="188"/>
        <w:gridCol w:w="393"/>
        <w:gridCol w:w="146"/>
        <w:gridCol w:w="146"/>
        <w:gridCol w:w="249"/>
        <w:gridCol w:w="634"/>
        <w:gridCol w:w="151"/>
        <w:gridCol w:w="146"/>
        <w:gridCol w:w="184"/>
        <w:gridCol w:w="484"/>
        <w:gridCol w:w="202"/>
      </w:tblGrid>
      <w:tr>
        <w:trPr/>
        <w:tc>
          <w:tcPr>
            <w:tcW w:w="1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0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Company</w:t>
            </w:r>
            <w:r>
              <w:rPr>
                <w:rFonts w:ascii="Times New Roman" w:hAnsi="Times New Roman"/>
                <w:b/>
                <w:color w:val="000000"/>
                <w:sz w:val="8"/>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Type of Investment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Principal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Amount of Interest, Fees or Dividends Credited to Income</w:t>
            </w:r>
            <w:r>
              <w:rPr>
                <w:rFonts w:ascii="Times New Roman" w:hAnsi="Times New Roman"/>
                <w:b/>
                <w:color w:val="000000"/>
                <w:sz w:val="8"/>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 xml:space="preserve">December 31, </w:t>
              <w:br/>
              <w:t>2022</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Additions</w:t>
            </w:r>
            <w:r>
              <w:rPr>
                <w:rFonts w:ascii="Times New Roman" w:hAnsi="Times New Roman"/>
                <w:b/>
                <w:color w:val="000000"/>
                <w:sz w:val="8"/>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2"/>
              </w:rPr>
            </w:pPr>
            <w:r>
              <w:rPr>
                <w:rFonts w:ascii="Times New Roman" w:hAnsi="Times New Roman"/>
                <w:b/>
                <w:color w:val="000000"/>
                <w:sz w:val="12"/>
              </w:rPr>
              <w:t>Gross Reductions</w:t>
            </w:r>
            <w:r>
              <w:rPr>
                <w:rFonts w:ascii="Times New Roman" w:hAnsi="Times New Roman"/>
                <w:b/>
                <w:color w:val="000000"/>
                <w:sz w:val="8"/>
              </w:rPr>
              <w:t>(3)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Realized Gain/(Loss)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Unrealized Appreciation (Depreciation)</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December 31,</w:t>
              <w:br/>
              <w:t>2023</w:t>
              <w:br/>
              <w:t>Fair Value</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0"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Affiliate investments</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4"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22"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3" w:type="dxa"/>
            <w:gridSpan w:val="2"/>
            <w:tcBorders/>
            <w:shd w:fill="CFF0FC" w:val="clear"/>
            <w:vAlign w:val="center"/>
          </w:tcPr>
          <w:p>
            <w:pPr>
              <w:pStyle w:val="TableContents"/>
              <w:bidi w:val="0"/>
              <w:spacing w:before="0" w:after="283"/>
              <w:jc w:val="left"/>
              <w:rPr/>
            </w:pPr>
            <w:r>
              <w:rPr/>
              <w:t> </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68" w:type="dxa"/>
            <w:gridSpan w:val="2"/>
            <w:tcBorders/>
            <w:shd w:fill="CFF0FC" w:val="clear"/>
            <w:vAlign w:val="center"/>
          </w:tcPr>
          <w:p>
            <w:pPr>
              <w:pStyle w:val="TableContents"/>
              <w:bidi w:val="0"/>
              <w:spacing w:before="0" w:after="283"/>
              <w:jc w:val="left"/>
              <w:rPr/>
            </w:pPr>
            <w:r>
              <w:rPr/>
              <w:t> </w:t>
            </w:r>
          </w:p>
        </w:tc>
        <w:tc>
          <w:tcPr>
            <w:tcW w:w="202" w:type="dxa"/>
            <w:tcBorders/>
            <w:shd w:fill="CFF0FC" w:val="cle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Class A (1,253,198</w:t>
            </w:r>
            <w:r>
              <w:rPr>
                <w:rFonts w:ascii="Times New Roman" w:hAnsi="Times New Roman"/>
                <w:color w:val="000000"/>
                <w:sz w:val="20"/>
              </w:rPr>
              <w:t> </w:t>
            </w:r>
            <w:r>
              <w:rPr>
                <w:rFonts w:ascii="Times New Roman" w:hAnsi="Times New Roman"/>
                <w:color w:val="000000"/>
                <w:sz w:val="12"/>
              </w:rPr>
              <w:t>shares)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288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3,090</w:t>
            </w:r>
          </w:p>
        </w:tc>
        <w:tc>
          <w:tcPr>
            <w:tcW w:w="202" w:type="dxa"/>
            <w:tcBorders/>
            <w:shd w:fill="FFFFFF" w:val="cle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Burgaflex Holdings, LLC</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Class B (1,085,073</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2,420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518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5,510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A-1 Preferred Stock (1,998</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3,540</w:t>
            </w:r>
          </w:p>
        </w:tc>
        <w:tc>
          <w:tcPr>
            <w:tcW w:w="202" w:type="dxa"/>
            <w:tcBorders/>
            <w:shd w:fill="CFF0FC" w:val="cle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GA Communications, Inc.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B-1 Common Stock (200,000</w:t>
            </w:r>
            <w:r>
              <w:rPr>
                <w:rFonts w:ascii="Times New Roman" w:hAnsi="Times New Roman"/>
                <w:color w:val="000000"/>
                <w:sz w:val="20"/>
              </w:rPr>
              <w:t> </w:t>
            </w:r>
            <w:r>
              <w:rPr>
                <w:rFonts w:ascii="Times New Roman" w:hAnsi="Times New Roman"/>
                <w:color w:val="000000"/>
                <w:sz w:val="12"/>
              </w:rPr>
              <w:t>shares)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620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599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Great Lakes Funding II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Series A</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A (400</w:t>
            </w:r>
            <w:r>
              <w:rPr>
                <w:rFonts w:ascii="Times New Roman" w:hAnsi="Times New Roman"/>
                <w:color w:val="000000"/>
                <w:sz w:val="20"/>
              </w:rPr>
              <w:t> </w:t>
            </w:r>
            <w:r>
              <w:rPr>
                <w:rFonts w:ascii="Times New Roman" w:hAnsi="Times New Roman"/>
                <w:color w:val="000000"/>
                <w:sz w:val="12"/>
              </w:rPr>
              <w:t>Units)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200</w:t>
            </w:r>
          </w:p>
        </w:tc>
        <w:tc>
          <w:tcPr>
            <w:tcW w:w="202" w:type="dxa"/>
            <w:tcBorders/>
            <w:shd w:fill="FFFFFF" w:val="cle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GreenPark Infrastructure, LLC</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Series M-1 (200</w:t>
            </w:r>
            <w:r>
              <w:rPr>
                <w:rFonts w:ascii="Times New Roman" w:hAnsi="Times New Roman"/>
                <w:color w:val="000000"/>
                <w:sz w:val="20"/>
              </w:rPr>
              <w:t> </w:t>
            </w:r>
            <w:r>
              <w:rPr>
                <w:rFonts w:ascii="Times New Roman" w:hAnsi="Times New Roman"/>
                <w:color w:val="000000"/>
                <w:sz w:val="12"/>
              </w:rPr>
              <w:t>Units)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269</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 (12.00% Cash, Due 6/28/24)</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2,514</w:t>
            </w:r>
          </w:p>
        </w:tc>
        <w:tc>
          <w:tcPr>
            <w:tcW w:w="202" w:type="dxa"/>
            <w:tcBorders/>
            <w:shd w:fill="CFF0FC" w:val="cle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 (6.00% Cash, Due 6/28/24)</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(60</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352</w:t>
            </w:r>
          </w:p>
        </w:tc>
        <w:tc>
          <w:tcPr>
            <w:tcW w:w="202" w:type="dxa"/>
            <w:tcBorders/>
            <w:shd w:fill="FFFFFF" w:val="cle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MMI Holdings, LLC</w:t>
            </w:r>
            <w:r>
              <w:rPr>
                <w:rFonts w:ascii="Times New Roman" w:hAnsi="Times New Roman"/>
                <w:color w:val="000000"/>
                <w:sz w:val="8"/>
              </w:rPr>
              <w:t>(5)</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(1,000</w:t>
            </w:r>
            <w:r>
              <w:rPr>
                <w:rFonts w:ascii="Times New Roman" w:hAnsi="Times New Roman"/>
                <w:color w:val="000000"/>
                <w:sz w:val="20"/>
              </w:rPr>
              <w:t> </w:t>
            </w:r>
            <w:r>
              <w:rPr>
                <w:rFonts w:ascii="Times New Roman" w:hAnsi="Times New Roman"/>
                <w:color w:val="000000"/>
                <w:sz w:val="12"/>
              </w:rPr>
              <w:t>units, 8.00% PIK Dividend)</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(895</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559</w:t>
            </w:r>
          </w:p>
        </w:tc>
        <w:tc>
          <w:tcPr>
            <w:tcW w:w="202" w:type="dxa"/>
            <w:tcBorders/>
            <w:shd w:fill="CFF0FC" w:val="cle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MMI Holdings,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Membership Units (45</w:t>
            </w:r>
            <w:r>
              <w:rPr>
                <w:rFonts w:ascii="Times New Roman" w:hAnsi="Times New Roman"/>
                <w:color w:val="000000"/>
                <w:sz w:val="20"/>
              </w:rPr>
              <w:t> </w:t>
            </w:r>
            <w:r>
              <w:rPr>
                <w:rFonts w:ascii="Times New Roman" w:hAnsi="Times New Roman"/>
                <w:color w:val="000000"/>
                <w:sz w:val="12"/>
              </w:rPr>
              <w:t>units)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(235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Nth Degree Investment Group,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Membership Units (6,088,000</w:t>
            </w:r>
            <w:r>
              <w:rPr>
                <w:rFonts w:ascii="Times New Roman" w:hAnsi="Times New Roman"/>
                <w:color w:val="000000"/>
                <w:sz w:val="20"/>
              </w:rPr>
              <w:t> </w:t>
            </w:r>
            <w:r>
              <w:rPr>
                <w:rFonts w:ascii="Times New Roman" w:hAnsi="Times New Roman"/>
                <w:color w:val="000000"/>
                <w:sz w:val="12"/>
              </w:rPr>
              <w:t>units)</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5,320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5,020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10,340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 (10.43% Cash (1 month LIBOR + 5.00%), 1.50% Floor), Due 1/4/24)</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(939</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RAM Payment, LLC</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First Lien Debt (13.76% Cash, Due 1/4/24)</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132</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pPr>
            <w:r>
              <w:rPr/>
              <w:t> </w:t>
            </w:r>
          </w:p>
        </w:tc>
        <w:tc>
          <w:tcPr>
            <w:tcW w:w="42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shd w:fill="CFF0FC" w:val="clear"/>
            <w:vAlign w:val="center"/>
          </w:tcPr>
          <w:p>
            <w:pPr>
              <w:pStyle w:val="TableContents"/>
              <w:bidi w:val="0"/>
              <w:spacing w:before="0" w:after="283"/>
              <w:jc w:val="left"/>
              <w:rPr/>
            </w:pPr>
            <w:r>
              <w:rPr/>
              <w:t> </w:t>
            </w:r>
          </w:p>
        </w:tc>
        <w:tc>
          <w:tcPr>
            <w:tcW w:w="51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(2,547</w:t>
            </w:r>
          </w:p>
        </w:tc>
        <w:tc>
          <w:tcPr>
            <w:tcW w:w="151"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3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634"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shd w:fill="CFF0FC" w:val="clear"/>
            <w:vAlign w:val="center"/>
          </w:tcPr>
          <w:p>
            <w:pPr>
              <w:pStyle w:val="TableContents"/>
              <w:bidi w:val="0"/>
              <w:spacing w:before="0" w:after="283"/>
              <w:jc w:val="left"/>
              <w:rPr/>
            </w:pPr>
            <w:r>
              <w:rPr/>
              <w:t> </w:t>
            </w:r>
          </w:p>
        </w:tc>
        <w:tc>
          <w:tcPr>
            <w:tcW w:w="484" w:type="dxa"/>
            <w:tcBorders/>
            <w:shd w:fill="CFF0FC" w:val="clear"/>
            <w:vAlign w:val="center"/>
          </w:tcPr>
          <w:p>
            <w:pPr>
              <w:pStyle w:val="TableContents"/>
              <w:bidi w:val="0"/>
              <w:spacing w:before="0" w:after="283"/>
              <w:jc w:val="right"/>
              <w:rPr>
                <w:color w:val="000000"/>
              </w:rPr>
            </w:pPr>
            <w:r>
              <w:rPr>
                <w:color w:val="000000"/>
              </w:rPr>
              <w:t>—</w:t>
            </w:r>
          </w:p>
        </w:tc>
        <w:tc>
          <w:tcPr>
            <w:tcW w:w="202" w:type="dxa"/>
            <w:tcBorders/>
            <w:shd w:fill="CFF0FC" w:val="cle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sz w:val="12"/>
              </w:rPr>
            </w:pPr>
            <w:r>
              <w:rPr>
                <w:rFonts w:ascii="Times New Roman" w:hAnsi="Times New Roman"/>
                <w:color w:val="000000"/>
                <w:sz w:val="12"/>
              </w:rPr>
              <w:t>RAM Payment, LLC</w:t>
            </w:r>
            <w:r>
              <w:rPr>
                <w:rFonts w:ascii="Times New Roman" w:hAnsi="Times New Roman"/>
                <w:color w:val="000000"/>
                <w:sz w:val="8"/>
              </w:rPr>
              <w:t>(5)</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Preferred Units (86,000</w:t>
            </w:r>
            <w:r>
              <w:rPr>
                <w:rFonts w:ascii="Times New Roman" w:hAnsi="Times New Roman"/>
                <w:color w:val="000000"/>
                <w:sz w:val="20"/>
              </w:rPr>
              <w:t> </w:t>
            </w:r>
            <w:r>
              <w:rPr>
                <w:rFonts w:ascii="Times New Roman" w:hAnsi="Times New Roman"/>
                <w:color w:val="000000"/>
                <w:sz w:val="12"/>
              </w:rPr>
              <w:t>units, 6.00% PIK Dividend)</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(3,730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2,445</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 (15.00% PIK, Due 9/12/23)</w:t>
            </w:r>
          </w:p>
        </w:tc>
        <w:tc>
          <w:tcPr>
            <w:tcW w:w="14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4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42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shd w:fill="FFFFFF" w:val="clear"/>
            <w:vAlign w:val="center"/>
          </w:tcPr>
          <w:p>
            <w:pPr>
              <w:pStyle w:val="TableContents"/>
              <w:bidi w:val="0"/>
              <w:spacing w:before="0" w:after="283"/>
              <w:jc w:val="left"/>
              <w:rPr/>
            </w:pPr>
            <w:r>
              <w:rPr/>
              <w:t> </w:t>
            </w:r>
          </w:p>
        </w:tc>
        <w:tc>
          <w:tcPr>
            <w:tcW w:w="51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3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634"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484" w:type="dxa"/>
            <w:tcBorders/>
            <w:shd w:fill="FFFFFF" w:val="clear"/>
            <w:vAlign w:val="center"/>
          </w:tcPr>
          <w:p>
            <w:pPr>
              <w:pStyle w:val="TableContents"/>
              <w:bidi w:val="0"/>
              <w:spacing w:before="0" w:after="283"/>
              <w:jc w:val="right"/>
              <w:rPr>
                <w:color w:val="000000"/>
              </w:rPr>
            </w:pPr>
            <w:r>
              <w:rPr>
                <w:color w:val="000000"/>
              </w:rPr>
              <w:t>—</w:t>
            </w:r>
          </w:p>
        </w:tc>
        <w:tc>
          <w:tcPr>
            <w:tcW w:w="202" w:type="dxa"/>
            <w:tcBorders/>
            <w:shd w:fill="FFFFFF" w:val="cle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Sierra Hamilton Holdings Corporation</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2"/>
              </w:rPr>
              <w:t>Common Stock (27,396,364</w:t>
            </w:r>
            <w:r>
              <w:rPr>
                <w:rFonts w:ascii="Times New Roman" w:hAnsi="Times New Roman"/>
                <w:color w:val="000000"/>
                <w:sz w:val="20"/>
              </w:rPr>
              <w:t> </w:t>
            </w:r>
            <w:r>
              <w:rPr>
                <w:rFonts w:ascii="Times New Roman" w:hAnsi="Times New Roman"/>
                <w:color w:val="000000"/>
                <w:sz w:val="12"/>
              </w:rPr>
              <w:t>shares)</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416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670</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V12 Holdings, Inc.</w:t>
            </w:r>
          </w:p>
        </w:tc>
        <w:tc>
          <w:tcPr>
            <w:tcW w:w="146" w:type="dxa"/>
            <w:tcBorders/>
            <w:shd w:fill="CFF0FC" w:val="clear"/>
            <w:vAlign w:val="center"/>
          </w:tcPr>
          <w:p>
            <w:pPr>
              <w:pStyle w:val="TableContents"/>
              <w:bidi w:val="0"/>
              <w:spacing w:before="0" w:after="283"/>
              <w:jc w:val="left"/>
              <w:rPr/>
            </w:pPr>
            <w:r>
              <w:rPr/>
              <w:t> </w:t>
            </w:r>
          </w:p>
        </w:tc>
        <w:tc>
          <w:tcPr>
            <w:tcW w:w="1189"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Second Lien Debt</w:t>
            </w:r>
          </w:p>
        </w:tc>
        <w:tc>
          <w:tcPr>
            <w:tcW w:w="14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410"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9"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509</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40" w:type="dxa"/>
            <w:gridSpan w:val="3"/>
            <w:tcBorders/>
            <w:shd w:fill="CFF0FC" w:val="clear"/>
            <w:vAlign w:val="center"/>
          </w:tcPr>
          <w:p>
            <w:pPr>
              <w:pStyle w:val="TableContents"/>
              <w:bidi w:val="0"/>
              <w:spacing w:before="0" w:after="283"/>
              <w:jc w:val="left"/>
              <w:rPr>
                <w:rFonts w:ascii="Times New Roman" w:hAnsi="Times New Roman"/>
                <w:b/>
                <w:i/>
                <w:color w:val="000000"/>
                <w:sz w:val="12"/>
                <w:u w:val="single"/>
              </w:rPr>
            </w:pPr>
            <w:r>
              <w:rPr>
                <w:rFonts w:ascii="Times New Roman" w:hAnsi="Times New Roman"/>
                <w:b/>
                <w:i/>
                <w:color w:val="000000"/>
                <w:sz w:val="12"/>
                <w:u w:val="single"/>
              </w:rPr>
              <w:t>Total Affiliate investments</w:t>
            </w:r>
          </w:p>
        </w:tc>
        <w:tc>
          <w:tcPr>
            <w:tcW w:w="146" w:type="dxa"/>
            <w:tcBorders/>
            <w:shd w:fill="CFF0FC" w:val="clear"/>
            <w:vAlign w:val="center"/>
          </w:tcPr>
          <w:p>
            <w:pPr>
              <w:pStyle w:val="TableContents"/>
              <w:bidi w:val="0"/>
              <w:spacing w:before="0" w:after="283"/>
              <w:jc w:val="left"/>
              <w:rPr/>
            </w:pPr>
            <w:r>
              <w:rPr/>
              <w:t> </w:t>
            </w:r>
          </w:p>
        </w:tc>
        <w:tc>
          <w:tcPr>
            <w:tcW w:w="589"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26,324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5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(3,791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4,989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27,778</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Represents the total amount of interest, original issue discount, fees and dividends credited to income for the portion of the year an investment was included in Affiliate or Control categories, respectively.</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(3)</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Gross reductions include decreases in the cost basis of investments resulting from principal repayments and sales. Gross reductions also include transfers out of Affiliate or Control classification.</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(4)</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All debt investments are income producing. Equity and warrant investments are non-income producing, unless otherwise noted.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(5)</w:t>
      </w:r>
    </w:p>
    <w:p>
      <w:pPr>
        <w:pStyle w:val="TextBody"/>
        <w:bidi w:val="0"/>
        <w:jc w:val="both"/>
        <w:rPr>
          <w:rFonts w:ascii="Times New Roman" w:hAnsi="Times New Roman"/>
          <w:color w:val="000000"/>
          <w:sz w:val="14"/>
        </w:rPr>
      </w:pPr>
      <w:r>
        <w:rPr>
          <w:rFonts w:ascii="Times New Roman" w:hAnsi="Times New Roman"/>
          <w:color w:val="000000"/>
          <w:sz w:val="14"/>
        </w:rPr>
        <w:t>The equity investment is income producing, based on rate disclosed.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240" w:after="120"/>
        <w:jc w:val="left"/>
        <w:rPr>
          <w:rFonts w:ascii="Times New Roman" w:hAnsi="Times New Roman"/>
          <w:b/>
          <w:color w:val="000000"/>
          <w:sz w:val="16"/>
        </w:rPr>
      </w:pPr>
      <w:r>
        <w:rPr>
          <w:rFonts w:ascii="Times New Roman" w:hAnsi="Times New Roman"/>
          <w:b/>
          <w:color w:val="000000"/>
          <w:sz w:val="16"/>
        </w:rPr>
        <w:t>Note 5. Agreements and Related Party Transactions</w:t>
      </w:r>
    </w:p>
    <w:p>
      <w:pPr>
        <w:pStyle w:val="TextBody"/>
        <w:bidi w:val="0"/>
        <w:spacing w:before="240" w:after="120"/>
        <w:jc w:val="left"/>
        <w:rPr>
          <w:rFonts w:ascii="Times New Roman" w:hAnsi="Times New Roman"/>
          <w:i/>
          <w:color w:val="000000"/>
          <w:sz w:val="16"/>
        </w:rPr>
      </w:pPr>
      <w:r>
        <w:rPr>
          <w:rFonts w:ascii="Times New Roman" w:hAnsi="Times New Roman"/>
          <w:i/>
          <w:color w:val="000000"/>
          <w:sz w:val="16"/>
        </w:rPr>
        <w:t>Investment Advisory Agreement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July 1, 2021, the Company entered into the Investment Advisory Agreement with the Investment Adviser, which was approved by the Company’s stockholders on May 27, 2021. Unless earlier terminated in accordance with its terms, the Investment Advisory Agreement will remain in effect from year to year if approved annually by the Board or by a majority of our Independent Directors. The Board most recently approved the renewal of the Investment Advisory Agreement at a meeting on May 7, 2024. Subject to the overall supervision of the Board, the Investment Adviser manages our day-to-day operations and provides investment advisory and management services to us. Under the terms of the Investment Advisory Agreement, the Investment Adviser: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determines the composition of our portfolio, the nature and timing of the changes to our portfolio, and the manner of implementing such changes;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identifies, evaluates, and negotiates the structure of the investments we make (including performing due diligence on our prospective portfolio companies);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closes and monitors the investments we make; and</w:t>
      </w:r>
    </w:p>
    <w:p>
      <w:pPr>
        <w:pStyle w:val="TextBody"/>
        <w:bidi w:val="0"/>
        <w:spacing w:before="120" w:after="283"/>
        <w:jc w:val="both"/>
        <w:rPr>
          <w:rFonts w:ascii="Times New Roman" w:hAnsi="Times New Roman"/>
          <w:sz w:val="20"/>
        </w:rPr>
      </w:pPr>
      <w:r>
        <w:rPr>
          <w:rFonts w:ascii="Times New Roman" w:hAnsi="Times New Roman"/>
          <w:color w:val="000000"/>
          <w:sz w:val="16"/>
        </w:rPr>
        <w:t> provides us with other investment advisory, research, and related services as we may from time to time require.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Investment Adviser’s services under the Investment Advisory Agreement are not exclusive, and it is free to furnish similar services to other entities so long as its services to us are not impaired.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Investment Advisory Agreement provides that, absent willful misfeasance, bad faith, or negligence in the performance of its duties or by reason of the reckless disregard of its duties and obligations, the Investment Adviser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Adviser’s services under the Investment Advisory Agreement or otherwise as Investment Adviser for the Company.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Pursuant to the Investment Advisory Agreement, the Company has agreed to pay the Investment Adviser a fee for investment advisory and management services consisting of two components — a base management fee and an incentive fee.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incentive fee consists of the following two parts:</w:t>
      </w:r>
    </w:p>
    <w:p>
      <w:pPr>
        <w:pStyle w:val="TextBody"/>
        <w:bidi w:val="0"/>
        <w:spacing w:before="120" w:after="283"/>
        <w:jc w:val="both"/>
        <w:rPr>
          <w:rFonts w:ascii="Times New Roman" w:hAnsi="Times New Roman"/>
          <w:sz w:val="20"/>
        </w:rPr>
      </w:pPr>
      <w:r>
        <w:rPr>
          <w:rFonts w:ascii="Times New Roman" w:hAnsi="Times New Roman"/>
          <w:color w:val="000000"/>
          <w:sz w:val="16"/>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Adviser an incentive fee with respect to the pre-incentive fee net investment income in each calendar quarter as follows: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no incentive fee in any calendar quarter in which the pre-incentive fee net investment income does not exceed the hurdle of 2.0%;</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Adviser with 20% of the pre-incentive fee net investment income as if a hurdle did not apply if this net investment income exceeds 2.5% in any calendar quarter; and</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20% of the amount of the pre-incentive fee net investment income, if any, that exceeds 2.5% in any calendar quarter (10.0% annualized) is payable to the Investment Adviser (once the hurdle is reached and the catch-up is achieved, 20% of all pre-incentive fee investment income thereafter is allocated to the Investment Adviser).</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second part of the incentive fee is determined and payable in arrears as of the end of each calendar year, commencing on December 31, 2021, and equals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are excluded from the calculations of the capital gains fee. In the event that the Investment Advisory Agreement terminates as of a date that is not a calendar year end, the termination date shall be treated as though it were a calendar year end for purposes of calculating and paying a capital gains fee.</w:t>
      </w:r>
    </w:p>
    <w:p>
      <w:pPr>
        <w:pStyle w:val="TextBody"/>
        <w:bidi w:val="0"/>
        <w:spacing w:before="120" w:after="283"/>
        <w:jc w:val="both"/>
        <w:rPr>
          <w:rFonts w:ascii="Times New Roman" w:hAnsi="Times New Roman"/>
          <w:sz w:val="20"/>
        </w:rPr>
      </w:pPr>
      <w:r>
        <w:rPr>
          <w:rFonts w:ascii="Times New Roman" w:hAnsi="Times New Roman"/>
          <w:color w:val="000000"/>
          <w:sz w:val="16"/>
        </w:rPr>
        <w:t>The Company will defer cash payment of the portion of any incentive fee otherwise earned by the Investment Adviser that would, when taken together with all other incentive fees paid to the Investment Adviser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such payment is payable under the Investment Advisory Agreement. As of March 31, 2024 and December 31, 2023, the Company did not have incentive fees payable to the Investment Adviser related to fees earned in prior years but deferred under the incentive fee deferral mechanism.</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part of the Transaction, the Investment Adviser entered into the Fee Waiver with the Company to waive, to the extent necessary, any capital gains fee under the Investment Advisory Agreement that exceeds what would have been paid to Capitala in the aggregate over such two-year period under the prior advisory agreement. The Fee Waiver expired at the end of the two-year period.</w:t>
      </w:r>
    </w:p>
    <w:p>
      <w:pPr>
        <w:pStyle w:val="TextBody"/>
        <w:bidi w:val="0"/>
        <w:spacing w:before="120" w:after="283"/>
        <w:jc w:val="both"/>
        <w:rPr>
          <w:rFonts w:ascii="Times New Roman" w:hAnsi="Times New Roman"/>
          <w:sz w:val="20"/>
        </w:rPr>
      </w:pPr>
      <w:r>
        <w:rPr>
          <w:rFonts w:ascii="Times New Roman" w:hAnsi="Times New Roman"/>
          <w:color w:val="000000"/>
          <w:sz w:val="16"/>
        </w:rPr>
        <w:t>For the three months ended March 31, 2024 and 2023, the Company incurred $0.9</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$0.9</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base management fees, respectively. The Company did not an earn incentive fee related to pre-incentive fee net investment income or capital gains for the three months ended March 31, 2024 and 2023.</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As of March 31, 2024 and December 31, 2023, the Company had $0.9</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$0.9</w:t>
      </w:r>
      <w:r>
        <w:rPr>
          <w:rFonts w:ascii="Times New Roman" w:hAnsi="Times New Roman"/>
          <w:color w:val="000000"/>
          <w:sz w:val="20"/>
        </w:rPr>
        <w:t xml:space="preserve"> </w:t>
      </w:r>
      <w:r>
        <w:rPr>
          <w:rFonts w:ascii="Times New Roman" w:hAnsi="Times New Roman"/>
          <w:color w:val="000000"/>
          <w:sz w:val="16"/>
        </w:rPr>
        <w:t>million, respectively, of management and incentive fees payable to the Investment Adviser. These amounts are reflected in the accompanying consolidated statements of assets and liabilities under the caption “Management and incentive fees payable.”</w:t>
      </w:r>
    </w:p>
    <w:p>
      <w:pPr>
        <w:pStyle w:val="TextBody"/>
        <w:bidi w:val="0"/>
        <w:spacing w:before="120" w:after="283"/>
        <w:jc w:val="both"/>
        <w:rPr>
          <w:rFonts w:ascii="Times New Roman" w:hAnsi="Times New Roman"/>
          <w:i/>
          <w:color w:val="000000"/>
          <w:sz w:val="16"/>
        </w:rPr>
      </w:pPr>
      <w:r>
        <w:rPr>
          <w:rFonts w:ascii="Times New Roman" w:hAnsi="Times New Roman"/>
          <w:i/>
          <w:color w:val="000000"/>
          <w:sz w:val="16"/>
        </w:rPr>
        <w:t>Administration Agreement</w:t>
      </w:r>
    </w:p>
    <w:p>
      <w:pPr>
        <w:pStyle w:val="TextBody"/>
        <w:bidi w:val="0"/>
        <w:spacing w:before="120" w:after="120"/>
        <w:jc w:val="both"/>
        <w:rPr>
          <w:rFonts w:ascii="Times New Roman" w:hAnsi="Times New Roman"/>
          <w:sz w:val="20"/>
        </w:rPr>
      </w:pPr>
      <w:r>
        <w:rPr>
          <w:rFonts w:ascii="Times New Roman" w:hAnsi="Times New Roman"/>
          <w:color w:val="000000"/>
          <w:sz w:val="16"/>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was renewed on May 9, 2023 for a period of one year effective July 1, 2023 and will remain in effect until July 1, 2024. It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pStyle w:val="TextBody"/>
        <w:bidi w:val="0"/>
        <w:spacing w:before="120" w:after="283"/>
        <w:jc w:val="both"/>
        <w:rPr>
          <w:rFonts w:ascii="Times New Roman" w:hAnsi="Times New Roman"/>
          <w:sz w:val="20"/>
        </w:rPr>
      </w:pPr>
      <w:r>
        <w:rPr>
          <w:rFonts w:ascii="Times New Roman" w:hAnsi="Times New Roman"/>
          <w:color w:val="000000"/>
          <w:sz w:val="16"/>
        </w:rPr>
        <w:t>For the three months ended March 31, 2024 and 2023, the Company accrued $0.2</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$0.3</w:t>
      </w:r>
      <w:r>
        <w:rPr>
          <w:rFonts w:ascii="Times New Roman" w:hAnsi="Times New Roman"/>
          <w:color w:val="000000"/>
          <w:sz w:val="20"/>
        </w:rPr>
        <w:t xml:space="preserve"> </w:t>
      </w:r>
      <w:r>
        <w:rPr>
          <w:rFonts w:ascii="Times New Roman" w:hAnsi="Times New Roman"/>
          <w:color w:val="000000"/>
          <w:sz w:val="16"/>
        </w:rPr>
        <w:t>million, respectively, for the Company’s allocable portion of the Administrator’s overhead.</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pStyle w:val="TextBody"/>
        <w:bidi w:val="0"/>
        <w:spacing w:before="120" w:after="283"/>
        <w:jc w:val="left"/>
        <w:rPr>
          <w:rFonts w:ascii="Times New Roman" w:hAnsi="Times New Roman"/>
          <w:i/>
          <w:color w:val="000000"/>
          <w:sz w:val="16"/>
        </w:rPr>
      </w:pPr>
      <w:r>
        <w:rPr>
          <w:rFonts w:ascii="Times New Roman" w:hAnsi="Times New Roman"/>
          <w:i/>
          <w:color w:val="000000"/>
          <w:sz w:val="16"/>
        </w:rPr>
        <w:t>Co-investment Exemptive Relief</w:t>
      </w:r>
    </w:p>
    <w:p>
      <w:pPr>
        <w:pStyle w:val="TextBody"/>
        <w:bidi w:val="0"/>
        <w:spacing w:before="120" w:after="120"/>
        <w:jc w:val="both"/>
        <w:rPr>
          <w:rFonts w:ascii="Times New Roman" w:hAnsi="Times New Roman"/>
          <w:sz w:val="20"/>
        </w:rPr>
      </w:pPr>
      <w:r>
        <w:rPr>
          <w:rFonts w:ascii="Times New Roman" w:hAnsi="Times New Roman"/>
          <w:color w:val="000000"/>
          <w:sz w:val="16"/>
        </w:rPr>
        <w:t>As a BDC, the Company is subject to certain regulatory restrictions in making its investments. For example, BDCs generally are not permitted to co-invest with certain affiliated entities in transactions originated by the BDC or its affiliates in the absence of an exemptive order from the SEC. However, BDCs are permitted to, and may, simultaneously co-invest in transactions where price is the only negotiated term. 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Under the terms of the exemptive order, in order for the Company to participate in a co-investment transaction a “required majority” (as defined in Section 57(0) of the 1940 Act) of the Company's independent directors must conclude that (i) the terms of the proposed transaction, including the consideration to be paid, are reasonable and fair to the Company and its stockholders and do not involve overreaching with respect of the Company or its stockholders on the part of any person concerned, and (ii) the proposed transaction is consistent with the interests of the Company's stockholders and is consistent with the Company's investment objectives and strategies and certain criteria established by the Board.</w:t>
      </w:r>
    </w:p>
    <w:p>
      <w:pPr>
        <w:pStyle w:val="TextBody"/>
        <w:bidi w:val="0"/>
        <w:spacing w:before="120" w:after="120"/>
        <w:jc w:val="both"/>
        <w:rPr>
          <w:rFonts w:ascii="Times New Roman" w:hAnsi="Times New Roman"/>
          <w:i/>
          <w:color w:val="000000"/>
          <w:sz w:val="16"/>
        </w:rPr>
      </w:pPr>
      <w:r>
        <w:rPr>
          <w:rFonts w:ascii="Times New Roman" w:hAnsi="Times New Roman"/>
          <w:i/>
          <w:color w:val="000000"/>
          <w:sz w:val="16"/>
        </w:rPr>
        <w:t>Trade with Affiliated Funds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There were no transactions subject to Rule 17a-7 under the 1940 Act during the three months ended March 31, 2024 and 2023.</w:t>
      </w:r>
    </w:p>
    <w:p>
      <w:pPr>
        <w:pStyle w:val="TextBody"/>
        <w:bidi w:val="0"/>
        <w:spacing w:before="120" w:after="120"/>
        <w:jc w:val="both"/>
        <w:rPr>
          <w:rFonts w:ascii="Times New Roman" w:hAnsi="Times New Roman"/>
          <w:i/>
          <w:color w:val="000000"/>
          <w:sz w:val="16"/>
        </w:rPr>
      </w:pPr>
      <w:r>
        <w:rPr>
          <w:rFonts w:ascii="Times New Roman" w:hAnsi="Times New Roman"/>
          <w:i/>
          <w:color w:val="000000"/>
          <w:sz w:val="16"/>
        </w:rPr>
        <w:t>Potential Conflicts of Interest</w:t>
      </w:r>
    </w:p>
    <w:p>
      <w:pPr>
        <w:pStyle w:val="TextBody"/>
        <w:bidi w:val="0"/>
        <w:spacing w:before="120" w:after="120"/>
        <w:jc w:val="both"/>
        <w:rPr>
          <w:rFonts w:ascii="Times New Roman" w:hAnsi="Times New Roman"/>
          <w:sz w:val="20"/>
        </w:rPr>
      </w:pPr>
      <w:r>
        <w:rPr>
          <w:rFonts w:ascii="Times New Roman" w:hAnsi="Times New Roman"/>
          <w:color w:val="000000"/>
          <w:sz w:val="16"/>
        </w:rPr>
        <w:t>The members of the senior management and investment teams of the Investment Adviser serve or may serve as officers, directors or principals of entities that operate in the same or a related line of business as the Company does, or of investment vehicles managed by the same personnel. In serving in these multiple and other capacities, they may have obligations to other clients or investors in those entities, the fulfillment of which may or may not be in the Company's best interests or in the best interest of the Company's stockholders. The Company's investment objectives may overlap with the investment objectives of such investment funds, accounts or other investment vehicles.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6. Borrowings</w:t>
      </w:r>
    </w:p>
    <w:p>
      <w:pPr>
        <w:pStyle w:val="TextBody"/>
        <w:bidi w:val="0"/>
        <w:spacing w:before="240" w:after="120"/>
        <w:jc w:val="both"/>
        <w:rPr>
          <w:rFonts w:ascii="Times New Roman" w:hAnsi="Times New Roman"/>
          <w:sz w:val="20"/>
        </w:rPr>
      </w:pPr>
      <w:r>
        <w:rPr>
          <w:rFonts w:ascii="Times New Roman" w:hAnsi="Times New Roman"/>
          <w:b/>
          <w:i/>
          <w:color w:val="000000"/>
          <w:sz w:val="16"/>
        </w:rPr>
        <w:t>2026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On October 29, 2021, the Company issued $50.0</w:t>
      </w:r>
      <w:r>
        <w:rPr>
          <w:rFonts w:ascii="Times New Roman" w:hAnsi="Times New Roman"/>
          <w:color w:val="000000"/>
          <w:sz w:val="20"/>
        </w:rPr>
        <w:t xml:space="preserve"> </w:t>
      </w:r>
      <w:r>
        <w:rPr>
          <w:rFonts w:ascii="Times New Roman" w:hAnsi="Times New Roman"/>
          <w:color w:val="000000"/>
          <w:sz w:val="16"/>
        </w:rPr>
        <w:t>million in aggregate principal amount of 5.25% fixed-rate notes due October 30, 2026</w:t>
      </w:r>
      <w:r>
        <w:rPr>
          <w:rFonts w:ascii="Times New Roman" w:hAnsi="Times New Roman"/>
          <w:color w:val="000000"/>
          <w:sz w:val="20"/>
        </w:rPr>
        <w:t xml:space="preserve"> </w:t>
      </w:r>
      <w:r>
        <w:rPr>
          <w:rFonts w:ascii="Times New Roman" w:hAnsi="Times New Roman"/>
          <w:color w:val="000000"/>
          <w:sz w:val="16"/>
        </w:rPr>
        <w:t>(the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w:t>
      </w:r>
      <w:r>
        <w:rPr>
          <w:rFonts w:ascii="Times New Roman" w:hAnsi="Times New Roman"/>
          <w:color w:val="000000"/>
          <w:sz w:val="20"/>
        </w:rPr>
        <w:t xml:space="preserve"> </w:t>
      </w:r>
      <w:r>
        <w:rPr>
          <w:rFonts w:ascii="Times New Roman" w:hAnsi="Times New Roman"/>
          <w:color w:val="000000"/>
          <w:sz w:val="16"/>
        </w:rPr>
        <w:t>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w:t>
      </w:r>
      <w:r>
        <w:rPr>
          <w:rFonts w:ascii="Times New Roman" w:hAnsi="Times New Roman"/>
          <w:color w:val="000000"/>
          <w:sz w:val="20"/>
        </w:rPr>
        <w:t xml:space="preserve"> </w:t>
      </w:r>
      <w:r>
        <w:rPr>
          <w:rFonts w:ascii="Times New Roman" w:hAnsi="Times New Roman"/>
          <w:color w:val="000000"/>
          <w:sz w:val="16"/>
        </w:rPr>
        <w:t>subject to a step up of 0.75% per annum to the extent the Notes are downgraded below Investment Grade by a National Recognized Statistical Rating Organization (“NSRSO”) or the Notes no longer maintain a rating from an NSRSO. On March 28, 2024, the Company obtained a BB+ rating from a NRSRO with respect to the Notes, leading to the Notes bearing interest at a rate of 6.00% per year. The Notes are general unsecured obligations of the Company that rank senior in right of payment to all of the Company's existing and future indebtedness that is expressly subordinated in right of payment to the Notes, rank pari passu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July 2022, pursuant to the requirements of a registration rights agreements entered into in connection with the offering described above, the Company completed an exchange offer pursuant to which all of the outstanding 2026 Notes were exchanged for notes with substantially identical terms, but that are registered under the Securities Act (which notes are also referred to herein as the “2026 Notes”).</w:t>
      </w:r>
    </w:p>
    <w:p>
      <w:pPr>
        <w:pStyle w:val="TextBody"/>
        <w:bidi w:val="0"/>
        <w:spacing w:before="120" w:after="283"/>
        <w:jc w:val="both"/>
        <w:rPr>
          <w:rFonts w:ascii="Times New Roman" w:hAnsi="Times New Roman"/>
          <w:sz w:val="20"/>
        </w:rPr>
      </w:pPr>
      <w:r>
        <w:rPr>
          <w:rFonts w:ascii="Times New Roman" w:hAnsi="Times New Roman"/>
          <w:color w:val="000000"/>
          <w:sz w:val="16"/>
        </w:rPr>
        <w:t>As of March 31, 2024 and December 31, 2023, the Company had $50.0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$50.0</w:t>
      </w:r>
      <w:r>
        <w:rPr>
          <w:rFonts w:ascii="Times New Roman" w:hAnsi="Times New Roman"/>
          <w:color w:val="000000"/>
          <w:sz w:val="20"/>
        </w:rPr>
        <w:t xml:space="preserve"> </w:t>
      </w:r>
      <w:r>
        <w:rPr>
          <w:rFonts w:ascii="Times New Roman" w:hAnsi="Times New Roman"/>
          <w:color w:val="000000"/>
          <w:sz w:val="16"/>
        </w:rPr>
        <w:t>million, respectively in 2026 Notes outstanding.</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table summarizes the interest expense, deferred financing costs, average outstanding balance, and average stated interest rate on the 2026 Notes for the three months ended March 31, 2024 and 2023 (dollars in thousands):</w:t>
      </w:r>
    </w:p>
    <w:tbl>
      <w:tblPr>
        <w:tblW w:w="6101" w:type="dxa"/>
        <w:jc w:val="left"/>
        <w:tblInd w:w="0" w:type="dxa"/>
        <w:tblLayout w:type="fixed"/>
        <w:tblCellMar>
          <w:top w:w="28" w:type="dxa"/>
          <w:left w:w="28" w:type="dxa"/>
          <w:bottom w:w="28" w:type="dxa"/>
          <w:right w:w="28" w:type="dxa"/>
        </w:tblCellMar>
      </w:tblPr>
      <w:tblGrid>
        <w:gridCol w:w="2686"/>
        <w:gridCol w:w="146"/>
        <w:gridCol w:w="295"/>
        <w:gridCol w:w="905"/>
        <w:gridCol w:w="363"/>
        <w:gridCol w:w="220"/>
        <w:gridCol w:w="295"/>
        <w:gridCol w:w="905"/>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363"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706</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outstanding balance</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3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stated interest rate</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3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0"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sz w:val="20"/>
        </w:rPr>
      </w:pPr>
      <w:r>
        <w:rPr>
          <w:rFonts w:ascii="Times New Roman" w:hAnsi="Times New Roman"/>
          <w:b/>
          <w:i/>
          <w:color w:val="000000"/>
          <w:sz w:val="16"/>
        </w:rPr>
        <w:t>2032 Convertible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On April 1, 2022, the Company issued $15.0</w:t>
      </w:r>
      <w:r>
        <w:rPr>
          <w:rFonts w:ascii="Times New Roman" w:hAnsi="Times New Roman"/>
          <w:color w:val="000000"/>
          <w:sz w:val="20"/>
        </w:rPr>
        <w:t xml:space="preserve"> </w:t>
      </w:r>
      <w:r>
        <w:rPr>
          <w:rFonts w:ascii="Times New Roman" w:hAnsi="Times New Roman"/>
          <w:color w:val="000000"/>
          <w:sz w:val="16"/>
        </w:rPr>
        <w:t>million in aggregate principal amount of 5.25% fixed-rate convertible notes due April 1, 2032</w:t>
      </w:r>
      <w:r>
        <w:rPr>
          <w:rFonts w:ascii="Times New Roman" w:hAnsi="Times New Roman"/>
          <w:color w:val="000000"/>
          <w:sz w:val="20"/>
        </w:rPr>
        <w:t xml:space="preserve"> </w:t>
      </w:r>
      <w:r>
        <w:rPr>
          <w:rFonts w:ascii="Times New Roman" w:hAnsi="Times New Roman"/>
          <w:color w:val="000000"/>
          <w:sz w:val="16"/>
        </w:rPr>
        <w:t>(the “2032 Convertible Notes”).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 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pStyle w:val="TextBody"/>
        <w:bidi w:val="0"/>
        <w:spacing w:before="120" w:after="283"/>
        <w:jc w:val="both"/>
        <w:rPr>
          <w:rFonts w:ascii="Times New Roman" w:hAnsi="Times New Roman"/>
          <w:sz w:val="20"/>
        </w:rPr>
      </w:pPr>
      <w:r>
        <w:rPr>
          <w:rFonts w:ascii="Times New Roman" w:hAnsi="Times New Roman"/>
          <w:color w:val="000000"/>
          <w:sz w:val="16"/>
        </w:rPr>
        <w:t>On March 28, 2024, the Company obtained a BB+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Starting on March 28, 2024, as a result of the rating downgrade, the 2032 Convertible Notes have a fixed interest rate of 6.00% per annum. The Company will also be required to pay an additional interest rate of 2.0% per annum (x) on any overdue payment of interest and (y) during the continuance of an “Event of Default.</w:t>
      </w:r>
      <w:r>
        <w:rPr>
          <w:rFonts w:ascii="Times New Roman" w:hAnsi="Times New Roman"/>
          <w:color w:val="000000"/>
          <w:sz w:val="20"/>
        </w:rPr>
        <w:t xml:space="preserve">” </w:t>
      </w:r>
      <w:r>
        <w:rPr>
          <w:rFonts w:ascii="Times New Roman" w:hAnsi="Times New Roman"/>
          <w:color w:val="000000"/>
          <w:sz w:val="16"/>
        </w:rPr>
        <w:t>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pStyle w:val="TextBody"/>
        <w:bidi w:val="0"/>
        <w:spacing w:before="120" w:after="283"/>
        <w:jc w:val="both"/>
        <w:rPr>
          <w:rFonts w:ascii="Times New Roman" w:hAnsi="Times New Roman"/>
          <w:sz w:val="20"/>
        </w:rPr>
      </w:pPr>
      <w:r>
        <w:rPr>
          <w:rFonts w:ascii="Times New Roman" w:hAnsi="Times New Roman"/>
          <w:color w:val="000000"/>
          <w:sz w:val="16"/>
        </w:rPr>
        <w:t>During the quarter ended March 31, 2024, the Company converted $1.0</w:t>
      </w:r>
      <w:r>
        <w:rPr>
          <w:rFonts w:ascii="Times New Roman" w:hAnsi="Times New Roman"/>
          <w:color w:val="000000"/>
          <w:sz w:val="20"/>
        </w:rPr>
        <w:t xml:space="preserve"> </w:t>
      </w:r>
      <w:r>
        <w:rPr>
          <w:rFonts w:ascii="Times New Roman" w:hAnsi="Times New Roman"/>
          <w:color w:val="000000"/>
          <w:sz w:val="16"/>
        </w:rPr>
        <w:t>million in outstanding principal amount of the 2032 Convertible Notes. Of the $1.0</w:t>
      </w:r>
      <w:r>
        <w:rPr>
          <w:rFonts w:ascii="Times New Roman" w:hAnsi="Times New Roman"/>
          <w:color w:val="000000"/>
          <w:sz w:val="20"/>
        </w:rPr>
        <w:t xml:space="preserve"> </w:t>
      </w:r>
      <w:r>
        <w:rPr>
          <w:rFonts w:ascii="Times New Roman" w:hAnsi="Times New Roman"/>
          <w:color w:val="000000"/>
          <w:sz w:val="16"/>
        </w:rPr>
        <w:t>million that was converted, $0.5</w:t>
      </w:r>
      <w:r>
        <w:rPr>
          <w:rFonts w:ascii="Times New Roman" w:hAnsi="Times New Roman"/>
          <w:color w:val="000000"/>
          <w:sz w:val="20"/>
        </w:rPr>
        <w:t xml:space="preserve"> </w:t>
      </w:r>
      <w:r>
        <w:rPr>
          <w:rFonts w:ascii="Times New Roman" w:hAnsi="Times New Roman"/>
          <w:color w:val="000000"/>
          <w:sz w:val="16"/>
        </w:rPr>
        <w:t>million was paid in cash and $0.5</w:t>
      </w:r>
      <w:r>
        <w:rPr>
          <w:rFonts w:ascii="Times New Roman" w:hAnsi="Times New Roman"/>
          <w:color w:val="000000"/>
          <w:sz w:val="20"/>
        </w:rPr>
        <w:t xml:space="preserve"> </w:t>
      </w:r>
      <w:r>
        <w:rPr>
          <w:rFonts w:ascii="Times New Roman" w:hAnsi="Times New Roman"/>
          <w:color w:val="000000"/>
          <w:sz w:val="16"/>
        </w:rPr>
        <w:t>million was converted into 22,105</w:t>
      </w:r>
      <w:r>
        <w:rPr>
          <w:rFonts w:ascii="Times New Roman" w:hAnsi="Times New Roman"/>
          <w:color w:val="000000"/>
          <w:sz w:val="20"/>
        </w:rPr>
        <w:t xml:space="preserve"> </w:t>
      </w:r>
      <w:r>
        <w:rPr>
          <w:rFonts w:ascii="Times New Roman" w:hAnsi="Times New Roman"/>
          <w:color w:val="000000"/>
          <w:sz w:val="16"/>
        </w:rPr>
        <w:t>shares of the Company’s common stock at a rate of $22.61</w:t>
      </w:r>
      <w:r>
        <w:rPr>
          <w:rFonts w:ascii="Times New Roman" w:hAnsi="Times New Roman"/>
          <w:color w:val="000000"/>
          <w:sz w:val="20"/>
        </w:rPr>
        <w:t xml:space="preserve"> </w:t>
      </w:r>
      <w:r>
        <w:rPr>
          <w:rFonts w:ascii="Times New Roman" w:hAnsi="Times New Roman"/>
          <w:color w:val="000000"/>
          <w:sz w:val="16"/>
        </w:rPr>
        <w:t>per principal amount, in accordance with a Notice of Exercise of Conversion.</w:t>
      </w:r>
    </w:p>
    <w:p>
      <w:pPr>
        <w:pStyle w:val="TextBody"/>
        <w:bidi w:val="0"/>
        <w:spacing w:before="120" w:after="283"/>
        <w:jc w:val="both"/>
        <w:rPr>
          <w:rFonts w:ascii="Times New Roman" w:hAnsi="Times New Roman"/>
          <w:sz w:val="20"/>
        </w:rPr>
      </w:pPr>
      <w:r>
        <w:rPr>
          <w:rFonts w:ascii="Times New Roman" w:hAnsi="Times New Roman"/>
          <w:color w:val="000000"/>
          <w:sz w:val="16"/>
        </w:rPr>
        <w:t>As of March 31, 2024 and December 31, 2023, the Company had $14.0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and $15.0</w:t>
      </w:r>
      <w:r>
        <w:rPr>
          <w:rFonts w:ascii="Times New Roman" w:hAnsi="Times New Roman"/>
          <w:color w:val="000000"/>
          <w:sz w:val="20"/>
        </w:rPr>
        <w:t xml:space="preserve"> </w:t>
      </w:r>
      <w:r>
        <w:rPr>
          <w:rFonts w:ascii="Times New Roman" w:hAnsi="Times New Roman"/>
          <w:color w:val="000000"/>
          <w:sz w:val="16"/>
        </w:rPr>
        <w:t>million, respectively, in 2032 Convertible Notes outstanding.</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table summarizes the interest expense, deferred financing costs, average outstanding balance, and average stated interest rate on the 2032 Convertible Notes for the three months ended March 31, 2024 and 2023 (dollars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6101" w:type="dxa"/>
        <w:jc w:val="left"/>
        <w:tblInd w:w="0" w:type="dxa"/>
        <w:tblLayout w:type="fixed"/>
        <w:tblCellMar>
          <w:top w:w="28" w:type="dxa"/>
          <w:left w:w="28" w:type="dxa"/>
          <w:bottom w:w="28" w:type="dxa"/>
          <w:right w:w="28" w:type="dxa"/>
        </w:tblCellMar>
      </w:tblPr>
      <w:tblGrid>
        <w:gridCol w:w="2686"/>
        <w:gridCol w:w="146"/>
        <w:gridCol w:w="295"/>
        <w:gridCol w:w="905"/>
        <w:gridCol w:w="363"/>
        <w:gridCol w:w="220"/>
        <w:gridCol w:w="295"/>
        <w:gridCol w:w="905"/>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363"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w:t>
            </w:r>
          </w:p>
        </w:tc>
        <w:tc>
          <w:tcPr>
            <w:tcW w:w="3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outstanding balance</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14,272</w:t>
            </w:r>
          </w:p>
        </w:tc>
        <w:tc>
          <w:tcPr>
            <w:tcW w:w="3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right"/>
              <w:rPr/>
            </w:pPr>
            <w:r>
              <w:rPr/>
              <w:t> </w:t>
            </w:r>
          </w:p>
        </w:tc>
        <w:tc>
          <w:tcPr>
            <w:tcW w:w="29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stated interest rate</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36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0" w:type="dxa"/>
            <w:tcBorders/>
            <w:shd w:fill="CFF0FC" w:val="clear"/>
            <w:vAlign w:val="center"/>
          </w:tcPr>
          <w:p>
            <w:pPr>
              <w:pStyle w:val="TableContents"/>
              <w:bidi w:val="0"/>
              <w:spacing w:before="0" w:after="283"/>
              <w:jc w:val="right"/>
              <w:rPr/>
            </w:pPr>
            <w:r>
              <w:rPr/>
              <w:t> </w:t>
            </w:r>
          </w:p>
        </w:tc>
        <w:tc>
          <w:tcPr>
            <w:tcW w:w="295" w:type="dxa"/>
            <w:tcBorders/>
            <w:shd w:fill="CFF0FC" w:val="clear"/>
            <w:vAlign w:val="center"/>
          </w:tcPr>
          <w:p>
            <w:pPr>
              <w:pStyle w:val="TableContents"/>
              <w:bidi w:val="0"/>
              <w:spacing w:before="0" w:after="283"/>
              <w:jc w:val="left"/>
              <w:rPr/>
            </w:pPr>
            <w:r>
              <w:rPr/>
              <w:t> </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left"/>
        <w:rPr>
          <w:rFonts w:ascii="Times New Roman" w:hAnsi="Times New Roman"/>
          <w:b/>
          <w:i/>
          <w:color w:val="000000"/>
          <w:sz w:val="16"/>
        </w:rPr>
      </w:pPr>
      <w:r>
        <w:rPr>
          <w:rFonts w:ascii="Times New Roman" w:hAnsi="Times New Roman"/>
          <w:b/>
          <w:i/>
          <w:color w:val="000000"/>
          <w:sz w:val="16"/>
        </w:rPr>
        <w:t>KeyBank Credit Facility</w:t>
      </w:r>
    </w:p>
    <w:p>
      <w:pPr>
        <w:pStyle w:val="TextBody"/>
        <w:bidi w:val="0"/>
        <w:jc w:val="both"/>
        <w:rPr>
          <w:rFonts w:ascii="Times New Roman" w:hAnsi="Times New Roman"/>
          <w:sz w:val="20"/>
        </w:rPr>
      </w:pPr>
      <w:r>
        <w:rPr>
          <w:rFonts w:ascii="Times New Roman" w:hAnsi="Times New Roman"/>
          <w:color w:val="000000"/>
          <w:sz w:val="16"/>
        </w:rPr>
        <w:t>On October 30, 2020, CBL, a direct, wholly owned, consolidated subsidiary of the Company entered into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w:t>
      </w:r>
      <w:r>
        <w:rPr>
          <w:rFonts w:ascii="Times New Roman" w:hAnsi="Times New Roman"/>
          <w:color w:val="000000"/>
          <w:sz w:val="20"/>
        </w:rPr>
        <w:t xml:space="preserve"> </w:t>
      </w:r>
      <w:r>
        <w:rPr>
          <w:rFonts w:ascii="Times New Roman" w:hAnsi="Times New Roman"/>
          <w:color w:val="000000"/>
          <w:sz w:val="16"/>
        </w:rPr>
        <w:t>million as of May 10, 2022, with an uncommitted accordion feature that allows the Company to borrow up to an additional $125.0</w:t>
      </w:r>
      <w:r>
        <w:rPr>
          <w:rFonts w:ascii="Times New Roman" w:hAnsi="Times New Roman"/>
          <w:color w:val="000000"/>
          <w:sz w:val="20"/>
        </w:rPr>
        <w:t xml:space="preserve"> </w:t>
      </w:r>
      <w:r>
        <w:rPr>
          <w:rFonts w:ascii="Times New Roman" w:hAnsi="Times New Roman"/>
          <w:color w:val="000000"/>
          <w:sz w:val="16"/>
        </w:rPr>
        <w:t>million. The KeyBank Credit Facility</w:t>
      </w:r>
      <w:r>
        <w:rPr>
          <w:rFonts w:ascii="Times New Roman" w:hAnsi="Times New Roman"/>
          <w:color w:val="000000"/>
          <w:sz w:val="20"/>
        </w:rPr>
        <w:t xml:space="preserve"> </w:t>
      </w:r>
      <w:r>
        <w:rPr>
          <w:rFonts w:ascii="Times New Roman" w:hAnsi="Times New Roman"/>
          <w:color w:val="000000"/>
          <w:sz w:val="16"/>
        </w:rPr>
        <w:t>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w:t>
      </w:r>
      <w:r>
        <w:rPr>
          <w:rFonts w:ascii="Times New Roman" w:hAnsi="Times New Roman"/>
          <w:color w:val="000000"/>
          <w:sz w:val="20"/>
        </w:rPr>
        <w:t xml:space="preserve"> </w:t>
      </w:r>
      <w:r>
        <w:rPr>
          <w:rFonts w:ascii="Times New Roman" w:hAnsi="Times New Roman"/>
          <w:color w:val="000000"/>
          <w:sz w:val="16"/>
        </w:rPr>
        <w:t>Borrowings under the KeyBank Credit Facility bear interest at 1M Term SOFR plus 2.90% during the 3-year</w:t>
      </w:r>
      <w:r>
        <w:rPr>
          <w:rFonts w:ascii="Times New Roman" w:hAnsi="Times New Roman"/>
          <w:color w:val="000000"/>
          <w:sz w:val="20"/>
        </w:rPr>
        <w:t xml:space="preserve"> </w:t>
      </w:r>
      <w:r>
        <w:rPr>
          <w:rFonts w:ascii="Times New Roman" w:hAnsi="Times New Roman"/>
          <w:color w:val="000000"/>
          <w:sz w:val="16"/>
        </w:rPr>
        <w:t>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w:t>
      </w:r>
      <w:r>
        <w:rPr>
          <w:rFonts w:ascii="Times New Roman" w:hAnsi="Times New Roman"/>
          <w:color w:val="000000"/>
          <w:sz w:val="20"/>
        </w:rPr>
        <w:t xml:space="preserve"> </w:t>
      </w:r>
      <w:r>
        <w:rPr>
          <w:rFonts w:ascii="Times New Roman" w:hAnsi="Times New Roman"/>
          <w:color w:val="000000"/>
          <w:sz w:val="16"/>
        </w:rPr>
        <w:t>As of March 31, 2024 and December 31, 2023, there were draws of $52.9</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231F20"/>
          <w:sz w:val="16"/>
        </w:rPr>
        <w:t>and $39.6</w:t>
      </w:r>
      <w:r>
        <w:rPr>
          <w:rFonts w:ascii="Times New Roman" w:hAnsi="Times New Roman"/>
          <w:color w:val="231F20"/>
          <w:sz w:val="20"/>
        </w:rPr>
        <w:t xml:space="preserve"> </w:t>
      </w:r>
      <w:r>
        <w:rPr>
          <w:rFonts w:ascii="Times New Roman" w:hAnsi="Times New Roman"/>
          <w:color w:val="231F20"/>
          <w:sz w:val="16"/>
        </w:rPr>
        <w:t>million</w:t>
      </w:r>
      <w:r>
        <w:rPr>
          <w:rFonts w:ascii="Times New Roman" w:hAnsi="Times New Roman"/>
          <w:color w:val="000000"/>
          <w:sz w:val="16"/>
        </w:rPr>
        <w:t>, respectively, on the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March 31, 2024 and December 31, 2023, assets pledged to secure the KeyBank Credit Facility had a fair value of $121.7</w:t>
      </w:r>
      <w:r>
        <w:rPr>
          <w:rFonts w:ascii="Times New Roman" w:hAnsi="Times New Roman"/>
          <w:color w:val="000000"/>
          <w:sz w:val="20"/>
        </w:rPr>
        <w:t xml:space="preserve"> </w:t>
      </w:r>
      <w:r>
        <w:rPr>
          <w:rFonts w:ascii="Times New Roman" w:hAnsi="Times New Roman"/>
          <w:color w:val="000000"/>
          <w:sz w:val="16"/>
        </w:rPr>
        <w:t>million and</w:t>
      </w:r>
      <w:r>
        <w:rPr>
          <w:rFonts w:ascii="Times New Roman" w:hAnsi="Times New Roman"/>
          <w:color w:val="000000"/>
          <w:sz w:val="20"/>
        </w:rPr>
        <w:t xml:space="preserve"> </w:t>
      </w:r>
      <w:r>
        <w:rPr>
          <w:rFonts w:ascii="Times New Roman" w:hAnsi="Times New Roman"/>
          <w:color w:val="000000"/>
          <w:sz w:val="16"/>
        </w:rPr>
        <w:t>$111.2</w:t>
      </w:r>
      <w:r>
        <w:rPr>
          <w:rFonts w:ascii="Times New Roman" w:hAnsi="Times New Roman"/>
          <w:color w:val="000000"/>
          <w:sz w:val="20"/>
        </w:rPr>
        <w:t xml:space="preserve"> </w:t>
      </w:r>
      <w:r>
        <w:rPr>
          <w:rFonts w:ascii="Times New Roman" w:hAnsi="Times New Roman"/>
          <w:color w:val="000000"/>
          <w:sz w:val="16"/>
        </w:rPr>
        <w:t>million, respectively.</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table summarizes the interest expense, deferred financing costs, unused commitment fees, average outstanding balance, and average stated interest rate on the KeyBank Credit Facility for the three months ended March 31, 2024 and 2023 (dollars in thousands):</w:t>
      </w:r>
    </w:p>
    <w:tbl>
      <w:tblPr>
        <w:tblW w:w="6101" w:type="dxa"/>
        <w:jc w:val="left"/>
        <w:tblInd w:w="0" w:type="dxa"/>
        <w:tblLayout w:type="fixed"/>
        <w:tblCellMar>
          <w:top w:w="28" w:type="dxa"/>
          <w:left w:w="28" w:type="dxa"/>
          <w:bottom w:w="28" w:type="dxa"/>
          <w:right w:w="28" w:type="dxa"/>
        </w:tblCellMar>
      </w:tblPr>
      <w:tblGrid>
        <w:gridCol w:w="2686"/>
        <w:gridCol w:w="146"/>
        <w:gridCol w:w="295"/>
        <w:gridCol w:w="905"/>
        <w:gridCol w:w="363"/>
        <w:gridCol w:w="220"/>
        <w:gridCol w:w="295"/>
        <w:gridCol w:w="905"/>
        <w:gridCol w:w="28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expense</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914</w:t>
            </w:r>
          </w:p>
        </w:tc>
        <w:tc>
          <w:tcPr>
            <w:tcW w:w="363"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996</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financing costs</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w:t>
            </w:r>
          </w:p>
        </w:tc>
        <w:tc>
          <w:tcPr>
            <w:tcW w:w="363"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86" w:type="dxa"/>
            <w:tcBorders/>
            <w:shd w:fill="FFFFFF" w:val="cle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Unused commitment fees</w:t>
            </w:r>
          </w:p>
        </w:tc>
        <w:tc>
          <w:tcPr>
            <w:tcW w:w="146"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3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interest and financing expenses</w:t>
            </w:r>
          </w:p>
        </w:tc>
        <w:tc>
          <w:tcPr>
            <w:tcW w:w="146"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w:t>
            </w:r>
          </w:p>
        </w:tc>
        <w:tc>
          <w:tcPr>
            <w:tcW w:w="3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1,099</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outstanding balance</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43,450</w:t>
            </w:r>
          </w:p>
        </w:tc>
        <w:tc>
          <w:tcPr>
            <w:tcW w:w="363"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53,219</w:t>
            </w:r>
          </w:p>
        </w:tc>
        <w:tc>
          <w:tcPr>
            <w:tcW w:w="286"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Average stated interest rate</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w:t>
            </w:r>
          </w:p>
        </w:tc>
        <w:tc>
          <w:tcPr>
            <w:tcW w:w="36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20"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9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7.42</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i/>
          <w:color w:val="000000"/>
          <w:sz w:val="16"/>
        </w:rPr>
      </w:pPr>
      <w:r>
        <w:rPr>
          <w:rFonts w:ascii="Times New Roman" w:hAnsi="Times New Roman"/>
          <w:i/>
          <w:color w:val="000000"/>
          <w:sz w:val="16"/>
        </w:rPr>
        <w:t>Financial Instruments Disclosed, But Not Carried, At Fair Value</w:t>
      </w:r>
    </w:p>
    <w:p>
      <w:pPr>
        <w:pStyle w:val="TextBody"/>
        <w:bidi w:val="0"/>
        <w:spacing w:before="120" w:after="120"/>
        <w:jc w:val="both"/>
        <w:rPr>
          <w:rFonts w:ascii="Times New Roman" w:hAnsi="Times New Roman"/>
          <w:sz w:val="20"/>
        </w:rPr>
      </w:pPr>
      <w:r>
        <w:rPr>
          <w:rFonts w:ascii="Times New Roman" w:hAnsi="Times New Roman"/>
          <w:color w:val="000000"/>
          <w:sz w:val="16"/>
        </w:rPr>
        <w:t>The following table presents the outstanding principal and fair value of the Company’s financial liabilities disclosed, but not carried, at fair value as of March 31, 2024, and the level of each financial liability within the fair value hierarchy (dollars in thousands):</w:t>
      </w:r>
      <w:r>
        <w:rPr>
          <w:rFonts w:ascii="Times New Roman" w:hAnsi="Times New Roman"/>
          <w:color w:val="000000"/>
          <w:sz w:val="20"/>
        </w:rPr>
        <w:t xml:space="preserve"> </w:t>
      </w:r>
    </w:p>
    <w:tbl>
      <w:tblPr>
        <w:tblW w:w="7331" w:type="dxa"/>
        <w:jc w:val="left"/>
        <w:tblInd w:w="0" w:type="dxa"/>
        <w:tblLayout w:type="fixed"/>
        <w:tblCellMar>
          <w:top w:w="28" w:type="dxa"/>
          <w:left w:w="28" w:type="dxa"/>
          <w:bottom w:w="28" w:type="dxa"/>
          <w:right w:w="28" w:type="dxa"/>
        </w:tblCellMar>
      </w:tblPr>
      <w:tblGrid>
        <w:gridCol w:w="1786"/>
        <w:gridCol w:w="146"/>
        <w:gridCol w:w="222"/>
        <w:gridCol w:w="784"/>
        <w:gridCol w:w="146"/>
        <w:gridCol w:w="146"/>
        <w:gridCol w:w="196"/>
        <w:gridCol w:w="691"/>
        <w:gridCol w:w="146"/>
        <w:gridCol w:w="146"/>
        <w:gridCol w:w="228"/>
        <w:gridCol w:w="402"/>
        <w:gridCol w:w="146"/>
        <w:gridCol w:w="146"/>
        <w:gridCol w:w="228"/>
        <w:gridCol w:w="402"/>
        <w:gridCol w:w="146"/>
        <w:gridCol w:w="146"/>
        <w:gridCol w:w="196"/>
        <w:gridCol w:w="69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45,250</w:t>
            </w:r>
          </w:p>
        </w:tc>
        <w:tc>
          <w:tcPr>
            <w:tcW w:w="1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12,792</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110,957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following table presents the outstanding principal and fair value of the Company’s financial liabilities disclosed, but not carried, at fair value as of December 31, 2023, and the level of each financial liability within the fair value hierarchy (dollars in thousands):</w:t>
      </w:r>
    </w:p>
    <w:tbl>
      <w:tblPr>
        <w:tblW w:w="7239" w:type="dxa"/>
        <w:jc w:val="left"/>
        <w:tblInd w:w="0" w:type="dxa"/>
        <w:tblLayout w:type="fixed"/>
        <w:tblCellMar>
          <w:top w:w="28" w:type="dxa"/>
          <w:left w:w="28" w:type="dxa"/>
          <w:bottom w:w="28" w:type="dxa"/>
          <w:right w:w="28" w:type="dxa"/>
        </w:tblCellMar>
      </w:tblPr>
      <w:tblGrid>
        <w:gridCol w:w="1786"/>
        <w:gridCol w:w="146"/>
        <w:gridCol w:w="222"/>
        <w:gridCol w:w="784"/>
        <w:gridCol w:w="146"/>
        <w:gridCol w:w="146"/>
        <w:gridCol w:w="217"/>
        <w:gridCol w:w="668"/>
        <w:gridCol w:w="146"/>
        <w:gridCol w:w="146"/>
        <w:gridCol w:w="228"/>
        <w:gridCol w:w="402"/>
        <w:gridCol w:w="146"/>
        <w:gridCol w:w="146"/>
        <w:gridCol w:w="228"/>
        <w:gridCol w:w="402"/>
        <w:gridCol w:w="146"/>
        <w:gridCol w:w="146"/>
        <w:gridCol w:w="196"/>
        <w:gridCol w:w="601"/>
        <w:gridCol w:w="19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w:t>
              <w:b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45,250</w:t>
            </w:r>
          </w:p>
        </w:tc>
        <w:tc>
          <w:tcPr>
            <w:tcW w:w="191" w:type="dxa"/>
            <w:tcBorders/>
            <w:shd w:fill="CFF0FC" w:val="cle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222"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13,705</w:t>
            </w:r>
          </w:p>
        </w:tc>
        <w:tc>
          <w:tcPr>
            <w:tcW w:w="191" w:type="dxa"/>
            <w:tcBorders/>
            <w:shd w:fill="FFFFFF" w:val="clear"/>
            <w:vAlign w:val="center"/>
          </w:tcPr>
          <w:p>
            <w:pPr>
              <w:pStyle w:val="TableContents"/>
              <w:bidi w:val="0"/>
              <w:spacing w:before="0" w:after="283"/>
              <w:jc w:val="left"/>
              <w:rPr/>
            </w:pPr>
            <w:r>
              <w:rPr/>
              <w:t> </w:t>
            </w:r>
          </w:p>
        </w:tc>
      </w:tr>
      <w:tr>
        <w:trPr/>
        <w:tc>
          <w:tcPr>
            <w:tcW w:w="17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98,508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pPr>
      <w:r>
        <w:rPr/>
        <w:t> </w:t>
      </w:r>
    </w:p>
    <w:p>
      <w:pPr>
        <w:pStyle w:val="TextBody"/>
        <w:bidi w:val="0"/>
        <w:spacing w:before="120" w:after="120"/>
        <w:jc w:val="left"/>
        <w:rPr>
          <w:rFonts w:ascii="Times New Roman" w:hAnsi="Times New Roman"/>
          <w:sz w:val="20"/>
        </w:rPr>
      </w:pPr>
      <w:r>
        <w:rPr>
          <w:rFonts w:ascii="Times New Roman" w:hAnsi="Times New Roman"/>
          <w:b/>
          <w:color w:val="000000"/>
          <w:sz w:val="16"/>
        </w:rPr>
        <w:t>Note 7. Directors’</w:t>
      </w:r>
      <w:r>
        <w:rPr>
          <w:rFonts w:ascii="Times New Roman" w:hAnsi="Times New Roman"/>
          <w:color w:val="000000"/>
          <w:sz w:val="20"/>
        </w:rPr>
        <w:t xml:space="preserve"> </w:t>
      </w:r>
      <w:r>
        <w:rPr>
          <w:rFonts w:ascii="Times New Roman" w:hAnsi="Times New Roman"/>
          <w:b/>
          <w:color w:val="000000"/>
          <w:sz w:val="16"/>
        </w:rPr>
        <w:t>Fees</w:t>
      </w:r>
    </w:p>
    <w:p>
      <w:pPr>
        <w:pStyle w:val="TextBody"/>
        <w:bidi w:val="0"/>
        <w:spacing w:before="120" w:after="283"/>
        <w:jc w:val="both"/>
        <w:rPr>
          <w:rFonts w:ascii="Times New Roman" w:hAnsi="Times New Roman"/>
          <w:sz w:val="20"/>
        </w:rPr>
      </w:pPr>
      <w:r>
        <w:rPr>
          <w:rFonts w:ascii="Times New Roman" w:hAnsi="Times New Roman"/>
          <w:color w:val="000000"/>
          <w:sz w:val="16"/>
        </w:rPr>
        <w:t>Our Independent Directors receive an annual fee of $50,000. They also receive $5,000</w:t>
      </w:r>
      <w:r>
        <w:rPr>
          <w:rFonts w:ascii="Times New Roman" w:hAnsi="Times New Roman"/>
          <w:color w:val="000000"/>
          <w:sz w:val="20"/>
        </w:rPr>
        <w:t xml:space="preserve"> </w:t>
      </w:r>
      <w:r>
        <w:rPr>
          <w:rFonts w:ascii="Times New Roman" w:hAnsi="Times New Roman"/>
          <w:color w:val="000000"/>
          <w:sz w:val="16"/>
        </w:rPr>
        <w:t>plus reimbursement of reasonable out-of-pocket expenses incurred in connection with attending each Board meeting and $5,000</w:t>
      </w:r>
      <w:r>
        <w:rPr>
          <w:rFonts w:ascii="Times New Roman" w:hAnsi="Times New Roman"/>
          <w:color w:val="000000"/>
          <w:sz w:val="20"/>
        </w:rPr>
        <w:t xml:space="preserve"> </w:t>
      </w:r>
      <w:r>
        <w:rPr>
          <w:rFonts w:ascii="Times New Roman" w:hAnsi="Times New Roman"/>
          <w:color w:val="000000"/>
          <w:sz w:val="16"/>
        </w:rPr>
        <w:t>plus reimbursement of reasonable out-of-pocket expenses incurred in connection with attending each committee meeting. In addition, the chairman of the audit committee receives an annual fee of $10,000</w:t>
      </w:r>
      <w:r>
        <w:rPr>
          <w:rFonts w:ascii="Times New Roman" w:hAnsi="Times New Roman"/>
          <w:color w:val="000000"/>
          <w:sz w:val="20"/>
        </w:rPr>
        <w:t xml:space="preserve"> </w:t>
      </w:r>
      <w:r>
        <w:rPr>
          <w:rFonts w:ascii="Times New Roman" w:hAnsi="Times New Roman"/>
          <w:color w:val="000000"/>
          <w:sz w:val="16"/>
        </w:rPr>
        <w:t>and each chairman of any other committee receives an annual fee of $5,000</w:t>
      </w:r>
      <w:r>
        <w:rPr>
          <w:rFonts w:ascii="Times New Roman" w:hAnsi="Times New Roman"/>
          <w:color w:val="000000"/>
          <w:sz w:val="20"/>
        </w:rPr>
        <w:t xml:space="preserve"> </w:t>
      </w:r>
      <w:r>
        <w:rPr>
          <w:rFonts w:ascii="Times New Roman" w:hAnsi="Times New Roman"/>
          <w:color w:val="000000"/>
          <w:sz w:val="16"/>
        </w:rPr>
        <w:t>for their additional services, if any, in these capacities. For the three months ended March 31, 2024, the Company recognized directors’ expense of $0.2</w:t>
      </w:r>
      <w:r>
        <w:rPr>
          <w:rFonts w:ascii="Times New Roman" w:hAnsi="Times New Roman"/>
          <w:color w:val="000000"/>
          <w:sz w:val="20"/>
        </w:rPr>
        <w:t xml:space="preserve"> </w:t>
      </w:r>
      <w:r>
        <w:rPr>
          <w:rFonts w:ascii="Times New Roman" w:hAnsi="Times New Roman"/>
          <w:color w:val="000000"/>
          <w:sz w:val="16"/>
        </w:rPr>
        <w:t>million. For the three months ended March 31, 2023, the Company recognized directors’ expense of $0.1</w:t>
      </w:r>
      <w:r>
        <w:rPr>
          <w:rFonts w:ascii="Times New Roman" w:hAnsi="Times New Roman"/>
          <w:color w:val="000000"/>
          <w:sz w:val="20"/>
        </w:rPr>
        <w:t xml:space="preserve"> </w:t>
      </w:r>
      <w:r>
        <w:rPr>
          <w:rFonts w:ascii="Times New Roman" w:hAnsi="Times New Roman"/>
          <w:color w:val="000000"/>
          <w:sz w:val="16"/>
        </w:rPr>
        <w:t>million. No</w:t>
      </w:r>
      <w:r>
        <w:rPr>
          <w:rFonts w:ascii="Times New Roman" w:hAnsi="Times New Roman"/>
          <w:color w:val="000000"/>
          <w:sz w:val="20"/>
        </w:rPr>
        <w:t xml:space="preserve"> </w:t>
      </w:r>
      <w:r>
        <w:rPr>
          <w:rFonts w:ascii="Times New Roman" w:hAnsi="Times New Roman"/>
          <w:color w:val="000000"/>
          <w:sz w:val="16"/>
        </w:rPr>
        <w:t>compensation is expected to be paid to directors who are “interested persons” of the Company, as such term is defined in Section 2(a)(19) of the 1940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8. Stockholders' Equity</w:t>
      </w:r>
    </w:p>
    <w:p>
      <w:pPr>
        <w:pStyle w:val="TextBody"/>
        <w:bidi w:val="0"/>
        <w:spacing w:before="120" w:after="120"/>
        <w:jc w:val="both"/>
        <w:rPr>
          <w:rFonts w:ascii="Times New Roman" w:hAnsi="Times New Roman"/>
          <w:sz w:val="20"/>
        </w:rPr>
      </w:pPr>
      <w:r>
        <w:rPr>
          <w:rFonts w:ascii="Times New Roman" w:hAnsi="Times New Roman"/>
          <w:color w:val="000000"/>
          <w:sz w:val="16"/>
        </w:rPr>
        <w:t>On March 6, 2023, the Company's Board authorized a share repurchase program, whereby the Company could repurchase up to an aggregate of $5.0</w:t>
      </w:r>
      <w:r>
        <w:rPr>
          <w:rFonts w:ascii="Times New Roman" w:hAnsi="Times New Roman"/>
          <w:color w:val="000000"/>
          <w:sz w:val="20"/>
        </w:rPr>
        <w:t xml:space="preserve"> </w:t>
      </w:r>
      <w:r>
        <w:rPr>
          <w:rFonts w:ascii="Times New Roman" w:hAnsi="Times New Roman"/>
          <w:color w:val="000000"/>
          <w:sz w:val="16"/>
        </w:rPr>
        <w:t>million of its outstanding shares of common stock in the open market. The repurchase program did not obligate the Company to acquire any specific number of shares, and all repurchases were made in accordance with SEC Rule 10b-18 and accomplished through a Rule 10b5-1 plan, which set certain restrictions on the method, timing, price and volume of share repurchases. On March 11, 2024, the Board authorized the extension of the share repurchase program for an additional year and increased the aggregate available balance to $5.0</w:t>
      </w:r>
      <w:r>
        <w:rPr>
          <w:rFonts w:ascii="Times New Roman" w:hAnsi="Times New Roman"/>
          <w:color w:val="000000"/>
          <w:sz w:val="20"/>
        </w:rPr>
        <w:t xml:space="preserve"> </w:t>
      </w:r>
      <w:r>
        <w:rPr>
          <w:rFonts w:ascii="Times New Roman" w:hAnsi="Times New Roman"/>
          <w:color w:val="000000"/>
          <w:sz w:val="16"/>
        </w:rPr>
        <w:t>million. Unless extended or discontinued by the Board, the repurchase program will terminate on March 31, 2025. The repurchase program may be extended, modified or discontinued at any time for any reason without prior notice.</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6"/>
        </w:rPr>
        <w:t>During the three months ended March 31, 2024, the Company repurchased 20,867</w:t>
      </w:r>
      <w:r>
        <w:rPr>
          <w:rFonts w:ascii="Times New Roman" w:hAnsi="Times New Roman"/>
          <w:color w:val="000000"/>
          <w:sz w:val="20"/>
        </w:rPr>
        <w:t xml:space="preserve"> </w:t>
      </w:r>
      <w:r>
        <w:rPr>
          <w:rFonts w:ascii="Times New Roman" w:hAnsi="Times New Roman"/>
          <w:color w:val="000000"/>
          <w:sz w:val="16"/>
        </w:rPr>
        <w:t>of its outstanding shares under the share repurchase program at an aggregate cost of approximately $0.5</w:t>
      </w:r>
      <w:r>
        <w:rPr>
          <w:rFonts w:ascii="Times New Roman" w:hAnsi="Times New Roman"/>
          <w:color w:val="000000"/>
          <w:sz w:val="20"/>
        </w:rPr>
        <w:t xml:space="preserve"> </w:t>
      </w:r>
      <w:r>
        <w:rPr>
          <w:rFonts w:ascii="Times New Roman" w:hAnsi="Times New Roman"/>
          <w:color w:val="000000"/>
          <w:sz w:val="16"/>
        </w:rPr>
        <w:t>million. During the three months ended March 31, 2023, the Company repurchased 1,625</w:t>
      </w:r>
      <w:r>
        <w:rPr>
          <w:rFonts w:ascii="Times New Roman" w:hAnsi="Times New Roman"/>
          <w:color w:val="000000"/>
          <w:sz w:val="20"/>
        </w:rPr>
        <w:t xml:space="preserve"> </w:t>
      </w:r>
      <w:r>
        <w:rPr>
          <w:rFonts w:ascii="Times New Roman" w:hAnsi="Times New Roman"/>
          <w:color w:val="000000"/>
          <w:sz w:val="16"/>
        </w:rPr>
        <w:t>of its outstanding shares under the share repurchase program at an aggregate cost of approximately $34</w:t>
      </w:r>
      <w:r>
        <w:rPr>
          <w:rFonts w:ascii="Times New Roman" w:hAnsi="Times New Roman"/>
          <w:color w:val="000000"/>
          <w:sz w:val="20"/>
        </w:rPr>
        <w:t xml:space="preserve"> </w:t>
      </w:r>
      <w:r>
        <w:rPr>
          <w:rFonts w:ascii="Times New Roman" w:hAnsi="Times New Roman"/>
          <w:color w:val="000000"/>
          <w:sz w:val="16"/>
        </w:rPr>
        <w:t>thousand.</w:t>
      </w:r>
    </w:p>
    <w:p>
      <w:pPr>
        <w:pStyle w:val="TextBody"/>
        <w:bidi w:val="0"/>
        <w:spacing w:before="120" w:after="120"/>
        <w:jc w:val="both"/>
        <w:rPr>
          <w:rFonts w:ascii="Times New Roman" w:hAnsi="Times New Roman"/>
          <w:sz w:val="20"/>
        </w:rPr>
      </w:pPr>
      <w:r>
        <w:rPr>
          <w:rFonts w:ascii="Times New Roman" w:hAnsi="Times New Roman"/>
          <w:color w:val="000000"/>
          <w:sz w:val="16"/>
        </w:rPr>
        <w:t>During the three months ended March 31, 2024, the Company did not issue any shares of common stock under its DRIP. During the three months ended March 31, 2023, the Company issued 140</w:t>
      </w:r>
      <w:r>
        <w:rPr>
          <w:rFonts w:ascii="Times New Roman" w:hAnsi="Times New Roman"/>
          <w:color w:val="000000"/>
          <w:sz w:val="20"/>
        </w:rPr>
        <w:t xml:space="preserve"> </w:t>
      </w:r>
      <w:r>
        <w:rPr>
          <w:rFonts w:ascii="Times New Roman" w:hAnsi="Times New Roman"/>
          <w:color w:val="000000"/>
          <w:sz w:val="16"/>
        </w:rPr>
        <w:t>shares of common stock under its DRIP.</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6"/>
        </w:rPr>
        <w:t>During the three months ended March 31, 2024, the 2032 Note Convertible Noteholders elected to convert $0.5</w:t>
      </w:r>
      <w:r>
        <w:rPr>
          <w:rFonts w:ascii="Times New Roman" w:hAnsi="Times New Roman"/>
          <w:color w:val="000000"/>
          <w:sz w:val="20"/>
        </w:rPr>
        <w:t xml:space="preserve"> </w:t>
      </w:r>
      <w:r>
        <w:rPr>
          <w:rFonts w:ascii="Times New Roman" w:hAnsi="Times New Roman"/>
          <w:color w:val="000000"/>
          <w:sz w:val="16"/>
        </w:rPr>
        <w:t>million par of the 2032 Convertible Notes into 22,105</w:t>
      </w:r>
      <w:r>
        <w:rPr>
          <w:rFonts w:ascii="Times New Roman" w:hAnsi="Times New Roman"/>
          <w:color w:val="000000"/>
          <w:sz w:val="20"/>
        </w:rPr>
        <w:t xml:space="preserve"> </w:t>
      </w:r>
      <w:r>
        <w:rPr>
          <w:rFonts w:ascii="Times New Roman" w:hAnsi="Times New Roman"/>
          <w:color w:val="000000"/>
          <w:sz w:val="16"/>
        </w:rPr>
        <w:t>shares of common stock pursuant to the Note Purchase Agreement at a rate of $22.61</w:t>
      </w:r>
      <w:r>
        <w:rPr>
          <w:rFonts w:ascii="Times New Roman" w:hAnsi="Times New Roman"/>
          <w:color w:val="000000"/>
          <w:sz w:val="20"/>
        </w:rPr>
        <w:t xml:space="preserve"> </w:t>
      </w:r>
      <w:r>
        <w:rPr>
          <w:rFonts w:ascii="Times New Roman" w:hAnsi="Times New Roman"/>
          <w:color w:val="000000"/>
          <w:sz w:val="16"/>
        </w:rPr>
        <w:t>per principal amount, in accordance with a Notice of Exercise of Conversion. There were no</w:t>
      </w:r>
      <w:r>
        <w:rPr>
          <w:rFonts w:ascii="Times New Roman" w:hAnsi="Times New Roman"/>
          <w:color w:val="000000"/>
          <w:sz w:val="20"/>
        </w:rPr>
        <w:t xml:space="preserve"> </w:t>
      </w:r>
      <w:r>
        <w:rPr>
          <w:rFonts w:ascii="Times New Roman" w:hAnsi="Times New Roman"/>
          <w:color w:val="000000"/>
          <w:sz w:val="16"/>
        </w:rPr>
        <w:t>such conversion during the three months ended March 31, 2023.</w:t>
      </w:r>
    </w:p>
    <w:p>
      <w:pPr>
        <w:pStyle w:val="TextBody"/>
        <w:bidi w:val="0"/>
        <w:spacing w:before="120" w:after="120"/>
        <w:jc w:val="both"/>
        <w:rPr>
          <w:rFonts w:ascii="Times New Roman" w:hAnsi="Times New Roman"/>
          <w:sz w:val="20"/>
        </w:rPr>
      </w:pPr>
      <w:r>
        <w:rPr>
          <w:rFonts w:ascii="Times New Roman" w:hAnsi="Times New Roman"/>
          <w:color w:val="000000"/>
          <w:sz w:val="16"/>
        </w:rPr>
        <w:t>The total number of shares of the Company’s common stock outstanding as of March 31, 2024 and December 31, 2023 was 2,675,936</w:t>
      </w:r>
      <w:r>
        <w:rPr>
          <w:rFonts w:ascii="Times New Roman" w:hAnsi="Times New Roman"/>
          <w:color w:val="000000"/>
          <w:sz w:val="20"/>
        </w:rPr>
        <w:t xml:space="preserve"> </w:t>
      </w:r>
      <w:r>
        <w:rPr>
          <w:rFonts w:ascii="Times New Roman" w:hAnsi="Times New Roman"/>
          <w:color w:val="000000"/>
          <w:sz w:val="16"/>
        </w:rPr>
        <w:t>and 2,674,698, respectively.</w:t>
      </w:r>
    </w:p>
    <w:p>
      <w:pPr>
        <w:pStyle w:val="TextBody"/>
        <w:bidi w:val="0"/>
        <w:spacing w:before="120" w:after="283"/>
        <w:jc w:val="both"/>
        <w:rPr>
          <w:rFonts w:ascii="Times New Roman" w:hAnsi="Times New Roman"/>
          <w:sz w:val="20"/>
        </w:rPr>
      </w:pPr>
      <w:r>
        <w:rPr>
          <w:rFonts w:ascii="Times New Roman" w:hAnsi="Times New Roman"/>
          <w:b/>
          <w:color w:val="000000"/>
          <w:sz w:val="16"/>
        </w:rPr>
        <w:t>Note 9. Earnings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In accordance with the provisions of ASC Topic 260 - </w:t>
      </w:r>
      <w:r>
        <w:rPr>
          <w:rFonts w:ascii="Times New Roman" w:hAnsi="Times New Roman"/>
          <w:i/>
          <w:color w:val="000000"/>
          <w:sz w:val="16"/>
        </w:rPr>
        <w:t>Earnings per Share</w:t>
      </w:r>
      <w:r>
        <w:rPr>
          <w:rFonts w:ascii="Times New Roman" w:hAnsi="Times New Roman"/>
          <w:color w:val="000000"/>
          <w:sz w:val="20"/>
        </w:rPr>
        <w:t xml:space="preserve"> </w:t>
      </w:r>
      <w:r>
        <w:rPr>
          <w:rFonts w:ascii="Times New Roman" w:hAnsi="Times New Roman"/>
          <w:color w:val="000000"/>
          <w:sz w:val="16"/>
        </w:rPr>
        <w:t>(“ASC 260”), basic earnings per share is computed by dividing earnings available to common stockholders by the weighted average number of shares of the Company’s common stock outstanding during the period. Other potentially dilutive shares of the Company’s common stock, and the related impact to earnings, are considered when calculating diluted earnings per share. For the three months ended March 31, 2024 and 2023, 0.5</w:t>
      </w:r>
      <w:r>
        <w:rPr>
          <w:rFonts w:ascii="Times New Roman" w:hAnsi="Times New Roman"/>
          <w:color w:val="000000"/>
          <w:sz w:val="20"/>
        </w:rPr>
        <w:t xml:space="preserve"> </w:t>
      </w:r>
      <w:r>
        <w:rPr>
          <w:rFonts w:ascii="Times New Roman" w:hAnsi="Times New Roman"/>
          <w:color w:val="000000"/>
          <w:sz w:val="16"/>
        </w:rPr>
        <w:t>million and 0.5</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respectively, in convertible shares related to the 2032 Convertible Notes were considered anti-dilutive.</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information sets forth the computation of the weighted average basic and diluted net increase (decrease) in net assets per share resulting from operations for the three months ended March 31, 2024 and 2023 (dollars in thousands, except share and per share data):</w:t>
      </w:r>
    </w:p>
    <w:tbl>
      <w:tblPr>
        <w:tblW w:w="9010" w:type="dxa"/>
        <w:jc w:val="left"/>
        <w:tblInd w:w="0" w:type="dxa"/>
        <w:tblLayout w:type="fixed"/>
        <w:tblCellMar>
          <w:top w:w="28" w:type="dxa"/>
          <w:left w:w="28" w:type="dxa"/>
          <w:bottom w:w="28" w:type="dxa"/>
          <w:right w:w="28" w:type="dxa"/>
        </w:tblCellMar>
      </w:tblPr>
      <w:tblGrid>
        <w:gridCol w:w="5671"/>
        <w:gridCol w:w="146"/>
        <w:gridCol w:w="250"/>
        <w:gridCol w:w="1055"/>
        <w:gridCol w:w="186"/>
        <w:gridCol w:w="186"/>
        <w:gridCol w:w="250"/>
        <w:gridCol w:w="1055"/>
        <w:gridCol w:w="2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2024</w:t>
            </w:r>
            <w:r>
              <w:rPr>
                <w:rFonts w:ascii="Times New Roman" w:hAnsi="Times New Roman"/>
                <w:b/>
                <w:color w:val="000000"/>
                <w:sz w:val="11"/>
              </w:rPr>
              <w:t>(1)</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2023</w:t>
            </w:r>
            <w:r>
              <w:rPr>
                <w:rFonts w:ascii="Times New Roman" w:hAnsi="Times New Roman"/>
                <w:b/>
                <w:color w:val="000000"/>
                <w:sz w:val="11"/>
              </w:rPr>
              <w:t>(2)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 - basic</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8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common stock outstanding – basic</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2,678,342</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2,710,990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per share from operations - basic</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0.69</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increase in net assets resulting from operations - basic</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18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 for interest on the 2032 Convertible Notes and incentive fees, net</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net (decrease) increase in net assets resulting from operations - diluted</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w:t>
            </w:r>
          </w:p>
        </w:tc>
        <w:tc>
          <w:tcPr>
            <w:tcW w:w="18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Weighted average common stock outstanding – basic</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2,678,342</w:t>
            </w:r>
          </w:p>
        </w:tc>
        <w:tc>
          <w:tcPr>
            <w:tcW w:w="186"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2,710,990</w:t>
            </w:r>
          </w:p>
        </w:tc>
        <w:tc>
          <w:tcPr>
            <w:tcW w:w="211" w:type="dxa"/>
            <w:tcBorders/>
            <w:shd w:fill="FFFFFF" w:val="cle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 for dilutive effect of the 2032 Convertible Notes</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517,398</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Adjusted weighted average common stock outstanding - diluted</w:t>
            </w:r>
          </w:p>
        </w:tc>
        <w:tc>
          <w:tcPr>
            <w:tcW w:w="14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3,195,740</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2,710,990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(decrease) increase in net assets per share resulting from operations - diluted</w:t>
            </w:r>
          </w:p>
        </w:tc>
        <w:tc>
          <w:tcPr>
            <w:tcW w:w="14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0.65</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pBdr>
          <w:top w:val="single" w:sz="6" w:space="1" w:color="000000"/>
        </w:pBdr>
        <w:bidi w:val="0"/>
        <w:spacing w:before="120" w:after="283"/>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 applying the if-converted method, conversion is not assumed for purposes of computing diluted earnings per share if the effect would be anti-dilutive. For the three months ended March 31, 2024, conversion of the 2032 Convertible Notes into 0.5 million shares was assumed as the effect on diluted earnings per share would be dilutive.</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jc w:val="both"/>
        <w:rPr>
          <w:rFonts w:ascii="Times New Roman" w:hAnsi="Times New Roman"/>
          <w:color w:val="000000"/>
          <w:sz w:val="16"/>
        </w:rPr>
      </w:pPr>
      <w:r>
        <w:rPr>
          <w:rFonts w:ascii="Times New Roman" w:hAnsi="Times New Roman"/>
          <w:color w:val="000000"/>
          <w:sz w:val="16"/>
        </w:rPr>
        <w:t>In applying the if-converted method, conversion is not assumed for purposes of computing diluted earnings per share if the effect would be anti-dilutive. For the three months ended March 31, 2023, conversion of the 2032 Convertible Notes into 0.5 million shares was not assumed as the effect on diluted earnings per share would be anti-dilutive.</w:t>
      </w:r>
    </w:p>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Note 10. Distributions</w:t>
      </w:r>
    </w:p>
    <w:p>
      <w:pPr>
        <w:pStyle w:val="TextBody"/>
        <w:bidi w:val="0"/>
        <w:spacing w:before="0" w:after="120"/>
        <w:jc w:val="both"/>
        <w:rPr>
          <w:rFonts w:ascii="Times New Roman" w:hAnsi="Times New Roman"/>
          <w:sz w:val="20"/>
        </w:rPr>
      </w:pPr>
      <w:r>
        <w:rPr>
          <w:rFonts w:ascii="Times New Roman" w:hAnsi="Times New Roman"/>
          <w:color w:val="000000"/>
          <w:sz w:val="16"/>
        </w:rPr>
        <w:t>The Company’s distributions are recorded on the record date. Stockholders have the option to receive payment of the distribution in cash, shares of the Company’s common stock, or a combination of cash and shares of common stock. Tax characteristics of all distributions paid are reported to stockholders on Form 1099 after the end of the calendar year. Accordingly, distributions may be subject to reclassification based on future dividends and operating results and will not be determined until the end of the year.</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The following table summarizes the Company's distribution declarations for the three months ended March 31, 2024 (dollars in thousands, except share and per share data):</w:t>
      </w:r>
    </w:p>
    <w:tbl>
      <w:tblPr>
        <w:tblW w:w="8528" w:type="dxa"/>
        <w:jc w:val="left"/>
        <w:tblInd w:w="0" w:type="dxa"/>
        <w:tblLayout w:type="fixed"/>
        <w:tblCellMar>
          <w:top w:w="28" w:type="dxa"/>
          <w:left w:w="28" w:type="dxa"/>
          <w:bottom w:w="28" w:type="dxa"/>
          <w:right w:w="28" w:type="dxa"/>
        </w:tblCellMar>
      </w:tblPr>
      <w:tblGrid>
        <w:gridCol w:w="1246"/>
        <w:gridCol w:w="146"/>
        <w:gridCol w:w="1231"/>
        <w:gridCol w:w="146"/>
        <w:gridCol w:w="1141"/>
        <w:gridCol w:w="146"/>
        <w:gridCol w:w="261"/>
        <w:gridCol w:w="564"/>
        <w:gridCol w:w="146"/>
        <w:gridCol w:w="146"/>
        <w:gridCol w:w="472"/>
        <w:gridCol w:w="908"/>
        <w:gridCol w:w="146"/>
        <w:gridCol w:w="146"/>
        <w:gridCol w:w="186"/>
        <w:gridCol w:w="444"/>
        <w:gridCol w:w="146"/>
        <w:gridCol w:w="146"/>
        <w:gridCol w:w="206"/>
        <w:gridCol w:w="364"/>
        <w:gridCol w:w="191"/>
      </w:tblGrid>
      <w:tr>
        <w:trPr/>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DRIP </w:t>
              <w:br/>
              <w:t xml:space="preserve">Shares </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DRIP </w:t>
              <w:br/>
              <w:t xml:space="preserve">Share </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11, 2024</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25, 2024</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April 2, 2024</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0" w:type="dxa"/>
            <w:gridSpan w:val="5"/>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Distributions Declared and Distributed for 2024</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table summarizes the Company's distribution declarations for the three months ended March 31, 2023 (dollars in thousands, except share and per share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tbl>
      <w:tblPr>
        <w:tblW w:w="8528" w:type="dxa"/>
        <w:jc w:val="left"/>
        <w:tblInd w:w="0" w:type="dxa"/>
        <w:tblLayout w:type="fixed"/>
        <w:tblCellMar>
          <w:top w:w="28" w:type="dxa"/>
          <w:left w:w="28" w:type="dxa"/>
          <w:bottom w:w="28" w:type="dxa"/>
          <w:right w:w="28" w:type="dxa"/>
        </w:tblCellMar>
      </w:tblPr>
      <w:tblGrid>
        <w:gridCol w:w="1156"/>
        <w:gridCol w:w="146"/>
        <w:gridCol w:w="1231"/>
        <w:gridCol w:w="146"/>
        <w:gridCol w:w="1231"/>
        <w:gridCol w:w="146"/>
        <w:gridCol w:w="261"/>
        <w:gridCol w:w="564"/>
        <w:gridCol w:w="146"/>
        <w:gridCol w:w="146"/>
        <w:gridCol w:w="472"/>
        <w:gridCol w:w="908"/>
        <w:gridCol w:w="146"/>
        <w:gridCol w:w="146"/>
        <w:gridCol w:w="175"/>
        <w:gridCol w:w="455"/>
        <w:gridCol w:w="146"/>
        <w:gridCol w:w="146"/>
        <w:gridCol w:w="285"/>
        <w:gridCol w:w="285"/>
        <w:gridCol w:w="191"/>
      </w:tblGrid>
      <w:tr>
        <w:trPr/>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Date Declared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Payment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Cash Distribution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DRIP </w:t>
              <w:br/>
              <w:t xml:space="preserve">Shares </w:t>
              <w:br/>
              <w:t>Issued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DRIP </w:t>
              <w:br/>
              <w:t xml:space="preserve">Share </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5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6, 2023</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20, 2023</w:t>
            </w:r>
          </w:p>
        </w:tc>
        <w:tc>
          <w:tcPr>
            <w:tcW w:w="146" w:type="dxa"/>
            <w:tcBorders/>
            <w:shd w:fill="CFF0FC" w:val="clear"/>
            <w:vAlign w:val="center"/>
          </w:tcPr>
          <w:p>
            <w:pPr>
              <w:pStyle w:val="TableContents"/>
              <w:bidi w:val="0"/>
              <w:spacing w:before="0" w:after="283"/>
              <w:jc w:val="left"/>
              <w:rPr/>
            </w:pPr>
            <w:r>
              <w:rPr/>
              <w:t> </w:t>
            </w:r>
          </w:p>
        </w:tc>
        <w:tc>
          <w:tcPr>
            <w:tcW w:w="12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31, 2023</w:t>
            </w:r>
          </w:p>
        </w:tc>
        <w:tc>
          <w:tcPr>
            <w:tcW w:w="146" w:type="dxa"/>
            <w:tcBorders/>
            <w:shd w:fill="CFF0FC" w:val="cle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0" w:type="dxa"/>
            <w:gridSpan w:val="5"/>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Distributions Declared and Distributed for 2023</w:t>
            </w:r>
          </w:p>
        </w:tc>
        <w:tc>
          <w:tcPr>
            <w:tcW w:w="146" w:type="dxa"/>
            <w:tcBorders/>
            <w:shd w:fill="FFFFFF" w:val="cle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LOGAN RIDGE FINANCE CORPORATION</w:t>
      </w:r>
    </w:p>
    <w:p>
      <w:pPr>
        <w:pStyle w:val="TextBody"/>
        <w:bidi w:val="0"/>
        <w:jc w:val="center"/>
        <w:rPr>
          <w:rFonts w:ascii="Times New Roman" w:hAnsi="Times New Roman"/>
          <w:b/>
          <w:color w:val="000000"/>
          <w:sz w:val="16"/>
        </w:rPr>
      </w:pPr>
      <w:r>
        <w:rPr>
          <w:rFonts w:ascii="Times New Roman" w:hAnsi="Times New Roman"/>
          <w:b/>
          <w:color w:val="000000"/>
          <w:sz w:val="16"/>
        </w:rPr>
        <w:t>NOTES TO CONSOLIDATED FINANCIAL STATEMENTS</w:t>
      </w:r>
    </w:p>
    <w:p>
      <w:pPr>
        <w:pStyle w:val="TextBody"/>
        <w:bidi w:val="0"/>
        <w:jc w:val="center"/>
        <w:rPr>
          <w:rFonts w:ascii="Times New Roman" w:hAnsi="Times New Roman"/>
          <w:b/>
          <w:color w:val="000000"/>
          <w:sz w:val="16"/>
        </w:rPr>
      </w:pPr>
      <w:r>
        <w:rPr>
          <w:rFonts w:ascii="Times New Roman" w:hAnsi="Times New Roman"/>
          <w:b/>
          <w:color w:val="000000"/>
          <w:sz w:val="16"/>
        </w:rPr>
        <w:t>March 31, 2024</w:t>
      </w:r>
    </w:p>
    <w:p>
      <w:pPr>
        <w:pStyle w:val="TextBody"/>
        <w:bidi w:val="0"/>
        <w:jc w:val="center"/>
        <w:rPr>
          <w:rFonts w:ascii="Times New Roman" w:hAnsi="Times New Roman"/>
          <w:b/>
          <w:color w:val="000000"/>
          <w:sz w:val="16"/>
        </w:rPr>
      </w:pPr>
      <w:r>
        <w:rPr>
          <w:rFonts w:ascii="Times New Roman" w:hAnsi="Times New Roman"/>
          <w:b/>
          <w:color w:val="000000"/>
          <w:sz w:val="16"/>
        </w:rPr>
        <w:t>(Unaudited)</w:t>
      </w:r>
    </w:p>
    <w:p>
      <w:pPr>
        <w:pStyle w:val="TextBody"/>
        <w:bidi w:val="0"/>
        <w:jc w:val="left"/>
        <w:rPr/>
      </w:pPr>
      <w:r>
        <w:rPr/>
        <w:t> </w:t>
      </w:r>
    </w:p>
    <w:p>
      <w:pPr>
        <w:pStyle w:val="TextBody"/>
        <w:bidi w:val="0"/>
        <w:spacing w:before="240" w:after="120"/>
        <w:jc w:val="left"/>
        <w:rPr>
          <w:rFonts w:ascii="Times New Roman" w:hAnsi="Times New Roman"/>
          <w:sz w:val="20"/>
        </w:rPr>
      </w:pPr>
      <w:r>
        <w:rPr>
          <w:rFonts w:ascii="Times New Roman" w:hAnsi="Times New Roman"/>
          <w:b/>
          <w:color w:val="000000"/>
          <w:sz w:val="16"/>
        </w:rPr>
        <w:t>Note 11. Financial Highlights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16"/>
        </w:rPr>
        <w:t>The following is a schedule of financial highlights for the three months ended March 31, 2024 and 2023 (dollars in thousands, except share and per share data):</w:t>
      </w:r>
      <w:r>
        <w:rPr>
          <w:rFonts w:ascii="Times New Roman" w:hAnsi="Times New Roman"/>
          <w:color w:val="000000"/>
          <w:sz w:val="20"/>
        </w:rPr>
        <w:t xml:space="preserve"> </w:t>
      </w:r>
    </w:p>
    <w:tbl>
      <w:tblPr>
        <w:tblW w:w="9701" w:type="dxa"/>
        <w:jc w:val="left"/>
        <w:tblInd w:w="0" w:type="dxa"/>
        <w:tblLayout w:type="fixed"/>
        <w:tblCellMar>
          <w:top w:w="28" w:type="dxa"/>
          <w:left w:w="28" w:type="dxa"/>
          <w:bottom w:w="28" w:type="dxa"/>
          <w:right w:w="28" w:type="dxa"/>
        </w:tblCellMar>
      </w:tblPr>
      <w:tblGrid>
        <w:gridCol w:w="6226"/>
        <w:gridCol w:w="146"/>
        <w:gridCol w:w="240"/>
        <w:gridCol w:w="1014"/>
        <w:gridCol w:w="296"/>
        <w:gridCol w:w="179"/>
        <w:gridCol w:w="240"/>
        <w:gridCol w:w="1014"/>
        <w:gridCol w:w="346"/>
      </w:tblGrid>
      <w:tr>
        <w:trPr/>
        <w:tc>
          <w:tcPr>
            <w:tcW w:w="6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83"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346" w:type="dxa"/>
            <w:tcBorders/>
            <w:shd w:fill="FFFFFF" w:val="clear"/>
            <w:vAlign w:val="center"/>
          </w:tcPr>
          <w:p>
            <w:pPr>
              <w:pStyle w:val="TableContents"/>
              <w:bidi w:val="0"/>
              <w:spacing w:before="0" w:after="283"/>
              <w:jc w:val="center"/>
              <w:rPr/>
            </w:pPr>
            <w:r>
              <w:rPr/>
              <w:t> </w:t>
            </w:r>
          </w:p>
        </w:tc>
      </w:tr>
      <w:tr>
        <w:trPr/>
        <w:tc>
          <w:tcPr>
            <w:tcW w:w="62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9" w:type="dxa"/>
            <w:tcBorders/>
            <w:shd w:fill="FFFFFF" w:val="clear"/>
            <w:vAlign w:val="center"/>
          </w:tcPr>
          <w:p>
            <w:pPr>
              <w:pStyle w:val="TableContents"/>
              <w:bidi w:val="0"/>
              <w:spacing w:before="0" w:after="283"/>
              <w:jc w:val="center"/>
              <w:rPr/>
            </w:pPr>
            <w:r>
              <w:rPr/>
              <w:t> </w:t>
            </w:r>
          </w:p>
        </w:tc>
        <w:tc>
          <w:tcPr>
            <w:tcW w:w="12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 share data:</w:t>
            </w:r>
          </w:p>
        </w:tc>
        <w:tc>
          <w:tcPr>
            <w:tcW w:w="146" w:type="dxa"/>
            <w:tcBorders/>
            <w:shd w:fill="CFF0FC" w:val="clear"/>
            <w:vAlign w:val="center"/>
          </w:tcPr>
          <w:p>
            <w:pPr>
              <w:pStyle w:val="TableContents"/>
              <w:bidi w:val="0"/>
              <w:spacing w:before="0" w:after="283"/>
              <w:jc w:val="left"/>
              <w:rPr/>
            </w:pPr>
            <w:r>
              <w:rPr/>
              <w:t> </w:t>
            </w:r>
          </w:p>
        </w:tc>
        <w:tc>
          <w:tcPr>
            <w:tcW w:w="1254" w:type="dxa"/>
            <w:gridSpan w:val="2"/>
            <w:tcBorders/>
            <w:shd w:fill="CFF0FC" w:val="clear"/>
            <w:vAlign w:val="center"/>
          </w:tcPr>
          <w:p>
            <w:pPr>
              <w:pStyle w:val="TableContents"/>
              <w:bidi w:val="0"/>
              <w:spacing w:before="0" w:after="283"/>
              <w:jc w:val="right"/>
              <w:rPr/>
            </w:pPr>
            <w:r>
              <w:rPr/>
              <w:t> </w:t>
            </w:r>
          </w:p>
        </w:tc>
        <w:tc>
          <w:tcPr>
            <w:tcW w:w="296"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1254"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at beginning of period</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33.34</w:t>
            </w:r>
          </w:p>
        </w:tc>
        <w:tc>
          <w:tcPr>
            <w:tcW w:w="29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35.04</w:t>
            </w:r>
          </w:p>
        </w:tc>
        <w:tc>
          <w:tcPr>
            <w:tcW w:w="346" w:type="dxa"/>
            <w:tcBorders/>
            <w:shd w:fill="FFFFFF" w:val="cle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investment income</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0.35</w:t>
            </w:r>
          </w:p>
        </w:tc>
        <w:tc>
          <w:tcPr>
            <w:tcW w:w="29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0.40</w:t>
            </w:r>
          </w:p>
        </w:tc>
        <w:tc>
          <w:tcPr>
            <w:tcW w:w="346"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realized gain (loss) on investments</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0.11</w:t>
            </w:r>
          </w:p>
        </w:tc>
        <w:tc>
          <w:tcPr>
            <w:tcW w:w="29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(0.56</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change in unrealized (depreciation) on investments</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0.25</w:t>
            </w:r>
          </w:p>
        </w:tc>
        <w:tc>
          <w:tcPr>
            <w:tcW w:w="29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Net realized (loss) on extinguishment of debt</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(0.02</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color w:val="000000"/>
              </w:rPr>
            </w:pPr>
            <w:r>
              <w:rPr>
                <w:color w:val="000000"/>
              </w:rPr>
              <w:t>—</w:t>
            </w:r>
          </w:p>
        </w:tc>
        <w:tc>
          <w:tcPr>
            <w:tcW w:w="346" w:type="dxa"/>
            <w:tcBorders/>
            <w:shd w:fill="FFFFFF" w:val="cle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Dilutive effect of common stock issuance</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Distributions - net investment income</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(0.32</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(0.18</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Accretive effect of common stock repurchases</w:t>
            </w:r>
            <w:r>
              <w:rPr>
                <w:rFonts w:ascii="Times New Roman" w:hAnsi="Times New Roman"/>
                <w:color w:val="000000"/>
                <w:sz w:val="11"/>
              </w:rPr>
              <w:t>(1)</w:t>
            </w:r>
          </w:p>
        </w:tc>
        <w:tc>
          <w:tcPr>
            <w:tcW w:w="146"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0.08</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0.01</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 value at end of year</w:t>
            </w:r>
          </w:p>
        </w:tc>
        <w:tc>
          <w:tcPr>
            <w:tcW w:w="146"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33.71</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34.63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assets at end of period</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90,195</w:t>
            </w:r>
          </w:p>
        </w:tc>
        <w:tc>
          <w:tcPr>
            <w:tcW w:w="29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93,833</w:t>
            </w:r>
          </w:p>
        </w:tc>
        <w:tc>
          <w:tcPr>
            <w:tcW w:w="346"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Shares outstanding at end of period</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2,675,936</w:t>
            </w:r>
          </w:p>
        </w:tc>
        <w:tc>
          <w:tcPr>
            <w:tcW w:w="29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2,709,583</w:t>
            </w:r>
          </w:p>
        </w:tc>
        <w:tc>
          <w:tcPr>
            <w:tcW w:w="346" w:type="dxa"/>
            <w:tcBorders/>
            <w:shd w:fill="FFFFFF" w:val="cle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Per share market value at end of period</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22.49</w:t>
            </w:r>
          </w:p>
        </w:tc>
        <w:tc>
          <w:tcPr>
            <w:tcW w:w="29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20.80</w:t>
            </w:r>
          </w:p>
        </w:tc>
        <w:tc>
          <w:tcPr>
            <w:tcW w:w="346"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Total return based on market value</w:t>
            </w:r>
            <w:r>
              <w:rPr>
                <w:rFonts w:ascii="Times New Roman" w:hAnsi="Times New Roman"/>
                <w:color w:val="000000"/>
                <w:sz w:val="11"/>
              </w:rPr>
              <w:t>(2)</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0.97</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(6.13</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Ratio/Supplemental data:</w:t>
            </w:r>
          </w:p>
        </w:tc>
        <w:tc>
          <w:tcPr>
            <w:tcW w:w="146" w:type="dxa"/>
            <w:tcBorders/>
            <w:shd w:fill="CFF0FC" w:val="clear"/>
            <w:vAlign w:val="center"/>
          </w:tcPr>
          <w:p>
            <w:pPr>
              <w:pStyle w:val="TableContents"/>
              <w:bidi w:val="0"/>
              <w:spacing w:before="0" w:after="283"/>
              <w:jc w:val="left"/>
              <w:rPr/>
            </w:pPr>
            <w:r>
              <w:rPr/>
              <w:t> </w:t>
            </w:r>
          </w:p>
        </w:tc>
        <w:tc>
          <w:tcPr>
            <w:tcW w:w="1254" w:type="dxa"/>
            <w:gridSpan w:val="2"/>
            <w:tcBorders/>
            <w:shd w:fill="CFF0FC" w:val="clear"/>
            <w:vAlign w:val="center"/>
          </w:tcPr>
          <w:p>
            <w:pPr>
              <w:pStyle w:val="TableContents"/>
              <w:bidi w:val="0"/>
              <w:spacing w:before="0" w:after="283"/>
              <w:jc w:val="right"/>
              <w:rPr/>
            </w:pPr>
            <w:r>
              <w:rPr/>
              <w:t> </w:t>
            </w:r>
          </w:p>
        </w:tc>
        <w:tc>
          <w:tcPr>
            <w:tcW w:w="296" w:type="dxa"/>
            <w:tcBorders/>
            <w:shd w:fill="CFF0FC" w:val="clear"/>
            <w:vAlign w:val="center"/>
          </w:tcPr>
          <w:p>
            <w:pPr>
              <w:pStyle w:val="TableContents"/>
              <w:bidi w:val="0"/>
              <w:spacing w:before="0" w:after="283"/>
              <w:jc w:val="right"/>
              <w:rPr/>
            </w:pPr>
            <w:r>
              <w:rPr/>
              <w:t> </w:t>
            </w:r>
          </w:p>
        </w:tc>
        <w:tc>
          <w:tcPr>
            <w:tcW w:w="179" w:type="dxa"/>
            <w:tcBorders/>
            <w:shd w:fill="CFF0FC" w:val="clear"/>
            <w:vAlign w:val="center"/>
          </w:tcPr>
          <w:p>
            <w:pPr>
              <w:pStyle w:val="TableContents"/>
              <w:bidi w:val="0"/>
              <w:spacing w:before="0" w:after="283"/>
              <w:jc w:val="left"/>
              <w:rPr/>
            </w:pPr>
            <w:r>
              <w:rPr/>
              <w:t> </w:t>
            </w:r>
          </w:p>
        </w:tc>
        <w:tc>
          <w:tcPr>
            <w:tcW w:w="1254" w:type="dxa"/>
            <w:gridSpan w:val="2"/>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righ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net investment income (loss) to average net assets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4.61</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interest and financing expenses to average net assets</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8.94</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8.89</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Ratio of other operating expenses to average net assets</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9.25</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9.08</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Ratio of total expenses including tax provision, net of fee waivers to average net assets</w:t>
            </w:r>
            <w:r>
              <w:rPr>
                <w:rFonts w:ascii="Times New Roman" w:hAnsi="Times New Roman"/>
                <w:color w:val="000000"/>
                <w:sz w:val="11"/>
              </w:rPr>
              <w:t>(3)</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18.19</w:t>
            </w:r>
          </w:p>
        </w:tc>
        <w:tc>
          <w:tcPr>
            <w:tcW w:w="2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17.97</w:t>
            </w:r>
          </w:p>
        </w:tc>
        <w:tc>
          <w:tcPr>
            <w:tcW w:w="3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Portfolio turnover rate</w:t>
            </w:r>
            <w:r>
              <w:rPr>
                <w:rFonts w:ascii="Times New Roman" w:hAnsi="Times New Roman"/>
                <w:color w:val="000000"/>
                <w:sz w:val="11"/>
              </w:rPr>
              <w:t>(4)</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0.49</w:t>
            </w:r>
          </w:p>
        </w:tc>
        <w:tc>
          <w:tcPr>
            <w:tcW w:w="2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3.30</w:t>
            </w:r>
          </w:p>
        </w:tc>
        <w:tc>
          <w:tcPr>
            <w:tcW w:w="3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Average debt outstanding</w:t>
            </w:r>
            <w:r>
              <w:rPr>
                <w:rFonts w:ascii="Times New Roman" w:hAnsi="Times New Roman"/>
                <w:color w:val="000000"/>
                <w:sz w:val="11"/>
              </w:rPr>
              <w:t>(5)</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107,722</w:t>
            </w:r>
          </w:p>
        </w:tc>
        <w:tc>
          <w:tcPr>
            <w:tcW w:w="29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118,219</w:t>
            </w:r>
          </w:p>
        </w:tc>
        <w:tc>
          <w:tcPr>
            <w:tcW w:w="346" w:type="dxa"/>
            <w:tcBorders/>
            <w:shd w:fill="CFF0FC" w:val="clear"/>
            <w:vAlign w:val="center"/>
          </w:tcPr>
          <w:p>
            <w:pPr>
              <w:pStyle w:val="TableContents"/>
              <w:bidi w:val="0"/>
              <w:spacing w:before="0" w:after="283"/>
              <w:jc w:val="left"/>
              <w:rPr/>
            </w:pPr>
            <w:r>
              <w:rPr/>
              <w:t> </w:t>
            </w:r>
          </w:p>
        </w:tc>
      </w:tr>
      <w:tr>
        <w:trPr/>
        <w:tc>
          <w:tcPr>
            <w:tcW w:w="622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Average debt outstanding per common share</w:t>
            </w:r>
            <w:r>
              <w:rPr>
                <w:rFonts w:ascii="Times New Roman" w:hAnsi="Times New Roman"/>
                <w:color w:val="000000"/>
                <w:sz w:val="11"/>
              </w:rPr>
              <w:t>(1)</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40.22</w:t>
            </w:r>
          </w:p>
        </w:tc>
        <w:tc>
          <w:tcPr>
            <w:tcW w:w="296" w:type="dxa"/>
            <w:tcBorders/>
            <w:shd w:fill="FFFFFF" w:val="clear"/>
            <w:vAlign w:val="center"/>
          </w:tcPr>
          <w:p>
            <w:pPr>
              <w:pStyle w:val="TableContents"/>
              <w:bidi w:val="0"/>
              <w:spacing w:before="0" w:after="283"/>
              <w:jc w:val="left"/>
              <w:rPr/>
            </w:pPr>
            <w:r>
              <w:rPr/>
              <w:t> </w:t>
            </w:r>
          </w:p>
        </w:tc>
        <w:tc>
          <w:tcPr>
            <w:tcW w:w="179"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43.61</w:t>
            </w:r>
          </w:p>
        </w:tc>
        <w:tc>
          <w:tcPr>
            <w:tcW w:w="346" w:type="dxa"/>
            <w:tcBorders/>
            <w:shd w:fill="FFFFFF" w:val="clear"/>
            <w:vAlign w:val="center"/>
          </w:tcPr>
          <w:p>
            <w:pPr>
              <w:pStyle w:val="TableContents"/>
              <w:bidi w:val="0"/>
              <w:spacing w:before="0" w:after="283"/>
              <w:jc w:val="left"/>
              <w:rPr/>
            </w:pPr>
            <w:r>
              <w:rPr/>
              <w:t> </w:t>
            </w:r>
          </w:p>
        </w:tc>
      </w:tr>
      <w:tr>
        <w:trPr/>
        <w:tc>
          <w:tcPr>
            <w:tcW w:w="622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Asset coverage ratio per unit</w:t>
            </w:r>
            <w:r>
              <w:rPr>
                <w:rFonts w:ascii="Times New Roman" w:hAnsi="Times New Roman"/>
                <w:color w:val="000000"/>
                <w:sz w:val="11"/>
              </w:rPr>
              <w:t>(6)</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1,760</w:t>
            </w:r>
          </w:p>
        </w:tc>
        <w:tc>
          <w:tcPr>
            <w:tcW w:w="296" w:type="dxa"/>
            <w:tcBorders/>
            <w:shd w:fill="CFF0FC" w:val="clear"/>
            <w:vAlign w:val="center"/>
          </w:tcPr>
          <w:p>
            <w:pPr>
              <w:pStyle w:val="TableContents"/>
              <w:bidi w:val="0"/>
              <w:spacing w:before="0" w:after="283"/>
              <w:jc w:val="left"/>
              <w:rPr/>
            </w:pPr>
            <w:r>
              <w:rPr/>
              <w:t> </w:t>
            </w:r>
          </w:p>
        </w:tc>
        <w:tc>
          <w:tcPr>
            <w:tcW w:w="179"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1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1,747</w:t>
            </w:r>
          </w:p>
        </w:tc>
        <w:tc>
          <w:tcPr>
            <w:tcW w:w="346"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120"/>
        <w:jc w:val="both"/>
        <w:rPr/>
      </w:pPr>
      <w:r>
        <w:rPr/>
        <w:t> </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(1)</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Based on daily weighted average balance of shares of the Company’s common stock outstanding during the period.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(2)</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Total investment return is calculated assuming a purchase of shares of the Company's common stock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(3)</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Ratio is annualized.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(4)</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Portfolio turnover rate is calculated using the lesser of year-to-date sales or year-to-date purchases over the average of the invested assets at fair value. Portfolio turnover rates that cover less than a full period are not annualized.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(5)</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Based on the daily weighted average balance of debt outstanding during the period.</w:t>
      </w:r>
    </w:p>
    <w:p>
      <w:pPr>
        <w:pStyle w:val="TextBody"/>
        <w:bidi w:val="0"/>
        <w:spacing w:before="0" w:after="0"/>
        <w:jc w:val="both"/>
        <w:rPr>
          <w:rFonts w:ascii="Times New Roman" w:hAnsi="Times New Roman"/>
          <w:color w:val="000000"/>
          <w:sz w:val="14"/>
        </w:rPr>
      </w:pPr>
      <w:r>
        <w:rPr>
          <w:rFonts w:ascii="Times New Roman" w:hAnsi="Times New Roman"/>
          <w:color w:val="000000"/>
          <w:sz w:val="14"/>
        </w:rPr>
        <w:t>(6)</w:t>
      </w:r>
    </w:p>
    <w:p>
      <w:pPr>
        <w:pStyle w:val="TextBody"/>
        <w:bidi w:val="0"/>
        <w:jc w:val="both"/>
        <w:rPr>
          <w:rFonts w:ascii="Times New Roman" w:hAnsi="Times New Roman"/>
          <w:sz w:val="16"/>
        </w:rPr>
      </w:pPr>
      <w:r>
        <w:rPr>
          <w:rFonts w:ascii="Times New Roman" w:hAnsi="Times New Roman"/>
          <w:color w:val="000000"/>
          <w:sz w:val="14"/>
        </w:rPr>
        <w:t>Asset coverage per unit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w:t>
      </w:r>
      <w:r>
        <w:rPr>
          <w:rFonts w:ascii="Times New Roman" w:hAnsi="Times New Roman"/>
          <w:color w:val="000000"/>
          <w:sz w:val="16"/>
        </w:rPr>
        <w:t xml:space="preserve"> </w:t>
      </w:r>
      <w:r>
        <w:rPr>
          <w:rFonts w:ascii="Times New Roman" w:hAnsi="Times New Roman"/>
          <w:color w:val="000000"/>
          <w:sz w:val="14"/>
        </w:rPr>
        <w:t>of indebtedness.</w:t>
      </w:r>
    </w:p>
    <w:p>
      <w:pPr>
        <w:pStyle w:val="TextBody"/>
        <w:bidi w:val="0"/>
        <w:jc w:val="both"/>
        <w:rPr/>
      </w:pPr>
      <w:r>
        <w:rPr/>
        <w:t> </w:t>
      </w:r>
    </w:p>
    <w:p>
      <w:pPr>
        <w:pStyle w:val="TextBody"/>
        <w:bidi w:val="0"/>
        <w:spacing w:before="80" w:after="120"/>
        <w:jc w:val="both"/>
        <w:rPr>
          <w:rFonts w:ascii="Times New Roman" w:hAnsi="Times New Roman"/>
          <w:b/>
          <w:color w:val="000000"/>
          <w:sz w:val="16"/>
        </w:rPr>
      </w:pPr>
      <w:r>
        <w:rPr>
          <w:rFonts w:ascii="Times New Roman" w:hAnsi="Times New Roman"/>
          <w:b/>
          <w:color w:val="000000"/>
          <w:sz w:val="16"/>
        </w:rPr>
        <w:t>Note 12. Subsequent Events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Management has evaluated subsequent events through the date of issuance of the consolidated financial statements included herein. There have been no subsequent events that occurred during such period that would be required to be recognized in the consolidated financial statements as of March 31, 2024, other than as set forth below.</w:t>
      </w:r>
    </w:p>
    <w:p>
      <w:pPr>
        <w:pStyle w:val="TextBody"/>
        <w:bidi w:val="0"/>
        <w:spacing w:before="120" w:after="120"/>
        <w:jc w:val="both"/>
        <w:rPr>
          <w:rFonts w:ascii="Times New Roman" w:hAnsi="Times New Roman"/>
          <w:sz w:val="20"/>
        </w:rPr>
      </w:pPr>
      <w:r>
        <w:rPr>
          <w:rFonts w:ascii="Times New Roman" w:hAnsi="Times New Roman"/>
          <w:color w:val="000000"/>
          <w:sz w:val="16"/>
        </w:rPr>
        <w:t>On April 2, 2024, the Company prepaid $2.0</w:t>
      </w:r>
      <w:r>
        <w:rPr>
          <w:rFonts w:ascii="Times New Roman" w:hAnsi="Times New Roman"/>
          <w:color w:val="000000"/>
          <w:sz w:val="20"/>
        </w:rPr>
        <w:t xml:space="preserve"> </w:t>
      </w:r>
      <w:r>
        <w:rPr>
          <w:rFonts w:ascii="Times New Roman" w:hAnsi="Times New Roman"/>
          <w:color w:val="000000"/>
          <w:sz w:val="16"/>
        </w:rPr>
        <w:t>million of the aggregate principal amount outstanding of the 2032 Notes, together with accrued and unpaid interest.</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6"/>
        </w:rPr>
        <w:t>On May 7, 2024, the Company’s Board of Directors approved a distribution of $0.33</w:t>
      </w:r>
      <w:r>
        <w:rPr>
          <w:rFonts w:ascii="Times New Roman" w:hAnsi="Times New Roman"/>
          <w:color w:val="000000"/>
          <w:sz w:val="20"/>
        </w:rPr>
        <w:t xml:space="preserve"> </w:t>
      </w:r>
      <w:r>
        <w:rPr>
          <w:rFonts w:ascii="Times New Roman" w:hAnsi="Times New Roman"/>
          <w:color w:val="000000"/>
          <w:sz w:val="16"/>
        </w:rPr>
        <w:t>per share, payable on May 31, 2024</w:t>
      </w:r>
      <w:r>
        <w:rPr>
          <w:rFonts w:ascii="Times New Roman" w:hAnsi="Times New Roman"/>
          <w:color w:val="000000"/>
          <w:sz w:val="20"/>
        </w:rPr>
        <w:t xml:space="preserve"> </w:t>
      </w:r>
      <w:r>
        <w:rPr>
          <w:rFonts w:ascii="Times New Roman" w:hAnsi="Times New Roman"/>
          <w:color w:val="000000"/>
          <w:sz w:val="16"/>
        </w:rPr>
        <w:t>to stockholders of record as of May 21, 2024.</w:t>
      </w:r>
    </w:p>
    <w:p>
      <w:pPr>
        <w:pStyle w:val="TextBody"/>
        <w:bidi w:val="0"/>
        <w:spacing w:before="120" w:after="12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sz w:val="20"/>
        </w:rPr>
      </w:pPr>
      <w:bookmarkStart w:id="10" w:name="item_2_management_discussion"/>
      <w:bookmarkEnd w:id="10"/>
      <w:r>
        <w:rPr>
          <w:rFonts w:ascii="Times New Roman" w:hAnsi="Times New Roman"/>
          <w:b/>
          <w:color w:val="000000"/>
          <w:sz w:val="16"/>
        </w:rPr>
        <w:t>Item 2. Management’s Discussion and Analysis</w:t>
      </w:r>
      <w:r>
        <w:rPr>
          <w:rFonts w:ascii="Times New Roman" w:hAnsi="Times New Roman"/>
          <w:color w:val="000000"/>
          <w:sz w:val="20"/>
        </w:rPr>
        <w:t xml:space="preserve"> </w:t>
      </w:r>
      <w:r>
        <w:rPr>
          <w:rFonts w:ascii="Times New Roman" w:hAnsi="Times New Roman"/>
          <w:b/>
          <w:color w:val="000000"/>
          <w:sz w:val="16"/>
        </w:rPr>
        <w:t>of Financial Condition and Results of Operations</w:t>
      </w:r>
    </w:p>
    <w:p>
      <w:pPr>
        <w:pStyle w:val="TextBody"/>
        <w:bidi w:val="0"/>
        <w:jc w:val="both"/>
        <w:rPr>
          <w:rFonts w:ascii="Times New Roman" w:hAnsi="Times New Roman"/>
          <w:color w:val="000000"/>
          <w:sz w:val="16"/>
        </w:rPr>
      </w:pPr>
      <w:r>
        <w:rPr>
          <w:rFonts w:ascii="Times New Roman" w:hAnsi="Times New Roman"/>
          <w:color w:val="000000"/>
          <w:sz w:val="16"/>
        </w:rPr>
        <w:t>The information contained in this section should be read in conjunction with our consolidated financial statements and related notes thereto appearing elsewhere in this Quarterly Report on Form 10-Q.</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Except as otherwise indicated, the terms “we”, “us”, “our”, the “Company”, “Logan Ridge” and “LRFC” refer to Logan Ridge Finance Corporation.</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Forward-Looking Statements</w:t>
      </w:r>
    </w:p>
    <w:p>
      <w:pPr>
        <w:pStyle w:val="TextBody"/>
        <w:bidi w:val="0"/>
        <w:jc w:val="both"/>
        <w:rPr>
          <w:rFonts w:ascii="Times New Roman" w:hAnsi="Times New Roman"/>
          <w:color w:val="000000"/>
          <w:sz w:val="16"/>
        </w:rPr>
      </w:pPr>
      <w:r>
        <w:rPr>
          <w:rFonts w:ascii="Times New Roman" w:hAnsi="Times New Roman"/>
          <w:color w:val="000000"/>
          <w:sz w:val="16"/>
        </w:rPr>
        <w:t>This Quarterly Report on Form 10-Q,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our future operating results;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our business prospects and the prospects of our portfolio companies, including our and their ability to achieve our respective objectives;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the impact of investments that we expect to make;</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our contractual arrangements and relationships with third parties;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the dependence of our future success on the general economy and its impact on the industries in which we invest;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our expected financings and investments;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the adequacy of our cash resources and working capital; and</w:t>
      </w:r>
    </w:p>
    <w:p>
      <w:pPr>
        <w:pStyle w:val="TextBody"/>
        <w:bidi w:val="0"/>
        <w:spacing w:before="120" w:after="120"/>
        <w:jc w:val="both"/>
        <w:rPr>
          <w:color w:val="231F20"/>
        </w:rPr>
      </w:pPr>
      <w:r>
        <w:rPr>
          <w:color w:val="231F20"/>
        </w:rPr>
        <w:t>•</w:t>
      </w:r>
    </w:p>
    <w:p>
      <w:pPr>
        <w:pStyle w:val="TextBody"/>
        <w:bidi w:val="0"/>
        <w:spacing w:before="120" w:after="120"/>
        <w:jc w:val="both"/>
        <w:rPr>
          <w:rFonts w:ascii="Times New Roman" w:hAnsi="Times New Roman"/>
          <w:color w:val="231F20"/>
          <w:sz w:val="16"/>
        </w:rPr>
      </w:pPr>
      <w:r>
        <w:rPr>
          <w:rFonts w:ascii="Times New Roman" w:hAnsi="Times New Roman"/>
          <w:color w:val="231F20"/>
          <w:sz w:val="16"/>
        </w:rPr>
        <w:t>the timing of cash flows, if any, from the operations of our portfolio companies.</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16"/>
        </w:rPr>
      </w:pPr>
      <w:r>
        <w:rPr>
          <w:rFonts w:ascii="Times New Roman" w:hAnsi="Times New Roman"/>
          <w:color w:val="231F20"/>
          <w:sz w:val="16"/>
        </w:rPr>
        <w:t>an economic downturn could impair our portfolio companies’ ability to continue to operate or repay their borrowings, which could lead to the loss of some or all of our investments in such portfolio companies;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a contraction of available credit and/or an inability to access the equity markets could impair our lending and investment activities;</w:t>
      </w:r>
    </w:p>
    <w:p>
      <w:pPr>
        <w:pStyle w:val="TextBody"/>
        <w:bidi w:val="0"/>
        <w:spacing w:before="120" w:after="283"/>
        <w:jc w:val="both"/>
        <w:rPr>
          <w:color w:val="231F20"/>
        </w:rPr>
      </w:pPr>
      <w:r>
        <w:rPr>
          <w:color w:val="231F20"/>
        </w:rPr>
        <w:t>•</w:t>
      </w:r>
    </w:p>
    <w:p>
      <w:pPr>
        <w:pStyle w:val="TextBody"/>
        <w:bidi w:val="0"/>
        <w:spacing w:before="120" w:after="283"/>
        <w:jc w:val="both"/>
        <w:rPr/>
      </w:pPr>
      <w:r>
        <w:rPr>
          <w:rFonts w:ascii="Times New Roman" w:hAnsi="Times New Roman"/>
          <w:color w:val="231F20"/>
          <w:sz w:val="16"/>
        </w:rPr>
        <w:t>geopolitical instability and volatility in the global markets caused by events such as the deterioration in the bilateral relationship between the U.S. and China, the military conflict between Russia and Ukraine</w:t>
      </w:r>
      <w:r>
        <w:rPr>
          <w:rFonts w:ascii="Times New Roman" w:hAnsi="Times New Roman"/>
          <w:color w:val="000000"/>
          <w:sz w:val="16"/>
        </w:rPr>
        <w:t>, and the military conflict between Israel and Hamas</w:t>
      </w:r>
      <w:r>
        <w:rPr>
          <w:rFonts w:ascii="Times New Roman" w:hAnsi="Times New Roman"/>
          <w:color w:val="231F20"/>
          <w:sz w:val="16"/>
        </w:rPr>
        <w:t>;</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uncertain effects due to the discontinuation of LIBOR and due to the transition to SOFR;</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interest rate volatility could adversely affect our results, particularly if we use leverage as part of our investment strategy; and</w:t>
      </w:r>
    </w:p>
    <w:p>
      <w:pPr>
        <w:pStyle w:val="TextBody"/>
        <w:bidi w:val="0"/>
        <w:spacing w:before="120" w:after="120"/>
        <w:jc w:val="both"/>
        <w:rPr>
          <w:color w:val="231F20"/>
        </w:rPr>
      </w:pPr>
      <w:r>
        <w:rPr>
          <w:color w:val="231F20"/>
        </w:rPr>
        <w:t>•</w:t>
      </w:r>
    </w:p>
    <w:p>
      <w:pPr>
        <w:pStyle w:val="TextBody"/>
        <w:bidi w:val="0"/>
        <w:spacing w:before="120" w:after="120"/>
        <w:jc w:val="both"/>
        <w:rPr/>
      </w:pPr>
      <w:r>
        <w:rPr>
          <w:rFonts w:ascii="Times New Roman" w:hAnsi="Times New Roman"/>
          <w:color w:val="231F20"/>
          <w:sz w:val="16"/>
        </w:rPr>
        <w:t>the risks, uncertainties and other factors we identify in “Risk Factors” and elsewhere in this Quarterly Report on Form 10-Q.</w:t>
      </w:r>
      <w:r>
        <w:rPr>
          <w:color w:val="000000"/>
        </w:rPr>
        <w:t xml:space="preserve">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 Form 10-K for the fiscal year ended December 31, 2023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Overview</w:t>
      </w:r>
    </w:p>
    <w:p>
      <w:pPr>
        <w:pStyle w:val="TextBody"/>
        <w:bidi w:val="0"/>
        <w:jc w:val="both"/>
        <w:rPr>
          <w:rFonts w:ascii="Times New Roman" w:hAnsi="Times New Roman"/>
          <w:sz w:val="20"/>
        </w:rPr>
      </w:pPr>
      <w:r>
        <w:rPr>
          <w:rFonts w:ascii="Times New Roman" w:hAnsi="Times New Roman"/>
          <w:color w:val="000000"/>
          <w:sz w:val="16"/>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w:t>
      </w:r>
      <w:r>
        <w:rPr>
          <w:rFonts w:ascii="Times New Roman" w:hAnsi="Times New Roman"/>
          <w:color w:val="000000"/>
          <w:sz w:val="20"/>
        </w:rPr>
        <w:t xml:space="preserve"> </w:t>
      </w:r>
      <w:r>
        <w:rPr>
          <w:rFonts w:ascii="Times New Roman" w:hAnsi="Times New Roman"/>
          <w:color w:val="000000"/>
          <w:sz w:val="16"/>
        </w:rPr>
        <w:t>We are managed by Mount Logan Management LLC (the “Investment Adviser”), and BC Partners Management LLC (the “Administrator”) provides the administrative services necessary for us to operate.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$5.0 million and $50.0 million in trailing twelve-month earnings before interest, tax, depreciation, and amortization (“EBITDA”).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invest in first lien loans and, to a lesser extent, second lien loans and equity securities issued by lower middle-market and traditional middle-market companies.</w:t>
      </w:r>
    </w:p>
    <w:p>
      <w:pPr>
        <w:pStyle w:val="TextBody"/>
        <w:bidi w:val="0"/>
        <w:spacing w:before="120" w:after="120"/>
        <w:jc w:val="both"/>
        <w:rPr>
          <w:rFonts w:ascii="Times New Roman" w:hAnsi="Times New Roman"/>
          <w:sz w:val="20"/>
        </w:rPr>
      </w:pPr>
      <w:r>
        <w:rPr>
          <w:rFonts w:ascii="Times New Roman" w:hAnsi="Times New Roman"/>
          <w:color w:val="000000"/>
          <w:sz w:val="16"/>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As of March 31, 2024, our asset coverage ratio was 176%. To maintain our regulated investment company (“RIC”) status, we must meet specified source-of-income and asset diversification requirements. To maintain our RIC tax treatment under subchapter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Corporate History</w:t>
      </w:r>
    </w:p>
    <w:p>
      <w:pPr>
        <w:pStyle w:val="TextBody"/>
        <w:bidi w:val="0"/>
        <w:jc w:val="both"/>
        <w:rPr>
          <w:rFonts w:ascii="Times New Roman" w:hAnsi="Times New Roman"/>
          <w:sz w:val="20"/>
        </w:rPr>
      </w:pPr>
      <w:r>
        <w:rPr>
          <w:rFonts w:ascii="Times New Roman" w:hAnsi="Times New Roman"/>
          <w:color w:val="000000"/>
          <w:sz w:val="16"/>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 II 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On June 10, 2021, Fund III repaid its SBA-guaranteed debentures and relinquished its SBIC license. Accordingly, as of March 31, 2024 and December 31, 2023, there were no SBA-guaranteed debentures outstanding.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was licensed under the SBIC Act until June 10, 2021 and has elected to be regulated as BDC under the 1940 Act. Fund II, our subsidiary, was licensed under the SBIC Act until March 1, 2019 and has elected to be regulated as a BDC under the 1940 Act.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pStyle w:val="TextBody"/>
        <w:bidi w:val="0"/>
        <w:spacing w:before="120" w:after="120"/>
        <w:jc w:val="both"/>
        <w:rPr>
          <w:rFonts w:ascii="Times New Roman" w:hAnsi="Times New Roman"/>
          <w:color w:val="231F20"/>
          <w:sz w:val="16"/>
        </w:rPr>
      </w:pPr>
      <w:r>
        <w:rPr>
          <w:rFonts w:ascii="Times New Roman" w:hAnsi="Times New Roman"/>
          <w:color w:val="231F20"/>
          <w:sz w:val="16"/>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pStyle w:val="TextBody"/>
        <w:bidi w:val="0"/>
        <w:spacing w:before="120" w:after="120"/>
        <w:jc w:val="both"/>
        <w:rPr>
          <w:rFonts w:ascii="Times New Roman" w:hAnsi="Times New Roman"/>
          <w:color w:val="231F20"/>
          <w:sz w:val="16"/>
        </w:rPr>
      </w:pPr>
      <w:r>
        <w:rPr>
          <w:rFonts w:ascii="Times New Roman" w:hAnsi="Times New Roman"/>
          <w:color w:val="231F20"/>
          <w:sz w:val="16"/>
        </w:rPr>
        <w:t>In addition, we evaluate strategic opportunities available to us, including mergers with unaffiliated funds and affiliated funds, divestures, spin-offs, joint ventures and other similar transactions from time to time. An example of an opportunity we are currently in the initial stages of evaluating is a potential merger with one or more of our affiliated 1940 Act funds, which may result in the use of an exchange ratio other than NAV-for-NAV (including but not limited to relative market price) in connection therewith.</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Definitive Agreement</w:t>
      </w:r>
    </w:p>
    <w:p>
      <w:pPr>
        <w:pStyle w:val="TextBody"/>
        <w:bidi w:val="0"/>
        <w:jc w:val="both"/>
        <w:rPr>
          <w:rFonts w:ascii="Times New Roman" w:hAnsi="Times New Roman"/>
          <w:color w:val="000000"/>
          <w:sz w:val="16"/>
        </w:rPr>
      </w:pPr>
      <w:r>
        <w:rPr>
          <w:rFonts w:ascii="Times New Roman" w:hAnsi="Times New Roman"/>
          <w:color w:val="000000"/>
          <w:sz w:val="16"/>
        </w:rPr>
        <w:t>On April 20, 2021, Capitala Investment Advisors, LLC (“Capitala”), the Company’s former investment adviser, entered into a definitive agreement (the “Definitive Agreement”) with the Investment Adviser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Adviser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pStyle w:val="TextBody"/>
        <w:bidi w:val="0"/>
        <w:spacing w:before="120" w:after="283"/>
        <w:jc w:val="both"/>
        <w:rPr>
          <w:rFonts w:ascii="Times New Roman" w:hAnsi="Times New Roman"/>
          <w:sz w:val="20"/>
        </w:rPr>
      </w:pPr>
      <w:r>
        <w:rPr>
          <w:rFonts w:ascii="Times New Roman" w:hAnsi="Times New Roman"/>
          <w:color w:val="000000"/>
          <w:sz w:val="16"/>
        </w:rPr>
        <w:t>As part of the Transaction, the Investment Adviser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On the date of the Closing, the Company changed its name from Capitala Finance Corp. to Logan Ridge Finance Corporation and on July 2, 2021, the Company’s common stock began trading on the NASDAQ Global Select Market under the symbol “LRFC.”</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231F20"/>
          <w:sz w:val="16"/>
        </w:rPr>
      </w:pPr>
      <w:r>
        <w:rPr>
          <w:rFonts w:ascii="Times New Roman" w:hAnsi="Times New Roman"/>
          <w:b/>
          <w:color w:val="231F20"/>
          <w:sz w:val="16"/>
        </w:rPr>
        <w:t>Basis of Presentation</w:t>
      </w:r>
    </w:p>
    <w:p>
      <w:pPr>
        <w:pStyle w:val="TextBody"/>
        <w:bidi w:val="0"/>
        <w:jc w:val="both"/>
        <w:rPr>
          <w:rFonts w:ascii="Times New Roman" w:hAnsi="Times New Roman"/>
          <w:sz w:val="20"/>
        </w:rPr>
      </w:pPr>
      <w:r>
        <w:rPr>
          <w:rFonts w:ascii="Times New Roman" w:hAnsi="Times New Roman"/>
          <w:color w:val="000000"/>
          <w:sz w:val="16"/>
        </w:rPr>
        <w:t xml:space="preserve">The Company is considered an investment company as defined in Accounting Standards Codification (“ASC”) Topic 946 — </w:t>
      </w:r>
      <w:r>
        <w:rPr>
          <w:rFonts w:ascii="Times New Roman" w:hAnsi="Times New Roman"/>
          <w:i/>
          <w:color w:val="000000"/>
          <w:sz w:val="16"/>
        </w:rPr>
        <w:t>Financial Services — Investment Companies</w:t>
      </w:r>
      <w:r>
        <w:rPr>
          <w:rFonts w:ascii="Times New Roman" w:hAnsi="Times New Roman"/>
          <w:color w:val="000000"/>
          <w:sz w:val="20"/>
        </w:rPr>
        <w:t xml:space="preserve"> </w:t>
      </w:r>
      <w:r>
        <w:rPr>
          <w:rFonts w:ascii="Times New Roman" w:hAnsi="Times New Roman"/>
          <w:color w:val="000000"/>
          <w:sz w:val="16"/>
        </w:rPr>
        <w:t>(“ASC 946”)</w:t>
      </w:r>
      <w:r>
        <w:rPr>
          <w:rFonts w:ascii="Times New Roman" w:hAnsi="Times New Roman"/>
          <w:i/>
          <w:color w:val="000000"/>
          <w:sz w:val="16"/>
        </w:rPr>
        <w:t>.</w:t>
      </w:r>
      <w:r>
        <w:rPr>
          <w:rFonts w:ascii="Times New Roman" w:hAnsi="Times New Roman"/>
          <w:color w:val="000000"/>
          <w:sz w:val="20"/>
        </w:rPr>
        <w:t xml:space="preserve"> </w:t>
      </w:r>
      <w:r>
        <w:rPr>
          <w:rFonts w:ascii="Times New Roman" w:hAnsi="Times New Roman"/>
          <w:color w:val="000000"/>
          <w:sz w:val="16"/>
        </w:rPr>
        <w:t>The accompanying unaudited consolidated financial statements have been prepared on the accrual basis of 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financial statements as of March 31, 2024 and December 31, 2023 and for the periods ended March 31, 2024 and 2023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pStyle w:val="TextBody"/>
        <w:bidi w:val="0"/>
        <w:spacing w:before="120" w:after="120"/>
        <w:jc w:val="both"/>
        <w:rPr>
          <w:rFonts w:ascii="Times New Roman" w:hAnsi="Times New Roman"/>
          <w:sz w:val="20"/>
        </w:rPr>
      </w:pPr>
      <w:r>
        <w:rPr>
          <w:rFonts w:ascii="Times New Roman" w:hAnsi="Times New Roman"/>
          <w:color w:val="000000"/>
          <w:sz w:val="16"/>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2023, filed with the SEC on March 26, 2024.</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Consolidation</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w:t>
      </w:r>
    </w:p>
    <w:p>
      <w:pPr>
        <w:pStyle w:val="TextBody"/>
        <w:bidi w:val="0"/>
        <w:spacing w:before="0" w:after="120"/>
        <w:jc w:val="left"/>
        <w:rPr>
          <w:rFonts w:ascii="Times New Roman" w:hAnsi="Times New Roman"/>
          <w:b/>
          <w:color w:val="000000"/>
          <w:sz w:val="16"/>
        </w:rPr>
      </w:pPr>
      <w:r>
        <w:rPr>
          <w:rFonts w:ascii="Times New Roman" w:hAnsi="Times New Roman"/>
          <w:b/>
          <w:color w:val="000000"/>
          <w:sz w:val="16"/>
        </w:rPr>
        <w:t>Revenues</w:t>
      </w:r>
    </w:p>
    <w:p>
      <w:pPr>
        <w:pStyle w:val="TextBody"/>
        <w:bidi w:val="0"/>
        <w:spacing w:before="0" w:after="120"/>
        <w:jc w:val="both"/>
        <w:rPr>
          <w:rFonts w:ascii="Times New Roman" w:hAnsi="Times New Roman"/>
          <w:sz w:val="20"/>
        </w:rPr>
      </w:pPr>
      <w:r>
        <w:rPr>
          <w:rFonts w:ascii="Times New Roman" w:hAnsi="Times New Roman"/>
          <w:color w:val="000000"/>
          <w:sz w:val="16"/>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r>
        <w:rPr>
          <w:rFonts w:ascii="Times New Roman" w:hAnsi="Times New Roman"/>
          <w:color w:val="000000"/>
          <w:sz w:val="20"/>
        </w:rPr>
        <w:t xml:space="preserve"> </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Expenses</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Our primary operating expenses include the payment of investment advisory fees to our Investment Adviser,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Adviser for its work in identifying, evaluating, negotiating, closing, monitoring, and servicing our investments. We will bear all other expenses of our operations and transactions, including (without limitation):</w:t>
      </w:r>
    </w:p>
    <w:p>
      <w:pPr>
        <w:pStyle w:val="TextBody"/>
        <w:bidi w:val="0"/>
        <w:spacing w:before="0" w:after="0"/>
        <w:jc w:val="both"/>
        <w:rPr>
          <w:color w:val="231F20"/>
        </w:rPr>
      </w:pPr>
      <w:r>
        <w:rPr>
          <w:color w:val="231F20"/>
        </w:rPr>
        <w:t>•</w:t>
      </w:r>
    </w:p>
    <w:p>
      <w:pPr>
        <w:pStyle w:val="TextBody"/>
        <w:bidi w:val="0"/>
        <w:spacing w:before="0" w:after="0"/>
        <w:jc w:val="both"/>
        <w:rPr>
          <w:rFonts w:ascii="Times New Roman" w:hAnsi="Times New Roman"/>
          <w:color w:val="231F20"/>
          <w:sz w:val="16"/>
        </w:rPr>
      </w:pPr>
      <w:r>
        <w:rPr>
          <w:rFonts w:ascii="Times New Roman" w:hAnsi="Times New Roman"/>
          <w:color w:val="231F20"/>
          <w:sz w:val="16"/>
        </w:rPr>
        <w:t>the cost of our organization;</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the cost of calculating our net asset value, including the cost of any third-party valuation services;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the cost of effecting sales and repurchases of our shares and other securities;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interest payable on debt, if any, to finance our investments;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transfer agent and custodial fees;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fees and expenses associated with marketing efforts;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costs associated with our reporting and compliance obligations under the 1940 Act, the Securities Exchange Act of 1934, as amended (the “Exchange Act”), other applicable federal and state securities laws and ongoing stock exchange listing fees;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federal, state and local taxes;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independent directors’ fees and expenses;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brokerage commissions;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costs of proxy statements, stockholders’ reports and other communications with stockholders;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fidelity bond, directors’ and officers’ liability insurance, errors and omissions liability insurance and other insurance premiums;</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direct costs and expenses of administration, including printing, mailing, telephone and staff;</w:t>
      </w:r>
    </w:p>
    <w:p>
      <w:pPr>
        <w:pStyle w:val="TextBody"/>
        <w:bidi w:val="0"/>
        <w:spacing w:before="120" w:after="283"/>
        <w:jc w:val="both"/>
        <w:rPr>
          <w:color w:val="231F20"/>
        </w:rPr>
      </w:pPr>
      <w:r>
        <w:rPr>
          <w:color w:val="231F20"/>
        </w:rPr>
        <w:t>•</w:t>
      </w:r>
    </w:p>
    <w:p>
      <w:pPr>
        <w:pStyle w:val="TextBody"/>
        <w:bidi w:val="0"/>
        <w:spacing w:before="120" w:after="283"/>
        <w:jc w:val="both"/>
        <w:rPr>
          <w:rFonts w:ascii="Times New Roman" w:hAnsi="Times New Roman"/>
          <w:color w:val="231F20"/>
          <w:sz w:val="16"/>
        </w:rPr>
      </w:pPr>
      <w:r>
        <w:rPr>
          <w:rFonts w:ascii="Times New Roman" w:hAnsi="Times New Roman"/>
          <w:color w:val="231F20"/>
          <w:sz w:val="16"/>
        </w:rPr>
        <w:t>fees and expenses associated with independent audits and outside legal costs; and</w:t>
      </w:r>
    </w:p>
    <w:p>
      <w:pPr>
        <w:pStyle w:val="TextBody"/>
        <w:bidi w:val="0"/>
        <w:spacing w:before="120" w:after="120"/>
        <w:jc w:val="both"/>
        <w:rPr>
          <w:color w:val="231F20"/>
        </w:rPr>
      </w:pPr>
      <w:r>
        <w:rPr>
          <w:color w:val="231F20"/>
        </w:rPr>
        <w:t>•</w:t>
      </w:r>
    </w:p>
    <w:p>
      <w:pPr>
        <w:pStyle w:val="TextBody"/>
        <w:bidi w:val="0"/>
        <w:spacing w:before="120" w:after="120"/>
        <w:jc w:val="both"/>
        <w:rPr>
          <w:rFonts w:ascii="Times New Roman" w:hAnsi="Times New Roman"/>
          <w:color w:val="231F20"/>
          <w:sz w:val="16"/>
        </w:rPr>
      </w:pPr>
      <w:r>
        <w:rPr>
          <w:rFonts w:ascii="Times New Roman" w:hAnsi="Times New Roman"/>
          <w:color w:val="231F20"/>
          <w:sz w:val="16"/>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Critical Accounting Policies and Use of Estimates</w:t>
      </w:r>
    </w:p>
    <w:p>
      <w:pPr>
        <w:pStyle w:val="TextBody"/>
        <w:bidi w:val="0"/>
        <w:spacing w:before="0" w:after="120"/>
        <w:jc w:val="both"/>
        <w:rPr>
          <w:rFonts w:ascii="Times New Roman" w:hAnsi="Times New Roman"/>
          <w:sz w:val="20"/>
        </w:rPr>
      </w:pPr>
      <w:r>
        <w:rPr>
          <w:rFonts w:ascii="Times New Roman" w:hAnsi="Times New Roman"/>
          <w:color w:val="000000"/>
          <w:sz w:val="16"/>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r>
        <w:rPr>
          <w:rFonts w:ascii="Times New Roman" w:hAnsi="Times New Roman"/>
          <w:color w:val="000000"/>
          <w:sz w:val="20"/>
        </w:rPr>
        <w:t xml:space="preserve"> </w:t>
      </w:r>
    </w:p>
    <w:p>
      <w:pPr>
        <w:pStyle w:val="TextBody"/>
        <w:bidi w:val="0"/>
        <w:spacing w:before="0" w:after="120"/>
        <w:jc w:val="both"/>
        <w:rPr>
          <w:rFonts w:ascii="Times New Roman" w:hAnsi="Times New Roman"/>
          <w:b/>
          <w:i/>
          <w:color w:val="000000"/>
          <w:sz w:val="16"/>
        </w:rPr>
      </w:pPr>
      <w:r>
        <w:rPr>
          <w:rFonts w:ascii="Times New Roman" w:hAnsi="Times New Roman"/>
          <w:b/>
          <w:i/>
          <w:color w:val="000000"/>
          <w:sz w:val="16"/>
        </w:rPr>
        <w:t>Valuation of Investments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Investment transactions are recorded on the trade date. Realized gains or losses on investments are calculated using the specific identification method as the difference between the net proceeds received (excluding prepayment fees, if any) and the amortized cost basis of the investment without regard to unrealized appreciation or depreciation previously recognized, and include investments charged off during the period, net of recoveries. Net change in unrealized appreciation or depreciation reflects the change in portfolio investment values during the reporting period, including any reversal of previously recorded unrealized appreciation or depreciation when gains or losses are recognized.</w:t>
      </w:r>
    </w:p>
    <w:p>
      <w:pPr>
        <w:pStyle w:val="TextBody"/>
        <w:bidi w:val="0"/>
        <w:jc w:val="both"/>
        <w:rPr>
          <w:rFonts w:ascii="Times New Roman" w:hAnsi="Times New Roman"/>
          <w:color w:val="000000"/>
          <w:sz w:val="16"/>
        </w:rPr>
      </w:pPr>
      <w:r>
        <w:rPr>
          <w:rFonts w:ascii="Times New Roman" w:hAnsi="Times New Roman"/>
          <w:color w:val="000000"/>
          <w:sz w:val="16"/>
        </w:rPr>
        <w:t>Investments for which market quotations are available are typically valued at those market quotations. To validate market quotations, the Company will utilize a number of factors to determine if the quotations are representative of fair value, including the source and number of the quotations.</w:t>
      </w:r>
    </w:p>
    <w:p>
      <w:pPr>
        <w:pStyle w:val="TextBody"/>
        <w:bidi w:val="0"/>
        <w:spacing w:before="120" w:after="120"/>
        <w:jc w:val="both"/>
        <w:rPr>
          <w:rFonts w:ascii="Times New Roman" w:hAnsi="Times New Roman"/>
          <w:sz w:val="20"/>
        </w:rPr>
      </w:pPr>
      <w:r>
        <w:rPr>
          <w:rFonts w:ascii="Times New Roman" w:hAnsi="Times New Roman"/>
          <w:color w:val="000000"/>
          <w:sz w:val="16"/>
        </w:rPr>
        <w:t>Debt that is not publicly traded but for which there are external pricing sources available as of the valuation date is valued using independent broker-dealer, market maker quotations or independent pricing services. The valuation committee, comprised of members of the Investment Adviser, (the “Valuation Committee”) subjects these quotes to various criteria including, but not limited to, the number and quality of quotes, the deviation among the quotes and information derived from</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analyzing the Company’s own transactions in such investments throughout the reporting period. Generally, such investments are categorized in Level 2 of the fair value hierarchy, unless the Valuation Committee determines that the quality, quantity or deviation among quotes warrants significant adjustment to the inputs utilized.</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Board has designated the Investment Adviser as its “valuation designee” pursuant to Rule 2a-5 under the 1940 Act, and in that role the Investment Adviser is responsible for performing fair value determinations relating to all of the Company's investments, including periodically assessing and managing any material valuation risks and establishing and applying fair value methodologies, in accordance with valuation policies and procedures that have been approved by the Board. The Board remains ultimately responsible for fair value determinations under the 1940 Act and satisfies its responsibility through oversight of the valuation designee in accordance with Rule 2a-5. Investments that are not publicly traded or whose market prices are not readily available, as is expected to be the case for substantially all of the Company’s investments, are valued at fair value as determined in good faith by the Investment Adviser, based on, among other things, input of independent third-party valuation firm(s).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Investment Adviser undertakes a multi-step valuation process, which includes, among other procedures,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quarterly valuation process begins with each portfolio company or investment being initially valued using certain inputs, among others, provided by the investment professionals responsible for the portfolio investment in conjunction with the Company’s portfolio management team. The Company utilizes an independent valuation firm to provide valuation on each material illiquid security at least once every trailing 12-month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 xml:space="preserve">Preliminary valuations are reviewed and discussed with management of the Investment Adviser and investment professionals; and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Investment Adviser will review the valuations and determine the fair value of each investment. Valuations that are not based on readily available market quotations will be valued in good faith based on, among other things, the input of, where applicable, third parties.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As part of the valuation process, the Investment Adviser may consider other information and may use valuation methods including but not limited to (i) market quotes for similar investments, (ii) recent trading activity, (iii) discounting forecasted cash flows of the investment, (iv) models that consider the implied yields from comparable debt, (v) third party appraisal, (vi) sale negotiations and purchase offers received from independent parties and (vii) estimated value of underlying assets to be received in liquidation or restructuring.</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Due to the inherent uncertainty of determining the fair value of investments that do not have a readily available market value, the fair value of our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In addition, changes in the market environment and other events that may occur over the life of the investments may cause the gains or losses ultimately realized on these investments to be different than the unrealized gains or losses reflected herein.</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Under existing accounting guidance, fair value is defined as the price that the Company would receive upon selling an investment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Company. Unobservable inputs are inputs that reflect the assumptions market participants would use in pricing an asset or liability developed based on the best information available in the circumstances.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Company classifies the inputs used to measure these fair values into the following hierarchy as defined by current accounting guidance:</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Level 1: Unadjusted quoted prices in active markets for identical assets or liabilities that are accessible to the Company.</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Level 2: Quoted prices for similar assets or liabilities in active markets, or quoted prices for identical or similar assets or liabilities in markets that are not active, or other observable inputs other than quoted prices.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Level 3: Significant inputs that are unobservable for an asset or liability.</w:t>
      </w:r>
    </w:p>
    <w:p>
      <w:pPr>
        <w:pStyle w:val="TextBody"/>
        <w:bidi w:val="0"/>
        <w:jc w:val="both"/>
        <w:rPr>
          <w:rFonts w:ascii="Times New Roman" w:hAnsi="Times New Roman"/>
          <w:color w:val="000000"/>
          <w:sz w:val="16"/>
        </w:rPr>
      </w:pPr>
      <w:r>
        <w:rPr>
          <w:rFonts w:ascii="Times New Roman" w:hAnsi="Times New Roman"/>
          <w:color w:val="000000"/>
          <w:sz w:val="16"/>
        </w:rPr>
        <w:t>A financial instrument’s categorization within the valuation hierarchy is based upon the lowest level of input that is significant to the fair value measurement. Investments for which no external pricing sources are available as of the valuation date are included in Level 3 of the fair value hierarchy.</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As a practical expedient, the Company uses net asset value (“NAV”) as the fair value for its equity investment in Great Lakes Funding II LLC (“Great Lakes II Joint Venture”). The Great Lakes II Joint Venture records its underlying investments at fair value on a quarterly basis in accordance with the 1940 Act and U.S. GAAP.</w:t>
      </w:r>
    </w:p>
    <w:p>
      <w:pPr>
        <w:pStyle w:val="TextBody"/>
        <w:bidi w:val="0"/>
        <w:spacing w:before="120" w:after="120"/>
        <w:jc w:val="both"/>
        <w:rPr>
          <w:rFonts w:ascii="Times New Roman" w:hAnsi="Times New Roman"/>
          <w:b/>
          <w:i/>
          <w:color w:val="000000"/>
          <w:sz w:val="16"/>
        </w:rPr>
      </w:pPr>
      <w:r>
        <w:rPr>
          <w:rFonts w:ascii="Times New Roman" w:hAnsi="Times New Roman"/>
          <w:b/>
          <w:i/>
          <w:color w:val="000000"/>
          <w:sz w:val="16"/>
        </w:rPr>
        <w:t>Valuation Techniques</w:t>
      </w:r>
    </w:p>
    <w:p>
      <w:pPr>
        <w:pStyle w:val="TextBody"/>
        <w:bidi w:val="0"/>
        <w:jc w:val="both"/>
        <w:rPr>
          <w:rFonts w:ascii="Times New Roman" w:hAnsi="Times New Roman"/>
          <w:i/>
          <w:color w:val="000000"/>
          <w:sz w:val="16"/>
        </w:rPr>
      </w:pPr>
      <w:r>
        <w:rPr>
          <w:rFonts w:ascii="Times New Roman" w:hAnsi="Times New Roman"/>
          <w:i/>
          <w:color w:val="000000"/>
          <w:sz w:val="16"/>
        </w:rPr>
        <w:t>Enterprise Value Waterfall Approach</w:t>
      </w:r>
    </w:p>
    <w:p>
      <w:pPr>
        <w:pStyle w:val="TextBody"/>
        <w:bidi w:val="0"/>
        <w:spacing w:before="120" w:after="120"/>
        <w:jc w:val="both"/>
        <w:rPr>
          <w:rFonts w:ascii="Times New Roman" w:hAnsi="Times New Roman"/>
          <w:sz w:val="20"/>
        </w:rPr>
      </w:pPr>
      <w:r>
        <w:rPr>
          <w:rFonts w:ascii="Times New Roman" w:hAnsi="Times New Roman"/>
          <w:color w:val="000000"/>
          <w:sz w:val="16"/>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i/>
          <w:color w:val="000000"/>
          <w:sz w:val="16"/>
        </w:rPr>
        <w:t>Income Approach</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6"/>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pStyle w:val="TextBody"/>
        <w:bidi w:val="0"/>
        <w:spacing w:before="120" w:after="120"/>
        <w:jc w:val="both"/>
        <w:rPr>
          <w:rFonts w:ascii="Times New Roman" w:hAnsi="Times New Roman"/>
          <w:sz w:val="20"/>
        </w:rPr>
      </w:pPr>
      <w:r>
        <w:rPr>
          <w:rFonts w:ascii="Times New Roman" w:hAnsi="Times New Roman"/>
          <w:i/>
          <w:color w:val="000000"/>
          <w:sz w:val="16"/>
        </w:rPr>
        <w:t>Asset Approach</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asset approach values an investment based on the value of the underlying collateral securing the investment.</w:t>
      </w:r>
    </w:p>
    <w:p>
      <w:pPr>
        <w:pStyle w:val="TextBody"/>
        <w:bidi w:val="0"/>
        <w:spacing w:before="120" w:after="120"/>
        <w:jc w:val="both"/>
        <w:rPr>
          <w:rFonts w:ascii="Times New Roman" w:hAnsi="Times New Roman"/>
          <w:b/>
          <w:i/>
          <w:color w:val="000000"/>
          <w:sz w:val="16"/>
        </w:rPr>
      </w:pPr>
      <w:r>
        <w:rPr>
          <w:rFonts w:ascii="Times New Roman" w:hAnsi="Times New Roman"/>
          <w:b/>
          <w:i/>
          <w:color w:val="000000"/>
          <w:sz w:val="16"/>
        </w:rPr>
        <w:t>Revenue Recognition</w:t>
      </w:r>
    </w:p>
    <w:p>
      <w:pPr>
        <w:pStyle w:val="TextBody"/>
        <w:bidi w:val="0"/>
        <w:spacing w:before="0" w:after="120"/>
        <w:jc w:val="both"/>
        <w:rPr>
          <w:rFonts w:ascii="Times New Roman" w:hAnsi="Times New Roman"/>
          <w:sz w:val="20"/>
        </w:rPr>
      </w:pPr>
      <w:r>
        <w:rPr>
          <w:rFonts w:ascii="Times New Roman" w:hAnsi="Times New Roman"/>
          <w:color w:val="000000"/>
          <w:sz w:val="16"/>
        </w:rPr>
        <w:t>The Company’s revenue recognition policies are as follows: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16"/>
        </w:rPr>
        <w:t>Interest income and payment-in-kind (</w:t>
      </w:r>
      <w:r>
        <w:rPr>
          <w:rFonts w:ascii="Times New Roman" w:hAnsi="Times New Roman"/>
          <w:color w:val="000000"/>
          <w:sz w:val="20"/>
        </w:rPr>
        <w:t>“</w:t>
      </w:r>
      <w:r>
        <w:rPr>
          <w:rFonts w:ascii="Times New Roman" w:hAnsi="Times New Roman"/>
          <w:i/>
          <w:color w:val="000000"/>
          <w:sz w:val="16"/>
        </w:rPr>
        <w:t>PIK</w:t>
      </w:r>
      <w:r>
        <w:rPr>
          <w:rFonts w:ascii="Times New Roman" w:hAnsi="Times New Roman"/>
          <w:color w:val="000000"/>
          <w:sz w:val="20"/>
        </w:rPr>
        <w:t>”</w:t>
      </w:r>
      <w:r>
        <w:rPr>
          <w:rFonts w:ascii="Times New Roman" w:hAnsi="Times New Roman"/>
          <w:i/>
          <w:color w:val="000000"/>
          <w:sz w:val="16"/>
        </w:rPr>
        <w:t xml:space="preserve">) interest income: </w:t>
      </w:r>
      <w:r>
        <w:rPr>
          <w:rFonts w:ascii="Times New Roman" w:hAnsi="Times New Roman"/>
          <w:color w:val="000000"/>
          <w:sz w:val="16"/>
        </w:rPr>
        <w:t>Interest income is recorded on the accrual basis to the extent that such amounts are expected to be collected. The Company has 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pStyle w:val="TextBody"/>
        <w:bidi w:val="0"/>
        <w:spacing w:before="120" w:after="120"/>
        <w:jc w:val="both"/>
        <w:rPr>
          <w:rFonts w:ascii="Times New Roman" w:hAnsi="Times New Roman"/>
          <w:sz w:val="20"/>
        </w:rPr>
      </w:pPr>
      <w:r>
        <w:rPr>
          <w:rFonts w:ascii="Times New Roman" w:hAnsi="Times New Roman"/>
          <w:i/>
          <w:color w:val="000000"/>
          <w:sz w:val="16"/>
        </w:rPr>
        <w:t xml:space="preserve">Non-accrual investments: </w:t>
      </w:r>
      <w:r>
        <w:rPr>
          <w:rFonts w:ascii="Times New Roman" w:hAnsi="Times New Roman"/>
          <w:color w:val="000000"/>
          <w:sz w:val="16"/>
        </w:rPr>
        <w:t>Management reviews all loans that become 90 days or more past due, or when there is reasonable doubt that principal 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i/>
          <w:color w:val="000000"/>
          <w:sz w:val="16"/>
        </w:rPr>
        <w:t xml:space="preserve">Gains and losses on investment sales and paydowns: </w:t>
      </w:r>
      <w:r>
        <w:rPr>
          <w:rFonts w:ascii="Times New Roman" w:hAnsi="Times New Roman"/>
          <w:color w:val="000000"/>
          <w:sz w:val="16"/>
        </w:rPr>
        <w:t>Realized gains and losses on investments are recognized using the specific identification method.</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Dividend income and payment-in-kind dividends: </w:t>
      </w:r>
      <w:r>
        <w:rPr>
          <w:rFonts w:ascii="Times New Roman" w:hAnsi="Times New Roman"/>
          <w:color w:val="000000"/>
          <w:sz w:val="16"/>
        </w:rPr>
        <w:t>Dividend income is recognized on the date dividends are declared. The Company holds preferred 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Original issue discount: </w:t>
      </w:r>
      <w:r>
        <w:rPr>
          <w:rFonts w:ascii="Times New Roman" w:hAnsi="Times New Roman"/>
          <w:color w:val="000000"/>
          <w:sz w:val="16"/>
        </w:rPr>
        <w:t>Discounts received to par on loans purchased are capitalized and accreted into income over the life of the loan. Any remaining discount is accreted into income upon prepayment of the loan.</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16"/>
        </w:rPr>
        <w:t xml:space="preserve">Other income: </w:t>
      </w:r>
      <w:r>
        <w:rPr>
          <w:rFonts w:ascii="Times New Roman" w:hAnsi="Times New Roman"/>
          <w:color w:val="000000"/>
          <w:sz w:val="16"/>
        </w:rPr>
        <w:t>Origination fees (to the extent services are performed to earn such income), amendment fees, consent fees and other fees associated with investments in portfolio companies are recognized as income when they are earned. Prepayment penalties received by the Company for debt instruments repaid prior to the maturity date are recorded as income upon receipt.</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Income Taxes</w:t>
      </w:r>
    </w:p>
    <w:p>
      <w:pPr>
        <w:pStyle w:val="TextBody"/>
        <w:bidi w:val="0"/>
        <w:jc w:val="both"/>
        <w:rPr>
          <w:rFonts w:ascii="Times New Roman" w:hAnsi="Times New Roman"/>
          <w:color w:val="000000"/>
          <w:sz w:val="16"/>
        </w:rPr>
      </w:pPr>
      <w:r>
        <w:rPr>
          <w:rFonts w:ascii="Times New Roman" w:hAnsi="Times New Roman"/>
          <w:color w:val="000000"/>
          <w:sz w:val="16"/>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pStyle w:val="TextBody"/>
        <w:bidi w:val="0"/>
        <w:spacing w:before="120" w:after="283"/>
        <w:jc w:val="both"/>
        <w:rPr>
          <w:rFonts w:ascii="Times New Roman" w:hAnsi="Times New Roman"/>
          <w:sz w:val="20"/>
        </w:rPr>
      </w:pPr>
      <w:r>
        <w:rPr>
          <w:rFonts w:ascii="Times New Roman" w:hAnsi="Times New Roman"/>
          <w:color w:val="000000"/>
          <w:sz w:val="16"/>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order to qualify as a RIC, among other requirements, the Company is required to timely distribute to its stockholders at least 90.0% of its investment company taxable income, as defined by the Code, for each fiscal tax year. The Company may be subject to a nondeductible U.S. federal excise tax of 4.0% on undistributed income if it does not distribute at least 98.0% of its ordinary income in any calendar year and 98.2% of its capital gain net income for each one-year period ending on October 31.</w:t>
      </w:r>
    </w:p>
    <w:p>
      <w:pPr>
        <w:pStyle w:val="TextBody"/>
        <w:bidi w:val="0"/>
        <w:spacing w:before="120" w:after="283"/>
        <w:jc w:val="both"/>
        <w:rPr>
          <w:rFonts w:ascii="Times New Roman" w:hAnsi="Times New Roman"/>
          <w:sz w:val="20"/>
        </w:rPr>
      </w:pPr>
      <w:r>
        <w:rPr>
          <w:rFonts w:ascii="Times New Roman" w:hAnsi="Times New Roman"/>
          <w:color w:val="000000"/>
          <w:sz w:val="16"/>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tax years ended December 31, 2023, 2022, 2021 and 2020 remain subject to examination by U.S. federal, state, and local tax authorities. No material interest expense or penalties have been assessed for the periods ended March 31, 2024 and 2023. If the Company was required to recognize interest and penalties, if any, related to unrecognized tax benefits this would be recognized as income tax expense in the consolidated statements of operations.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Company’s Taxable Subsidiaries record deferred tax assets or liabilities related to temporary book versus tax differences on the income or loss generated by the underlying equity investments held by the Taxable Subsidiaries. As of both March 31, 2024 and December 31, 2023, the Company recorded a net deferred tax asset of zero. For both the three months ended March 31, 2024 and 2023, the Company recorded a tax provision of zero. As of March 31, 2024 and December 31, 2023, the valuation allowance on the Company’s deferred tax asset was $4.3 million and $3.9 million, respectively. During the three months ended March 31, 2024, the Company recognized an increase in the valuation allowance of $0.4 million. During the three months ended March 31, 2023, there was no change in the valuation allowance recognized by the Company.</w:t>
      </w:r>
    </w:p>
    <w:p>
      <w:pPr>
        <w:pStyle w:val="TextBody"/>
        <w:bidi w:val="0"/>
        <w:spacing w:before="120" w:after="283"/>
        <w:jc w:val="both"/>
        <w:rPr>
          <w:rFonts w:ascii="Times New Roman" w:hAnsi="Times New Roman"/>
          <w:sz w:val="20"/>
        </w:rPr>
      </w:pPr>
      <w:r>
        <w:rPr>
          <w:rFonts w:ascii="Times New Roman" w:hAnsi="Times New Roman"/>
          <w:color w:val="000000"/>
          <w:sz w:val="16"/>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 xml:space="preserve">ASC Topic 740 — </w:t>
      </w:r>
      <w:r>
        <w:rPr>
          <w:rFonts w:ascii="Times New Roman" w:hAnsi="Times New Roman"/>
          <w:i/>
          <w:color w:val="000000"/>
          <w:sz w:val="16"/>
        </w:rPr>
        <w:t>Income Taxes</w:t>
      </w:r>
      <w:r>
        <w:rPr>
          <w:rFonts w:ascii="Times New Roman" w:hAnsi="Times New Roman"/>
          <w:color w:val="000000"/>
          <w:sz w:val="20"/>
        </w:rPr>
        <w:t xml:space="preserve"> </w:t>
      </w:r>
      <w:r>
        <w:rPr>
          <w:rFonts w:ascii="Times New Roman" w:hAnsi="Times New Roman"/>
          <w:color w:val="000000"/>
          <w:sz w:val="16"/>
        </w:rPr>
        <w:t>(“ASC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6"/>
        </w:rPr>
        <w:t>meet a “more-likely-than-not” threshold would be recorded as a tax benefit or expense in the current period. The Company recognizes interest and penalties, if any, related to unrecognized tax benefits as income tax expense in the consolidated statements of operations. As of March 31, 2024 and December 31, 2023, there were no uncertain tax positions.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pStyle w:val="TextBody"/>
        <w:bidi w:val="0"/>
        <w:spacing w:before="120" w:after="283"/>
        <w:jc w:val="both"/>
        <w:rPr>
          <w:rFonts w:ascii="Times New Roman" w:hAnsi="Times New Roman"/>
          <w:sz w:val="20"/>
        </w:rPr>
      </w:pPr>
      <w:r>
        <w:rPr>
          <w:rFonts w:ascii="Times New Roman" w:hAnsi="Times New Roman"/>
          <w:color w:val="000000"/>
          <w:sz w:val="16"/>
        </w:rPr>
        <w:t>U.S. GAAP provides guidance on thresholds, measurement, de-recognition, classification, interest and penalties, accounting in interim periods, disclosure, and transition that is intended to provide better financial statement comparability among different entities.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Company has concluded that it was not necessary to record a liability for any such tax positions as of March 31, 2024 and December 31, 2023. However, the Company’s conclusions regarding this policy may be subject to review and adjustment at a later date based on factors including, but not limited to, ongoing analyses of, and changes to, tax laws, regulations and interpretations thereof.</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Portfolio and Investment Activity</w:t>
      </w:r>
    </w:p>
    <w:p>
      <w:pPr>
        <w:pStyle w:val="TextBody"/>
        <w:bidi w:val="0"/>
        <w:jc w:val="both"/>
        <w:rPr>
          <w:rFonts w:ascii="Times New Roman" w:hAnsi="Times New Roman"/>
          <w:color w:val="000000"/>
          <w:sz w:val="16"/>
        </w:rPr>
      </w:pPr>
      <w:r>
        <w:rPr>
          <w:rFonts w:ascii="Times New Roman" w:hAnsi="Times New Roman"/>
          <w:color w:val="000000"/>
          <w:sz w:val="16"/>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March 31, 2024, our portfolio consisted of investments in 62 portfolio companies with a fair value of approximately $200.1 million. As of December 31, 2023, our portfolio consisted of investments in 60 portfolio companies with a fair value of approximately $189.7 million.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March 31, 2024, none of the fair value of our first lien loans consisted of last-out loans. As of December 31, 2023, none of the fair value of our first lien loans consisted of last-out loans. In some cases, first lien loans may be subordinated, solely with respect to the payment of cash interest, to an asset based revolving credit facility.</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pStyle w:val="TextBody"/>
        <w:bidi w:val="0"/>
        <w:spacing w:before="120" w:after="283"/>
        <w:jc w:val="both"/>
        <w:rPr>
          <w:rFonts w:ascii="Times New Roman" w:hAnsi="Times New Roman"/>
          <w:sz w:val="20"/>
        </w:rPr>
      </w:pPr>
      <w:r>
        <w:rPr>
          <w:rFonts w:ascii="Times New Roman" w:hAnsi="Times New Roman"/>
          <w:color w:val="000000"/>
          <w:sz w:val="16"/>
        </w:rPr>
        <w:t>During the three months ended March 31, 2024, we made approximately $9.8 million of investments and had approximately $0.9 million in repayments and sales, resulting in net deployment of approximately $8.9 million for the period. During the three months ended March 31, 2023, we made approximately $7.4 million of investments and had approximately $6.7 million in repayments and sales, resulting in net deployment of approximately $0.7 million for the period.</w:t>
      </w:r>
      <w:r>
        <w:rPr>
          <w:rFonts w:ascii="Times New Roman" w:hAnsi="Times New Roman"/>
          <w:color w:val="000000"/>
          <w:sz w:val="20"/>
        </w:rPr>
        <w:t xml:space="preserve">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As of March 31, 2024, our debt investment portfolio, which represented 80.8% of the fair value of our total portfolio, had a weighted average annualized yield of approximately 11.4% (excluding income from non-accruals and collateralized loan obligations). As of March 31, 2024, 11.5% of the fair value of our debt investment portfolio was bearing a fixed rate of interest. As of December 31, 2023, our debt investment portfolio, which represented 82.0% of the fair value of our total portfolio, had a weighted average annualized yield of approximately 11.1% (excluding income from non-accruals and collateralized loan obligations). As of December 31, 2023, 13.6% of the fair value of our debt investment portfolio was bearing a fixed rate of interest.</w:t>
      </w:r>
    </w:p>
    <w:p>
      <w:pPr>
        <w:pStyle w:val="TextBody"/>
        <w:bidi w:val="0"/>
        <w:spacing w:before="120" w:after="283"/>
        <w:jc w:val="both"/>
        <w:rPr>
          <w:rFonts w:ascii="Times New Roman" w:hAnsi="Times New Roman"/>
          <w:sz w:val="20"/>
        </w:rPr>
      </w:pPr>
      <w:r>
        <w:rPr>
          <w:rFonts w:ascii="Times New Roman" w:hAnsi="Times New Roman"/>
          <w:color w:val="000000"/>
          <w:sz w:val="16"/>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March 31, 2024, the Company’s Adviser approved the fair value of the Company’s investment portfolio of approximately $200.1 million in good faith in accordance with the Company’s valuation procedures. The Company’s Adviser approved the fair value of the Company’s investment portfolio as of March 31, 2024 with input from third-party valuation firms and the Investment Adviser, as valuation designee, based on information known or knowable as of the valuation date, including trailing and forward looking data.</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As of March 31, 2024, we had debt investments in three portfolio companies on non-accrual status with an aggregate amortized cost of $17.2 million and an aggregate fair value of $10.6 million, which represented 8.3% and 5.3% of the investment portfolio, respectively. As of December 31, 2023, we had debt investments in three portfolio companies on non-accrual status with aggregate amortized cost of $17.2 million and an aggregate fair value of $12.8 million, which represented 8.7% and 6.8% of the investment portfolio, respectively.</w:t>
      </w:r>
    </w:p>
    <w:p>
      <w:pPr>
        <w:pStyle w:val="TextBody"/>
        <w:bidi w:val="0"/>
        <w:spacing w:before="120" w:after="120"/>
        <w:jc w:val="both"/>
        <w:rPr>
          <w:rFonts w:ascii="Times New Roman" w:hAnsi="Times New Roman"/>
          <w:sz w:val="20"/>
        </w:rPr>
      </w:pPr>
      <w:r>
        <w:rPr>
          <w:rFonts w:ascii="Times New Roman" w:hAnsi="Times New Roman"/>
          <w:color w:val="000000"/>
          <w:sz w:val="16"/>
        </w:rPr>
        <w:t>The following table summarizes the amortized cost and the fair value of investments as of March 31, 2024 (dollars in thousands):</w:t>
      </w:r>
      <w:r>
        <w:rPr>
          <w:rFonts w:ascii="Times New Roman" w:hAnsi="Times New Roman"/>
          <w:color w:val="000000"/>
          <w:sz w:val="20"/>
        </w:rPr>
        <w:t xml:space="preserve"> </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137,088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130,377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206,307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color w:val="000000"/>
          <w:sz w:val="16"/>
        </w:rPr>
      </w:pPr>
      <w:r>
        <w:rPr>
          <w:rFonts w:ascii="Times New Roman" w:hAnsi="Times New Roman"/>
          <w:color w:val="000000"/>
          <w:sz w:val="16"/>
        </w:rPr>
        <w:t>The following table summarizes the amortized cost and the fair value of investments as of December 31, 2023 (dollars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59" w:type="dxa"/>
        <w:jc w:val="left"/>
        <w:tblInd w:w="0" w:type="dxa"/>
        <w:tblLayout w:type="fixed"/>
        <w:tblCellMar>
          <w:top w:w="28" w:type="dxa"/>
          <w:left w:w="28" w:type="dxa"/>
          <w:bottom w:w="28" w:type="dxa"/>
          <w:right w:w="28" w:type="dxa"/>
        </w:tblCellMar>
      </w:tblPr>
      <w:tblGrid>
        <w:gridCol w:w="2311"/>
        <w:gridCol w:w="146"/>
        <w:gridCol w:w="274"/>
        <w:gridCol w:w="971"/>
        <w:gridCol w:w="146"/>
        <w:gridCol w:w="146"/>
        <w:gridCol w:w="276"/>
        <w:gridCol w:w="969"/>
        <w:gridCol w:w="241"/>
        <w:gridCol w:w="146"/>
        <w:gridCol w:w="255"/>
        <w:gridCol w:w="900"/>
        <w:gridCol w:w="146"/>
        <w:gridCol w:w="146"/>
        <w:gridCol w:w="266"/>
        <w:gridCol w:w="934"/>
        <w:gridCol w:w="286"/>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br/>
              <w:t>Percentage of</w:t>
              <w:br/>
              <w:t>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Investments at</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Percentage of</w:t>
              <w:br/>
              <w:t>Total 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First Lien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128,537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124,007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Second Lien Debt</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Subordinated Debt</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26,573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Collateralized Loan Obligations</w:t>
            </w:r>
          </w:p>
        </w:tc>
        <w:tc>
          <w:tcPr>
            <w:tcW w:w="146"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shd w:fill="FFFFFF" w:val="clear"/>
            <w:vAlign w:val="center"/>
          </w:tcPr>
          <w:p>
            <w:pPr>
              <w:pStyle w:val="TableContents"/>
              <w:bidi w:val="0"/>
              <w:spacing w:before="0" w:after="283"/>
              <w:jc w:val="left"/>
              <w:rPr/>
            </w:pPr>
            <w:r>
              <w:rPr/>
              <w:t> </w:t>
            </w:r>
          </w:p>
        </w:tc>
        <w:tc>
          <w:tcPr>
            <w:tcW w:w="969"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90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shd w:fill="FFFFFF" w:val="clear"/>
            <w:vAlign w:val="center"/>
          </w:tcPr>
          <w:p>
            <w:pPr>
              <w:pStyle w:val="TableContents"/>
              <w:bidi w:val="0"/>
              <w:spacing w:before="0" w:after="283"/>
              <w:jc w:val="left"/>
              <w:rPr/>
            </w:pPr>
            <w:r>
              <w:rPr/>
              <w:t> </w:t>
            </w:r>
          </w:p>
        </w:tc>
        <w:tc>
          <w:tcPr>
            <w:tcW w:w="9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8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Joint Venture</w:t>
            </w:r>
          </w:p>
        </w:tc>
        <w:tc>
          <w:tcPr>
            <w:tcW w:w="146" w:type="dxa"/>
            <w:tcBorders/>
            <w:shd w:fill="CFF0FC" w:val="clear"/>
            <w:vAlign w:val="center"/>
          </w:tcPr>
          <w:p>
            <w:pPr>
              <w:pStyle w:val="TableContents"/>
              <w:bidi w:val="0"/>
              <w:spacing w:before="0" w:after="283"/>
              <w:jc w:val="left"/>
              <w:rPr/>
            </w:pPr>
            <w:r>
              <w:rPr/>
              <w:t> </w:t>
            </w:r>
          </w:p>
        </w:tc>
        <w:tc>
          <w:tcPr>
            <w:tcW w:w="274" w:type="dxa"/>
            <w:tcBorders/>
            <w:shd w:fill="CFF0FC" w:val="clear"/>
            <w:vAlign w:val="center"/>
          </w:tcPr>
          <w:p>
            <w:pPr>
              <w:pStyle w:val="TableContents"/>
              <w:bidi w:val="0"/>
              <w:spacing w:before="0" w:after="283"/>
              <w:jc w:val="left"/>
              <w:rPr/>
            </w:pPr>
            <w:r>
              <w:rPr/>
              <w:t> </w:t>
            </w:r>
          </w:p>
        </w:tc>
        <w:tc>
          <w:tcPr>
            <w:tcW w:w="9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shd w:fill="CFF0FC" w:val="clear"/>
            <w:vAlign w:val="center"/>
          </w:tcPr>
          <w:p>
            <w:pPr>
              <w:pStyle w:val="TableContents"/>
              <w:bidi w:val="0"/>
              <w:spacing w:before="0" w:after="283"/>
              <w:jc w:val="left"/>
              <w:rPr/>
            </w:pPr>
            <w:r>
              <w:rPr/>
              <w:t> </w:t>
            </w:r>
          </w:p>
        </w:tc>
        <w:tc>
          <w:tcPr>
            <w:tcW w:w="969"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shd w:fill="CFF0FC" w:val="clear"/>
            <w:vAlign w:val="center"/>
          </w:tcPr>
          <w:p>
            <w:pPr>
              <w:pStyle w:val="TableContents"/>
              <w:bidi w:val="0"/>
              <w:spacing w:before="0" w:after="283"/>
              <w:jc w:val="left"/>
              <w:rPr/>
            </w:pPr>
            <w:r>
              <w:rPr/>
              <w:t> </w:t>
            </w:r>
          </w:p>
        </w:tc>
        <w:tc>
          <w:tcPr>
            <w:tcW w:w="90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shd w:fill="CFF0FC" w:val="clear"/>
            <w:vAlign w:val="center"/>
          </w:tcPr>
          <w:p>
            <w:pPr>
              <w:pStyle w:val="TableContents"/>
              <w:bidi w:val="0"/>
              <w:spacing w:before="0" w:after="283"/>
              <w:jc w:val="left"/>
              <w:rPr/>
            </w:pPr>
            <w:r>
              <w:rPr/>
              <w:t> </w:t>
            </w:r>
          </w:p>
        </w:tc>
        <w:tc>
          <w:tcPr>
            <w:tcW w:w="9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8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Equity</w:t>
            </w:r>
          </w:p>
        </w:tc>
        <w:tc>
          <w:tcPr>
            <w:tcW w:w="146" w:type="dxa"/>
            <w:tcBorders/>
            <w:shd w:fill="FFFFFF" w:val="cle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CFF0FC" w:val="cle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righ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240" w:after="120"/>
        <w:jc w:val="both"/>
        <w:rPr>
          <w:rFonts w:ascii="Times New Roman" w:hAnsi="Times New Roman"/>
          <w:sz w:val="20"/>
        </w:rPr>
      </w:pPr>
      <w:r>
        <w:rPr>
          <w:rFonts w:ascii="Times New Roman" w:hAnsi="Times New Roman"/>
          <w:color w:val="000000"/>
          <w:sz w:val="16"/>
        </w:rPr>
        <w:t>The following table shows the portfolio composition by industry grouping at fair value as of March 31, 2024 and December 31, 2023 (dollars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797"/>
        <w:gridCol w:w="146"/>
        <w:gridCol w:w="249"/>
        <w:gridCol w:w="882"/>
        <w:gridCol w:w="146"/>
        <w:gridCol w:w="146"/>
        <w:gridCol w:w="414"/>
        <w:gridCol w:w="1456"/>
        <w:gridCol w:w="241"/>
        <w:gridCol w:w="146"/>
        <w:gridCol w:w="249"/>
        <w:gridCol w:w="882"/>
        <w:gridCol w:w="146"/>
        <w:gridCol w:w="146"/>
        <w:gridCol w:w="414"/>
        <w:gridCol w:w="1456"/>
        <w:gridCol w:w="289"/>
      </w:tblGrid>
      <w:tr>
        <w:trPr/>
        <w:tc>
          <w:tcPr>
            <w:tcW w:w="27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2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Investments at </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Total Portfolio</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47,040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47,934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Business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33,435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16.7</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29,555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15.6</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26,009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24,213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Information Technology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22,239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Industrials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9.5</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16,558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Discretionary</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Healthcare Management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Automobile Part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Advertising &amp; Marketing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Communication Services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Medical Device Distributor</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Textile Equipment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3,860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Financial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Online Merchandise Retailer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Consumer Staples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Household Product Manufacturer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Oil &amp; Gas Engineering and Consulting Services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Data Processing &amp; Digital Marketing</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Testing Laboratories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Electronic Machine Repair</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Industrial</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88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45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0.1</w:t>
            </w:r>
          </w:p>
        </w:tc>
        <w:tc>
          <w:tcPr>
            <w:tcW w:w="28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79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46" w:type="dxa"/>
            <w:tcBorders/>
            <w:shd w:fill="FFFFFF"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200,122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4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189,658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1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4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28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120"/>
        <w:jc w:val="left"/>
        <w:rPr>
          <w:rFonts w:ascii="Times New Roman" w:hAnsi="Times New Roman"/>
          <w:b/>
          <w:color w:val="000000"/>
          <w:sz w:val="16"/>
        </w:rPr>
      </w:pPr>
      <w:r>
        <w:rPr>
          <w:rFonts w:ascii="Times New Roman" w:hAnsi="Times New Roman"/>
          <w:b/>
          <w:color w:val="000000"/>
          <w:sz w:val="16"/>
        </w:rPr>
        <w:t>Results of Operations</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Operating results for the three months ended March 31, 2024 and 2023 were as follows (dollars in thousands):</w:t>
      </w:r>
    </w:p>
    <w:tbl>
      <w:tblPr>
        <w:tblW w:w="8186" w:type="dxa"/>
        <w:jc w:val="left"/>
        <w:tblInd w:w="0" w:type="dxa"/>
        <w:tblLayout w:type="fixed"/>
        <w:tblCellMar>
          <w:top w:w="28" w:type="dxa"/>
          <w:left w:w="28" w:type="dxa"/>
          <w:bottom w:w="28" w:type="dxa"/>
          <w:right w:w="28" w:type="dxa"/>
        </w:tblCellMar>
      </w:tblPr>
      <w:tblGrid>
        <w:gridCol w:w="4846"/>
        <w:gridCol w:w="146"/>
        <w:gridCol w:w="327"/>
        <w:gridCol w:w="854"/>
        <w:gridCol w:w="277"/>
        <w:gridCol w:w="244"/>
        <w:gridCol w:w="327"/>
        <w:gridCol w:w="954"/>
        <w:gridCol w:w="211"/>
      </w:tblGrid>
      <w:tr>
        <w:trPr/>
        <w:tc>
          <w:tcPr>
            <w:tcW w:w="4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4" w:type="dxa"/>
            <w:tcBorders/>
            <w:shd w:fill="FFFFFF" w:val="clear"/>
            <w:vAlign w:val="center"/>
          </w:tcPr>
          <w:p>
            <w:pPr>
              <w:pStyle w:val="TableContents"/>
              <w:bidi w:val="0"/>
              <w:spacing w:before="0" w:after="283"/>
              <w:jc w:val="left"/>
              <w:rPr/>
            </w:pPr>
            <w:r>
              <w:rPr/>
              <w:t> </w:t>
            </w:r>
          </w:p>
        </w:tc>
        <w:tc>
          <w:tcPr>
            <w:tcW w:w="12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5,003</w:t>
            </w:r>
          </w:p>
        </w:tc>
        <w:tc>
          <w:tcPr>
            <w:tcW w:w="27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5,256</w:t>
            </w:r>
          </w:p>
        </w:tc>
        <w:tc>
          <w:tcPr>
            <w:tcW w:w="211" w:type="dxa"/>
            <w:tcBorders/>
            <w:shd w:fill="FFFFFF" w:val="cle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4,056</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investment income</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947</w:t>
            </w:r>
          </w:p>
        </w:tc>
        <w:tc>
          <w:tcPr>
            <w:tcW w:w="27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211" w:type="dxa"/>
            <w:tcBorders/>
            <w:shd w:fill="FFFFFF" w:val="clear"/>
            <w:vAlign w:val="center"/>
          </w:tcPr>
          <w:p>
            <w:pPr>
              <w:pStyle w:val="TableContents"/>
              <w:bidi w:val="0"/>
              <w:spacing w:before="0" w:after="283"/>
              <w:jc w:val="left"/>
              <w:rPr/>
            </w:pPr>
            <w:r>
              <w:rPr/>
              <w:t> </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gain (loss) on investments</w:t>
            </w:r>
          </w:p>
        </w:tc>
        <w:tc>
          <w:tcPr>
            <w:tcW w:w="146"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8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287</w:t>
            </w:r>
          </w:p>
        </w:tc>
        <w:tc>
          <w:tcPr>
            <w:tcW w:w="277" w:type="dxa"/>
            <w:tcBorders/>
            <w:shd w:fill="CFF0FC" w:val="clear"/>
            <w:vAlign w:val="center"/>
          </w:tcPr>
          <w:p>
            <w:pPr>
              <w:pStyle w:val="TableContents"/>
              <w:bidi w:val="0"/>
              <w:spacing w:before="0" w:after="283"/>
              <w:jc w:val="left"/>
              <w:rPr/>
            </w:pPr>
            <w:r>
              <w:rPr/>
              <w:t> </w:t>
            </w:r>
          </w:p>
        </w:tc>
        <w:tc>
          <w:tcPr>
            <w:tcW w:w="244" w:type="dxa"/>
            <w:tcBorders/>
            <w:shd w:fill="CFF0FC" w:val="clear"/>
            <w:vAlign w:val="center"/>
          </w:tcPr>
          <w:p>
            <w:pPr>
              <w:pStyle w:val="TableContents"/>
              <w:bidi w:val="0"/>
              <w:spacing w:before="0" w:after="283"/>
              <w:jc w:val="left"/>
              <w:rPr/>
            </w:pPr>
            <w:r>
              <w:rPr/>
              <w:t> </w:t>
            </w:r>
          </w:p>
        </w:tc>
        <w:tc>
          <w:tcPr>
            <w:tcW w:w="327" w:type="dxa"/>
            <w:tcBorders/>
            <w:shd w:fill="CFF0FC" w:val="clear"/>
            <w:vAlign w:val="center"/>
          </w:tcPr>
          <w:p>
            <w:pPr>
              <w:pStyle w:val="TableContents"/>
              <w:bidi w:val="0"/>
              <w:spacing w:before="0" w:after="283"/>
              <w:jc w:val="left"/>
              <w:rPr/>
            </w:pPr>
            <w:r>
              <w:rPr/>
              <w:t> </w:t>
            </w:r>
          </w:p>
        </w:tc>
        <w:tc>
          <w:tcPr>
            <w:tcW w:w="95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(1,506</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change in unrealized appreciation (depreciation) on investments</w:t>
            </w:r>
          </w:p>
        </w:tc>
        <w:tc>
          <w:tcPr>
            <w:tcW w:w="146"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8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w:t>
            </w:r>
          </w:p>
        </w:tc>
        <w:tc>
          <w:tcPr>
            <w:tcW w:w="277"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327" w:type="dxa"/>
            <w:tcBorders/>
            <w:shd w:fill="FFFFFF" w:val="clear"/>
            <w:vAlign w:val="center"/>
          </w:tcPr>
          <w:p>
            <w:pPr>
              <w:pStyle w:val="TableContents"/>
              <w:bidi w:val="0"/>
              <w:spacing w:before="0" w:after="283"/>
              <w:jc w:val="left"/>
              <w:rPr/>
            </w:pPr>
            <w:r>
              <w:rPr/>
              <w:t> </w:t>
            </w:r>
          </w:p>
        </w:tc>
        <w:tc>
          <w:tcPr>
            <w:tcW w:w="95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484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realized loss on extinguishment of debt</w:t>
            </w:r>
          </w:p>
        </w:tc>
        <w:tc>
          <w:tcPr>
            <w:tcW w:w="146"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4" w:type="dxa"/>
            <w:tcBorders/>
            <w:shd w:fill="CFF0FC" w:val="clear"/>
            <w:vAlign w:val="center"/>
          </w:tcPr>
          <w:p>
            <w:pPr>
              <w:pStyle w:val="TableContents"/>
              <w:bidi w:val="0"/>
              <w:spacing w:before="0" w:after="283"/>
              <w:jc w:val="left"/>
              <w:rPr/>
            </w:pPr>
            <w:r>
              <w:rPr/>
              <w:t> </w:t>
            </w:r>
          </w:p>
        </w:tc>
        <w:tc>
          <w:tcPr>
            <w:tcW w:w="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net assets resulting from operations</w:t>
            </w:r>
          </w:p>
        </w:tc>
        <w:tc>
          <w:tcPr>
            <w:tcW w:w="146"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1,851</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jc w:val="left"/>
              <w:rPr/>
            </w:pPr>
            <w:r>
              <w:rPr/>
              <w:t> </w:t>
            </w:r>
          </w:p>
        </w:tc>
        <w:tc>
          <w:tcPr>
            <w:tcW w:w="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spacing w:before="120" w:after="120"/>
        <w:jc w:val="left"/>
        <w:rPr>
          <w:rFonts w:ascii="Times New Roman" w:hAnsi="Times New Roman"/>
          <w:sz w:val="20"/>
        </w:rPr>
      </w:pPr>
      <w:r>
        <w:rPr>
          <w:rFonts w:ascii="Times New Roman" w:hAnsi="Times New Roman"/>
          <w:b/>
          <w:i/>
          <w:color w:val="000000"/>
          <w:sz w:val="16"/>
        </w:rPr>
        <w:t>Investment income</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16"/>
        </w:rPr>
        <w:t>The composition of our investment income for the three months ended March 31, 2024 and 2023 was as follows (dollars in thousands):</w:t>
      </w:r>
      <w:r>
        <w:rPr>
          <w:rFonts w:ascii="Times New Roman" w:hAnsi="Times New Roman"/>
          <w:color w:val="000000"/>
          <w:sz w:val="20"/>
        </w:rPr>
        <w:t xml:space="preserve"> </w:t>
      </w:r>
    </w:p>
    <w:tbl>
      <w:tblPr>
        <w:tblW w:w="5152" w:type="dxa"/>
        <w:jc w:val="left"/>
        <w:tblInd w:w="0" w:type="dxa"/>
        <w:tblLayout w:type="fixed"/>
        <w:tblCellMar>
          <w:top w:w="28" w:type="dxa"/>
          <w:left w:w="28" w:type="dxa"/>
          <w:bottom w:w="28" w:type="dxa"/>
          <w:right w:w="28" w:type="dxa"/>
        </w:tblCellMar>
      </w:tblPr>
      <w:tblGrid>
        <w:gridCol w:w="1831"/>
        <w:gridCol w:w="146"/>
        <w:gridCol w:w="343"/>
        <w:gridCol w:w="894"/>
        <w:gridCol w:w="255"/>
        <w:gridCol w:w="255"/>
        <w:gridCol w:w="343"/>
        <w:gridCol w:w="894"/>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income</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4,633</w:t>
            </w:r>
          </w:p>
        </w:tc>
        <w:tc>
          <w:tcPr>
            <w:tcW w:w="255"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w:t>
            </w:r>
          </w:p>
        </w:tc>
        <w:tc>
          <w:tcPr>
            <w:tcW w:w="1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Payment-in-kind interest</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w:t>
            </w:r>
          </w:p>
        </w:tc>
        <w:tc>
          <w:tcPr>
            <w:tcW w:w="255"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464</w:t>
            </w:r>
          </w:p>
        </w:tc>
        <w:tc>
          <w:tcPr>
            <w:tcW w:w="191" w:type="dxa"/>
            <w:tcBorders/>
            <w:shd w:fill="CFF0FC" w:val="cle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Dividend income</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255"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91" w:type="dxa"/>
            <w:tcBorders/>
            <w:shd w:fill="FFFFFF" w:val="clear"/>
            <w:vAlign w:val="center"/>
          </w:tcPr>
          <w:p>
            <w:pPr>
              <w:pStyle w:val="TableContents"/>
              <w:bidi w:val="0"/>
              <w:spacing w:before="0" w:after="283"/>
              <w:jc w:val="left"/>
              <w:rPr/>
            </w:pPr>
            <w:r>
              <w:rPr/>
              <w:t> </w:t>
            </w:r>
          </w:p>
        </w:tc>
      </w:tr>
      <w:tr>
        <w:trPr/>
        <w:tc>
          <w:tcPr>
            <w:tcW w:w="183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income</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investment income</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5,003</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3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5,256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16"/>
        </w:rPr>
      </w:pPr>
      <w:r>
        <w:rPr>
          <w:rFonts w:ascii="Times New Roman" w:hAnsi="Times New Roman"/>
          <w:color w:val="000000"/>
          <w:sz w:val="16"/>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For the three months ended March 31, 2024, total investment income decreased $0.3 million, or 4.8%, compared to the three months ended March 31, 2023. The decrease from the prior period was primarily driven by an decrease in interest income from $4.8 million for the three months ended March 31, 2023 to $4.6 million for the three months ended March 31, 2024. The decrease in interest income is primarily due to a smaller interest earning debt portfolio for the three months ended March 31, 2024 compared to the three months ended March 31, 2023.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PIK income decreased from $0.5 million for the three months ended March 31, 2023 to $0.4 million for the three months ended March 31, 2024. The decrease in PIK income during the three months ended March 31, 2024 compared to the same period in prior year was primarily due to a decrease in investments with non-recurring fee income of $0.2 million that was paid in-kind.</w:t>
      </w:r>
    </w:p>
    <w:p>
      <w:pPr>
        <w:pStyle w:val="TextBody"/>
        <w:bidi w:val="0"/>
        <w:spacing w:before="120" w:after="120"/>
        <w:jc w:val="both"/>
        <w:rPr>
          <w:rFonts w:ascii="Times New Roman" w:hAnsi="Times New Roman"/>
          <w:b/>
          <w:i/>
          <w:color w:val="000000"/>
          <w:sz w:val="16"/>
        </w:rPr>
      </w:pPr>
      <w:r>
        <w:rPr>
          <w:rFonts w:ascii="Times New Roman" w:hAnsi="Times New Roman"/>
          <w:b/>
          <w:i/>
          <w:color w:val="000000"/>
          <w:sz w:val="16"/>
        </w:rPr>
        <w:t>Operating expenses</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The composition of our expenses for the three months ended March 31, 2024 and 2023 was as follows (dollars in thousands):</w:t>
      </w:r>
    </w:p>
    <w:tbl>
      <w:tblPr>
        <w:tblW w:w="5962" w:type="dxa"/>
        <w:jc w:val="left"/>
        <w:tblInd w:w="0" w:type="dxa"/>
        <w:tblLayout w:type="fixed"/>
        <w:tblCellMar>
          <w:top w:w="28" w:type="dxa"/>
          <w:left w:w="28" w:type="dxa"/>
          <w:bottom w:w="28" w:type="dxa"/>
          <w:right w:w="28" w:type="dxa"/>
        </w:tblCellMar>
      </w:tblPr>
      <w:tblGrid>
        <w:gridCol w:w="2641"/>
        <w:gridCol w:w="146"/>
        <w:gridCol w:w="343"/>
        <w:gridCol w:w="894"/>
        <w:gridCol w:w="255"/>
        <w:gridCol w:w="255"/>
        <w:gridCol w:w="343"/>
        <w:gridCol w:w="894"/>
        <w:gridCol w:w="191"/>
      </w:tblGrid>
      <w:tr>
        <w:trPr/>
        <w:tc>
          <w:tcPr>
            <w:tcW w:w="2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left"/>
              <w:rPr/>
            </w:pPr>
            <w:r>
              <w:rPr/>
              <w:t> </w:t>
            </w:r>
          </w:p>
        </w:tc>
        <w:tc>
          <w:tcPr>
            <w:tcW w:w="12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Interest and financing expenses</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2,007</w:t>
            </w:r>
          </w:p>
        </w:tc>
        <w:tc>
          <w:tcPr>
            <w:tcW w:w="255"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2,069</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Base management fee</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893</w:t>
            </w:r>
          </w:p>
        </w:tc>
        <w:tc>
          <w:tcPr>
            <w:tcW w:w="255"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Directors' fees</w:t>
            </w:r>
          </w:p>
        </w:tc>
        <w:tc>
          <w:tcPr>
            <w:tcW w:w="146"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w:t>
            </w:r>
          </w:p>
        </w:tc>
        <w:tc>
          <w:tcPr>
            <w:tcW w:w="255"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343" w:type="dxa"/>
            <w:tcBorders/>
            <w:shd w:fill="FFFFFF" w:val="clear"/>
            <w:vAlign w:val="center"/>
          </w:tcPr>
          <w:p>
            <w:pPr>
              <w:pStyle w:val="TableContents"/>
              <w:bidi w:val="0"/>
              <w:spacing w:before="0" w:after="283"/>
              <w:jc w:val="left"/>
              <w:rPr/>
            </w:pPr>
            <w:r>
              <w:rPr/>
              <w:t> </w:t>
            </w:r>
          </w:p>
        </w:tc>
        <w:tc>
          <w:tcPr>
            <w:tcW w:w="8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135</w:t>
            </w:r>
          </w:p>
        </w:tc>
        <w:tc>
          <w:tcPr>
            <w:tcW w:w="191" w:type="dxa"/>
            <w:tcBorders/>
            <w:shd w:fill="FFFFFF" w:val="cle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Administrative service fees</w:t>
            </w:r>
          </w:p>
        </w:tc>
        <w:tc>
          <w:tcPr>
            <w:tcW w:w="146"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w:t>
            </w:r>
          </w:p>
        </w:tc>
        <w:tc>
          <w:tcPr>
            <w:tcW w:w="255"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343" w:type="dxa"/>
            <w:tcBorders/>
            <w:shd w:fill="CFF0FC" w:val="clear"/>
            <w:vAlign w:val="center"/>
          </w:tcPr>
          <w:p>
            <w:pPr>
              <w:pStyle w:val="TableContents"/>
              <w:bidi w:val="0"/>
              <w:spacing w:before="0" w:after="283"/>
              <w:jc w:val="left"/>
              <w:rPr/>
            </w:pPr>
            <w:r>
              <w:rPr/>
              <w:t> </w:t>
            </w:r>
          </w:p>
        </w:tc>
        <w:tc>
          <w:tcPr>
            <w:tcW w:w="8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257</w:t>
            </w:r>
          </w:p>
        </w:tc>
        <w:tc>
          <w:tcPr>
            <w:tcW w:w="191" w:type="dxa"/>
            <w:tcBorders/>
            <w:shd w:fill="CFF0FC" w:val="clear"/>
            <w:vAlign w:val="center"/>
          </w:tcPr>
          <w:p>
            <w:pPr>
              <w:pStyle w:val="TableContents"/>
              <w:bidi w:val="0"/>
              <w:spacing w:before="0" w:after="283"/>
              <w:jc w:val="left"/>
              <w:rPr/>
            </w:pPr>
            <w:r>
              <w:rPr/>
              <w:t> </w:t>
            </w:r>
          </w:p>
        </w:tc>
      </w:tr>
      <w:tr>
        <w:trPr/>
        <w:tc>
          <w:tcPr>
            <w:tcW w:w="264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805</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4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expenses</w:t>
            </w:r>
          </w:p>
        </w:tc>
        <w:tc>
          <w:tcPr>
            <w:tcW w:w="146" w:type="dxa"/>
            <w:tcBorders/>
            <w:shd w:fill="CFF0FC" w:val="cle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4,056</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16"/>
        </w:rPr>
      </w:pPr>
      <w:r>
        <w:rPr>
          <w:rFonts w:ascii="Times New Roman" w:hAnsi="Times New Roman"/>
          <w:color w:val="000000"/>
          <w:sz w:val="16"/>
        </w:rPr>
        <w:t>For the three months ended March 31, 2024, operating expenses decreased by $0.1 million, or 3.0%, compared to the three months ended March 31, 2023. Interest and financing expenses decreased from $2.1 million for the three months ended March 31, 2023 to $2.0 million for the three months ended March 31, 2024 primarily due to a lower average outstanding balance on our credit facility during the three months ended March 31, 2024 compared to the three months ended March 31, 2023. Administrative service fees decreased from $0.3 million for the three months ended March 31, 2023 to $0.2 million for the three months ended March 31, 2024, primarily due to lower administrative services costs incurred by the Company's Administrator in the current year.</w:t>
      </w:r>
    </w:p>
    <w:p>
      <w:pPr>
        <w:pStyle w:val="TextBody"/>
        <w:bidi w:val="0"/>
        <w:spacing w:before="120" w:after="120"/>
        <w:jc w:val="both"/>
        <w:rPr>
          <w:rFonts w:ascii="Times New Roman" w:hAnsi="Times New Roman"/>
          <w:sz w:val="20"/>
        </w:rPr>
      </w:pPr>
      <w:r>
        <w:rPr>
          <w:rFonts w:ascii="Times New Roman" w:hAnsi="Times New Roman"/>
          <w:b/>
          <w:i/>
          <w:color w:val="000000"/>
          <w:sz w:val="16"/>
        </w:rPr>
        <w:t>Net realized gain (loss) on sales of investments</w:t>
      </w:r>
      <w:r>
        <w:rPr>
          <w:rFonts w:ascii="Times New Roman" w:hAnsi="Times New Roman"/>
          <w:color w:val="000000"/>
          <w:sz w:val="20"/>
        </w:rPr>
        <w:t xml:space="preserve"> </w:t>
      </w:r>
    </w:p>
    <w:p>
      <w:pPr>
        <w:pStyle w:val="TextBody"/>
        <w:bidi w:val="0"/>
        <w:jc w:val="both"/>
        <w:rPr>
          <w:rFonts w:ascii="Times New Roman" w:hAnsi="Times New Roman"/>
          <w:color w:val="000000"/>
          <w:sz w:val="16"/>
        </w:rPr>
      </w:pPr>
      <w:r>
        <w:rPr>
          <w:rFonts w:ascii="Times New Roman" w:hAnsi="Times New Roman"/>
          <w:color w:val="000000"/>
          <w:sz w:val="16"/>
        </w:rPr>
        <w:t>During the three months ended March 31, 2024, we recognized $0.3 million of net realized gains on our portfolio investments. During the three months ended March 31, 2023, we recognized $1.5 million of net realized losses on our portfolio investments.</w:t>
      </w:r>
    </w:p>
    <w:p>
      <w:pPr>
        <w:pStyle w:val="TextBody"/>
        <w:bidi w:val="0"/>
        <w:spacing w:before="120" w:after="120"/>
        <w:jc w:val="both"/>
        <w:rPr>
          <w:rFonts w:ascii="Times New Roman" w:hAnsi="Times New Roman"/>
          <w:b/>
          <w:i/>
          <w:color w:val="000000"/>
          <w:sz w:val="16"/>
        </w:rPr>
      </w:pPr>
      <w:r>
        <w:rPr>
          <w:rFonts w:ascii="Times New Roman" w:hAnsi="Times New Roman"/>
          <w:b/>
          <w:i/>
          <w:color w:val="000000"/>
          <w:sz w:val="16"/>
        </w:rPr>
        <w:t>Net change in unrealized appreciation (depreciation) on investments</w:t>
      </w:r>
    </w:p>
    <w:p>
      <w:pPr>
        <w:pStyle w:val="TextBody"/>
        <w:bidi w:val="0"/>
        <w:jc w:val="both"/>
        <w:rPr>
          <w:rFonts w:ascii="Times New Roman" w:hAnsi="Times New Roman"/>
          <w:sz w:val="20"/>
        </w:rPr>
      </w:pPr>
      <w:r>
        <w:rPr>
          <w:rFonts w:ascii="Times New Roman" w:hAnsi="Times New Roman"/>
          <w:color w:val="000000"/>
          <w:sz w:val="16"/>
        </w:rPr>
        <w:t>Net change in unrealized appreciation (depreciation) on investments reflects the net change in the fair value of our investment portfolio. For the three months ended March 31, 2024, we recognized $0.7 million of net change in unrealized appreciation on investments. For the three months ended March 31, 2023, we recognized $0.2 million of net change in unrealized depreciation on investments.</w:t>
      </w:r>
      <w:r>
        <w:rPr>
          <w:rFonts w:ascii="Times New Roman" w:hAnsi="Times New Roman"/>
          <w:color w:val="000000"/>
          <w:sz w:val="20"/>
        </w:rPr>
        <w:t xml:space="preserve"> </w:t>
      </w:r>
    </w:p>
    <w:p>
      <w:pPr>
        <w:pStyle w:val="TextBody"/>
        <w:bidi w:val="0"/>
        <w:spacing w:before="120" w:after="120"/>
        <w:jc w:val="left"/>
        <w:rPr>
          <w:rFonts w:ascii="Times New Roman" w:hAnsi="Times New Roman"/>
          <w:b/>
          <w:i/>
          <w:color w:val="000000"/>
          <w:sz w:val="16"/>
        </w:rPr>
      </w:pPr>
      <w:r>
        <w:rPr>
          <w:rFonts w:ascii="Times New Roman" w:hAnsi="Times New Roman"/>
          <w:b/>
          <w:i/>
          <w:color w:val="000000"/>
          <w:sz w:val="16"/>
        </w:rPr>
        <w:t>Changes in net assets resulting from operations</w:t>
      </w:r>
    </w:p>
    <w:p>
      <w:pPr>
        <w:pStyle w:val="TextBody"/>
        <w:bidi w:val="0"/>
        <w:jc w:val="both"/>
        <w:rPr>
          <w:rFonts w:ascii="Times New Roman" w:hAnsi="Times New Roman"/>
          <w:color w:val="000000"/>
          <w:sz w:val="16"/>
        </w:rPr>
      </w:pPr>
      <w:r>
        <w:rPr>
          <w:rFonts w:ascii="Times New Roman" w:hAnsi="Times New Roman"/>
          <w:color w:val="000000"/>
          <w:sz w:val="16"/>
        </w:rPr>
        <w:t>For the three months ended March 31, 2024, we recorded a net increase in net assets resulting from operations of $1.9 million. Based on the weighted average shares of common stock outstanding for the three months ended March 31, 2024, our basic and diluted per share net increase in net assets resulting from operations was $0.69 and $0.65, respectively.</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For the three months ended March 31, 2023, we recorded a net decrease in net assets resulting from operations of $0.7 million. Based on the weighted average shares of common stock outstanding for the three months ended March 31, 2023, our basic and diluted per share net decrease in net assets resulting from operations was $0.24.</w:t>
      </w:r>
    </w:p>
    <w:p>
      <w:pPr>
        <w:pStyle w:val="TextBody"/>
        <w:bidi w:val="0"/>
        <w:spacing w:before="0" w:after="120"/>
        <w:jc w:val="both"/>
        <w:rPr>
          <w:rFonts w:ascii="Times New Roman" w:hAnsi="Times New Roman"/>
          <w:b/>
          <w:color w:val="000000"/>
          <w:sz w:val="16"/>
        </w:rPr>
      </w:pPr>
      <w:r>
        <w:rPr>
          <w:rFonts w:ascii="Times New Roman" w:hAnsi="Times New Roman"/>
          <w:b/>
          <w:color w:val="000000"/>
          <w:sz w:val="16"/>
        </w:rPr>
        <w:t>Financial Condition, Liquidity and Capital Resources</w:t>
      </w:r>
    </w:p>
    <w:p>
      <w:pPr>
        <w:pStyle w:val="TextBody"/>
        <w:bidi w:val="0"/>
        <w:jc w:val="both"/>
        <w:rPr>
          <w:rFonts w:ascii="Times New Roman" w:hAnsi="Times New Roman"/>
          <w:color w:val="000000"/>
          <w:sz w:val="16"/>
        </w:rPr>
      </w:pPr>
      <w:r>
        <w:rPr>
          <w:rFonts w:ascii="Times New Roman" w:hAnsi="Times New Roman"/>
          <w:color w:val="000000"/>
          <w:sz w:val="16"/>
        </w:rPr>
        <w:t>We use and intend to use existing cash primarily to originate investments in new and existing portfolio companies, pay distributions to our stockholders, and repay indebtedness.</w:t>
      </w:r>
    </w:p>
    <w:p>
      <w:pPr>
        <w:pStyle w:val="TextBody"/>
        <w:bidi w:val="0"/>
        <w:spacing w:before="120" w:after="283"/>
        <w:jc w:val="both"/>
        <w:rPr>
          <w:rFonts w:ascii="Times New Roman" w:hAnsi="Times New Roman"/>
          <w:sz w:val="20"/>
        </w:rPr>
      </w:pPr>
      <w:r>
        <w:rPr>
          <w:rFonts w:ascii="Times New Roman" w:hAnsi="Times New Roman"/>
          <w:color w:val="000000"/>
          <w:sz w:val="16"/>
        </w:rPr>
        <w:t>Since our IPO, we have raised approximately $136.0 million in net proceeds from equity offerings through March 31, 2024.</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KeyBank Credit Facility</w:t>
      </w:r>
    </w:p>
    <w:p>
      <w:pPr>
        <w:pStyle w:val="TextBody"/>
        <w:bidi w:val="0"/>
        <w:spacing w:before="0" w:after="120"/>
        <w:jc w:val="both"/>
        <w:rPr>
          <w:rFonts w:ascii="Times New Roman" w:hAnsi="Times New Roman"/>
          <w:sz w:val="20"/>
        </w:rPr>
      </w:pPr>
      <w:r>
        <w:rPr>
          <w:rFonts w:ascii="Times New Roman" w:hAnsi="Times New Roman"/>
          <w:color w:val="231F20"/>
          <w:sz w:val="16"/>
        </w:rPr>
        <w:t>On October 30, 2020, Capitala Business Lending, LLC (“CBL”), a direct, wholly owned, consolidated subsidiary of the Company, entered into a senior secured revolving credit agreement (“the KeyBank Credit Facility”) with the investment adviser at the time, as collateral manager, the lenders from time to time parties thereto (each, a “Lender”), KeyBank National Association, as administrative agent, and U.S. Bank National Association, as custodian. The KeyBank Credit Facility was amended on May 10, 2022 and October 20, 2022. Under the KeyBank Credit Facility, the Lenders have agreed to extend credit to CBL in an aggregate principal amount of up to $75.0 million as of May 10, 2022, with an uncommitted accordion feature that allows the Company to borrow up to an additional $125.0 million. The KeyBank Credit Facility matures on May 10, 2027, unless there is an earlier termination or event of default. The period during which the Lenders may make loans to CBL under the KeyBank Credit Facility commenced on October 30, 2020 and will continue through May 10, 2025, unless there is an earlier termination or event of default. Borrowings under the KeyBank Credit Facility bear interest at 1M Term SOFR plus 2.90% during the 3-year revolving period and 3.25% thereafter, with a 0.40% 1M Term SOFR floor. CBL will also pay an unused commitment fee at a rate of (1) 1.00% if utilization is less than or equal to 30.0%, (2) 0.65% if utilization is greater than 30.0% but less than or equal to 60.0%, or (3) 0.35% if utilization is greater than 60.0%, per annum on the unutilized portion of the aggregate commitments under the KeyBank Credit Facility.</w:t>
      </w:r>
      <w:r>
        <w:rPr>
          <w:rFonts w:ascii="Times New Roman" w:hAnsi="Times New Roman"/>
          <w:color w:val="231F20"/>
          <w:sz w:val="20"/>
        </w:rPr>
        <w:t xml:space="preserve"> </w:t>
      </w:r>
      <w:r>
        <w:rPr>
          <w:rFonts w:ascii="Times New Roman" w:hAnsi="Times New Roman"/>
          <w:color w:val="231F20"/>
          <w:sz w:val="16"/>
        </w:rPr>
        <w:t xml:space="preserve">As of </w:t>
      </w:r>
      <w:r>
        <w:rPr>
          <w:rFonts w:ascii="Times New Roman" w:hAnsi="Times New Roman"/>
          <w:color w:val="000000"/>
          <w:sz w:val="16"/>
        </w:rPr>
        <w:t>March 31, 2024</w:t>
      </w:r>
      <w:r>
        <w:rPr>
          <w:rFonts w:ascii="Times New Roman" w:hAnsi="Times New Roman"/>
          <w:color w:val="231F20"/>
          <w:sz w:val="16"/>
        </w:rPr>
        <w:t>, there were draws of $52.9</w:t>
      </w:r>
      <w:r>
        <w:rPr>
          <w:rFonts w:ascii="Times New Roman" w:hAnsi="Times New Roman"/>
          <w:color w:val="231F20"/>
          <w:sz w:val="20"/>
        </w:rPr>
        <w:t xml:space="preserve"> </w:t>
      </w:r>
      <w:r>
        <w:rPr>
          <w:rFonts w:ascii="Times New Roman" w:hAnsi="Times New Roman"/>
          <w:color w:val="231F20"/>
          <w:sz w:val="16"/>
        </w:rPr>
        <w:t>million</w:t>
      </w:r>
      <w:r>
        <w:rPr>
          <w:rFonts w:ascii="Times New Roman" w:hAnsi="Times New Roman"/>
          <w:color w:val="231F20"/>
          <w:sz w:val="20"/>
        </w:rPr>
        <w:t xml:space="preserve"> </w:t>
      </w:r>
      <w:r>
        <w:rPr>
          <w:rFonts w:ascii="Times New Roman" w:hAnsi="Times New Roman"/>
          <w:color w:val="231F20"/>
          <w:sz w:val="16"/>
        </w:rPr>
        <w:t>on the KeyBank Credit Facility. The KeyBank Credit Facility includes customary affirmative and negative covenants, including certain limitations on the incurrence of additional indebtedness and liens, as well as usual and customary events of default for revolving credit facilities of this nature. As of March 31, 2024, assets pledged to secure the KeyBank Credit Facility had a fair value of $121.7 million.</w:t>
      </w:r>
      <w:r>
        <w:rPr>
          <w:rFonts w:ascii="Times New Roman" w:hAnsi="Times New Roman"/>
          <w:color w:val="231F20"/>
          <w:sz w:val="20"/>
        </w:rPr>
        <w:t xml:space="preserve"> </w:t>
      </w:r>
    </w:p>
    <w:p>
      <w:pPr>
        <w:pStyle w:val="TextBody"/>
        <w:bidi w:val="0"/>
        <w:spacing w:before="0" w:after="120"/>
        <w:jc w:val="both"/>
        <w:rPr>
          <w:rFonts w:ascii="Times New Roman" w:hAnsi="Times New Roman"/>
          <w:sz w:val="20"/>
        </w:rPr>
      </w:pPr>
      <w:r>
        <w:rPr>
          <w:rFonts w:ascii="Times New Roman" w:hAnsi="Times New Roman"/>
          <w:b/>
          <w:color w:val="000000"/>
          <w:sz w:val="16"/>
        </w:rPr>
        <w:t>2032 Convertible Notes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On April 1, 2022, the Company issued $15.0</w:t>
      </w:r>
      <w:r>
        <w:rPr>
          <w:rFonts w:ascii="Times New Roman" w:hAnsi="Times New Roman"/>
          <w:color w:val="000000"/>
          <w:sz w:val="20"/>
        </w:rPr>
        <w:t xml:space="preserve"> </w:t>
      </w:r>
      <w:r>
        <w:rPr>
          <w:rFonts w:ascii="Times New Roman" w:hAnsi="Times New Roman"/>
          <w:color w:val="000000"/>
          <w:sz w:val="16"/>
        </w:rPr>
        <w:t>million in aggregate principal amount of 5.25% fixed-rate convertible notes due April 1, 2032 (the “2032 Convertible Notes”).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16"/>
        </w:rPr>
        <w:t>The 2032 Convertible Notes are convertible, at the holder’s option and at any time on or prior to the close of business on the business day immediately preceding the maturity date, into such number of shares of the Company’s common stock as is equal to the principal balance of the notes being converted on such date divided by the “Conversion Price,” as described below. The Company will not issue more than 539,503 shares of common stock in the aggregate under the purchase agreement governing the 2032 Convertible Notes (the “Purchase Agreement”); however, such number of shares may be adjusted from time to time to give effect to any forward or reverse stock splits with respect to the common stock as well as any further adjustments described in the purchase agreement.</w:t>
      </w:r>
      <w:r>
        <w:rPr>
          <w:rFonts w:ascii="Times New Roman" w:hAnsi="Times New Roman"/>
          <w:color w:val="000000"/>
          <w:sz w:val="20"/>
        </w:rPr>
        <w:t xml:space="preserve"> </w:t>
      </w:r>
      <w:r>
        <w:rPr>
          <w:rFonts w:ascii="Times New Roman" w:hAnsi="Times New Roman"/>
          <w:color w:val="000000"/>
          <w:sz w:val="16"/>
        </w:rPr>
        <w:t>The “Conversion Price” will be equal to the average “Closing Sale Price” for the five “Trading Days” immediately prior to the relevant “Conversion Date,” as those terms are defined in the Purchase Agreement, subject to certain anti-dilutive provisions, as further described in the Purchase Agreement. No holder of a 2032 Convertible Note will be entitled to convert any such note or portion thereof if such conversion would result in more than $7,500,000 in principal amount of 2032 Convertible Notes being converted in any such calendar quarter. The Company has determined that the embedded conversion option in the 2032 Convertible Notes is not required to be separately accounted for as a derivative under U.S. GAAP.</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The Company obtained an Investment Grade rating from a Nationally Recognized Statistical Rating Organization (“NRSRO”) with respect to the 2032 Convertible Notes. The 2032 Convertible Notes have a fixed interest rate of 5.25% per annum payable semi-annually on March 31 and September 30 of each year, commencing on September 30, 2022, subject to a step up of 0.75% per annum to the extent that the 2032 Convertible Notes are downgraded below Investment Grade by an NRSRO or the 2032 Convertible Notes no longer maintain a rating from an NRSRO. The Company will also be required to pay an additional interest rate of 2.0% per annum (x) on any overdue payment of interest and (y) during the continuance of an “Event of Default.” The Company intends to use the net proceeds from the offering of the 2032 Convertible Notes for general corporate purposes, which may include repaying outstanding indebtedness, making opportunistic investments and paying corporate expenses. In addition, on the occurrence of a “Change in Control Repurchase Event” or “Delisting Event,” as defined in the Purchase Agreement, the Company will generally be required to make an offer to purchase the outstanding 2032 Convertible Notes at a price equal to 100% of the principal amount of such 2032 Convertible Notes plus accrued and unpaid interest to the repurchase date. The 2032 Convertible Notes are redeemable prior to maturity. No “sinking fund” is provided for the 2032 Convertible Notes.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During the quarter ended March 31, 2024, the Company converted $1.0 million in outstanding principal amount of the 2032 Convertible Notes. Of the $1.0 million that was converted, $0.5 million was paid in cash and $0.5 million was converted into shares of the Company’s common stock at a rate of $22.61 per principal amount, in accordance with a Notice of Exercise of Conversion.</w:t>
      </w:r>
    </w:p>
    <w:p>
      <w:pPr>
        <w:pStyle w:val="TextBody"/>
        <w:bidi w:val="0"/>
        <w:spacing w:before="120" w:after="283"/>
        <w:jc w:val="both"/>
        <w:rPr>
          <w:rFonts w:ascii="Times New Roman" w:hAnsi="Times New Roman"/>
          <w:sz w:val="20"/>
        </w:rPr>
      </w:pPr>
      <w:r>
        <w:rPr>
          <w:rFonts w:ascii="Times New Roman" w:hAnsi="Times New Roman"/>
          <w:color w:val="000000"/>
          <w:sz w:val="16"/>
        </w:rPr>
        <w:t>As of March 31, 2024, the Company had $14.0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2032 Convertible Notes outstanding.</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2026 Notes</w:t>
      </w:r>
    </w:p>
    <w:p>
      <w:pPr>
        <w:pStyle w:val="TextBody"/>
        <w:bidi w:val="0"/>
        <w:jc w:val="both"/>
        <w:rPr>
          <w:rFonts w:ascii="Times New Roman" w:hAnsi="Times New Roman"/>
          <w:sz w:val="20"/>
        </w:rPr>
      </w:pPr>
      <w:r>
        <w:rPr>
          <w:rFonts w:ascii="Times New Roman" w:hAnsi="Times New Roman"/>
          <w:color w:val="000000"/>
          <w:sz w:val="16"/>
        </w:rPr>
        <w:t>On October 29, 2021, the Company issued $50.0</w:t>
      </w:r>
      <w:r>
        <w:rPr>
          <w:rFonts w:ascii="Times New Roman" w:hAnsi="Times New Roman"/>
          <w:color w:val="000000"/>
          <w:sz w:val="20"/>
        </w:rPr>
        <w:t xml:space="preserve"> </w:t>
      </w:r>
      <w:r>
        <w:rPr>
          <w:rFonts w:ascii="Times New Roman" w:hAnsi="Times New Roman"/>
          <w:color w:val="000000"/>
          <w:sz w:val="16"/>
        </w:rPr>
        <w:t xml:space="preserve">million in aggregate principal amount of 5.25% fixed rate notes due October 30, 2026 (the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 The Notes will mature on October 30, 2026 and may be redeemed in whole or in part at the Company's option at any time or from time to time at the redemption prices set forth in the Indenture. The Notes bear interest at a rate of 5.25% per year payable semi-annually on April 30 and October 30 of each year, commencing on April 30, 2022. The Notes are general unsecured obligations of the Company that rank senior in right of payment to all of the Company's existing and future indebtedness that is expressly subordinated in right of payment to the Notes, rank </w:t>
      </w:r>
      <w:r>
        <w:rPr>
          <w:rFonts w:ascii="Times New Roman" w:hAnsi="Times New Roman"/>
          <w:i/>
          <w:color w:val="000000"/>
          <w:sz w:val="16"/>
        </w:rPr>
        <w:t>pari passu</w:t>
      </w:r>
      <w:r>
        <w:rPr>
          <w:rFonts w:ascii="Times New Roman" w:hAnsi="Times New Roman"/>
          <w:color w:val="000000"/>
          <w:sz w:val="16"/>
        </w:rPr>
        <w:t xml:space="preserve">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 July 2022, pursuant to the requirements of a registration rights agreements entered into in connection with the offering described above, the Company completed an exchange offer pursuant to which all of the outstanding 2026 Notes were exchanged for notes with substantially identical terms, but that are registered under the Securities Act (which notes are also referred to herein as the “2026 Notes”).</w:t>
      </w:r>
    </w:p>
    <w:p>
      <w:pPr>
        <w:pStyle w:val="TextBody"/>
        <w:bidi w:val="0"/>
        <w:spacing w:before="120" w:after="283"/>
        <w:jc w:val="both"/>
        <w:rPr>
          <w:rFonts w:ascii="Times New Roman" w:hAnsi="Times New Roman"/>
          <w:sz w:val="20"/>
        </w:rPr>
      </w:pPr>
      <w:r>
        <w:rPr>
          <w:rFonts w:ascii="Times New Roman" w:hAnsi="Times New Roman"/>
          <w:color w:val="000000"/>
          <w:sz w:val="16"/>
        </w:rPr>
        <w:t>As of March 31, 2024, the Company had approximately $50.0</w:t>
      </w:r>
      <w:r>
        <w:rPr>
          <w:rFonts w:ascii="Times New Roman" w:hAnsi="Times New Roman"/>
          <w:color w:val="000000"/>
          <w:sz w:val="20"/>
        </w:rPr>
        <w:t xml:space="preserve"> </w:t>
      </w:r>
      <w:r>
        <w:rPr>
          <w:rFonts w:ascii="Times New Roman" w:hAnsi="Times New Roman"/>
          <w:color w:val="000000"/>
          <w:sz w:val="16"/>
        </w:rPr>
        <w:t>million</w:t>
      </w:r>
      <w:r>
        <w:rPr>
          <w:rFonts w:ascii="Times New Roman" w:hAnsi="Times New Roman"/>
          <w:color w:val="000000"/>
          <w:sz w:val="20"/>
        </w:rPr>
        <w:t xml:space="preserve"> </w:t>
      </w:r>
      <w:r>
        <w:rPr>
          <w:rFonts w:ascii="Times New Roman" w:hAnsi="Times New Roman"/>
          <w:color w:val="000000"/>
          <w:sz w:val="16"/>
        </w:rPr>
        <w:t>in aggregate principal amount of 2026 Notes outstanding.</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Asset Coverage Ratio</w:t>
      </w:r>
    </w:p>
    <w:p>
      <w:pPr>
        <w:pStyle w:val="TextBody"/>
        <w:bidi w:val="0"/>
        <w:jc w:val="both"/>
        <w:rPr>
          <w:rFonts w:ascii="Times New Roman" w:hAnsi="Times New Roman"/>
          <w:sz w:val="20"/>
        </w:rPr>
      </w:pPr>
      <w:r>
        <w:rPr>
          <w:rFonts w:ascii="Times New Roman" w:hAnsi="Times New Roman"/>
          <w:color w:val="000000"/>
          <w:sz w:val="16"/>
        </w:rPr>
        <w:t>We are only allowed to borrow money such that our asset coverage, as defined in the 1940 Act, equals at least 150% if certain requirements are met, after such borrowing, with certain limited exceptions. As of March 31, 2024, our asset coverage ratio was 176%. If our asset coverage ratio falls below 150% due a decline in the fair market of our portfolio, we may be limited in our ability to raise additional debt.</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Cash and Cash Equivalents</w:t>
      </w:r>
    </w:p>
    <w:p>
      <w:pPr>
        <w:pStyle w:val="TextBody"/>
        <w:bidi w:val="0"/>
        <w:jc w:val="both"/>
        <w:rPr>
          <w:rFonts w:ascii="Times New Roman" w:hAnsi="Times New Roman"/>
          <w:color w:val="000000"/>
          <w:sz w:val="16"/>
        </w:rPr>
      </w:pPr>
      <w:r>
        <w:rPr>
          <w:rFonts w:ascii="Times New Roman" w:hAnsi="Times New Roman"/>
          <w:color w:val="000000"/>
          <w:sz w:val="16"/>
        </w:rPr>
        <w:t>As of March 31, 2024, we had $8.3 million in cash and cash equivalents.</w:t>
      </w:r>
    </w:p>
    <w:p>
      <w:pPr>
        <w:pStyle w:val="TextBody"/>
        <w:bidi w:val="0"/>
        <w:spacing w:before="120" w:after="120"/>
        <w:jc w:val="both"/>
        <w:rPr>
          <w:rFonts w:ascii="Times New Roman" w:hAnsi="Times New Roman"/>
          <w:sz w:val="20"/>
        </w:rPr>
      </w:pPr>
      <w:r>
        <w:rPr>
          <w:rFonts w:ascii="Times New Roman" w:hAnsi="Times New Roman"/>
          <w:b/>
          <w:color w:val="000000"/>
          <w:sz w:val="16"/>
        </w:rPr>
        <w:t>Contractual Obligations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6"/>
        </w:rPr>
        <w:t>We have entered into two contracts under which we have material future commitments: the Investment Advisory Agreement, pursuant to which the Investment Adviser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 summary of our significant contractual payment obligations as of March 31, 2024 are as follows (dollars in millions):</w:t>
      </w:r>
    </w:p>
    <w:tbl>
      <w:tblPr>
        <w:tblW w:w="6867" w:type="dxa"/>
        <w:jc w:val="left"/>
        <w:tblInd w:w="0" w:type="dxa"/>
        <w:tblLayout w:type="fixed"/>
        <w:tblCellMar>
          <w:top w:w="28" w:type="dxa"/>
          <w:left w:w="28" w:type="dxa"/>
          <w:bottom w:w="28" w:type="dxa"/>
          <w:right w:w="28" w:type="dxa"/>
        </w:tblCellMar>
      </w:tblPr>
      <w:tblGrid>
        <w:gridCol w:w="2161"/>
        <w:gridCol w:w="146"/>
        <w:gridCol w:w="217"/>
        <w:gridCol w:w="383"/>
        <w:gridCol w:w="146"/>
        <w:gridCol w:w="146"/>
        <w:gridCol w:w="196"/>
        <w:gridCol w:w="421"/>
        <w:gridCol w:w="146"/>
        <w:gridCol w:w="146"/>
        <w:gridCol w:w="196"/>
        <w:gridCol w:w="421"/>
        <w:gridCol w:w="146"/>
        <w:gridCol w:w="146"/>
        <w:gridCol w:w="209"/>
        <w:gridCol w:w="451"/>
        <w:gridCol w:w="146"/>
        <w:gridCol w:w="146"/>
        <w:gridCol w:w="196"/>
        <w:gridCol w:w="511"/>
        <w:gridCol w:w="191"/>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369"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Contractual Obligations Payments Due by Period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w:t>
              <w:br/>
              <w:t>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w:t>
              <w:br/>
              <w:t>Than</w:t>
              <w:br/>
              <w:t>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2026 Notes</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91" w:type="dxa"/>
            <w:tcBorders/>
            <w:shd w:fill="CFF0FC" w:val="cle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2032 Convertible Notes</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91" w:type="dxa"/>
            <w:tcBorders/>
            <w:shd w:fill="FFFFFF" w:val="clear"/>
            <w:vAlign w:val="center"/>
          </w:tcPr>
          <w:p>
            <w:pPr>
              <w:pStyle w:val="TableContents"/>
              <w:bidi w:val="0"/>
              <w:spacing w:before="0" w:after="283"/>
              <w:jc w:val="left"/>
              <w:rPr/>
            </w:pPr>
            <w:r>
              <w:rPr/>
              <w:t> </w:t>
            </w:r>
          </w:p>
        </w:tc>
      </w:tr>
      <w:tr>
        <w:trPr/>
        <w:tc>
          <w:tcPr>
            <w:tcW w:w="216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KeyBank Credit Facility</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6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Contractual Obligations</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sz w:val="20"/>
        </w:rPr>
      </w:pPr>
      <w:r>
        <w:rPr>
          <w:rFonts w:ascii="Times New Roman" w:hAnsi="Times New Roman"/>
          <w:b/>
          <w:color w:val="000000"/>
          <w:sz w:val="16"/>
        </w:rPr>
        <w:t>Distributions</w:t>
      </w:r>
      <w:r>
        <w:rPr>
          <w:rFonts w:ascii="Times New Roman" w:hAnsi="Times New Roman"/>
          <w:color w:val="000000"/>
          <w:sz w:val="20"/>
        </w:rPr>
        <w:t xml:space="preserve"> </w:t>
      </w:r>
    </w:p>
    <w:p>
      <w:pPr>
        <w:pStyle w:val="TextBody"/>
        <w:bidi w:val="0"/>
        <w:jc w:val="both"/>
        <w:rPr>
          <w:rFonts w:ascii="Times New Roman" w:hAnsi="Times New Roman"/>
          <w:color w:val="000000"/>
          <w:sz w:val="16"/>
        </w:rPr>
      </w:pPr>
      <w:r>
        <w:rPr>
          <w:rFonts w:ascii="Times New Roman" w:hAnsi="Times New Roman"/>
          <w:color w:val="000000"/>
          <w:sz w:val="16"/>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for the second quarter of 2020. Our stockholder distributions, if any, will be determined by our Board on a quarterly basis. Any distributions to our stockholders will be declared out of assets legally available for distribution. For the three months ended March 31, 2024, the Company declared a distribution of $0.32 per share to stockholders of record as of March 25, 2024. For the three months ended March 31, 2023, the Company made a distribution of $0.18 per share to the stockholders of record as of March 20, 2023.</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under Subchapter M of the Code. We cannot assure stockholders that they will receive any distributions.</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To the extent our taxable earnings fall below the total amount of our distributions for that fiscal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pStyle w:val="TextBody"/>
        <w:bidi w:val="0"/>
        <w:spacing w:before="120" w:after="283"/>
        <w:jc w:val="both"/>
        <w:rPr>
          <w:rFonts w:ascii="Times New Roman" w:hAnsi="Times New Roman"/>
          <w:sz w:val="20"/>
        </w:rPr>
      </w:pPr>
      <w:r>
        <w:rPr>
          <w:rFonts w:ascii="Times New Roman" w:hAnsi="Times New Roman"/>
          <w:color w:val="000000"/>
          <w:sz w:val="16"/>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Tax characteristics of all distributions paid are reported to stockholders on Form 1099 after the end of the calendar year. Distributions may be subject to reclassification based on future dividends and operating results and will not be determined until the end of the year.</w:t>
      </w:r>
      <w:r>
        <w:rPr>
          <w:rFonts w:ascii="Times New Roman" w:hAnsi="Times New Roman"/>
          <w:color w:val="000000"/>
          <w:sz w:val="20"/>
        </w:rPr>
        <w:t xml:space="preserve"> </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Related Parties</w:t>
      </w:r>
    </w:p>
    <w:p>
      <w:pPr>
        <w:pStyle w:val="TextBody"/>
        <w:bidi w:val="0"/>
        <w:jc w:val="both"/>
        <w:rPr>
          <w:rFonts w:ascii="Times New Roman" w:hAnsi="Times New Roman"/>
          <w:sz w:val="20"/>
        </w:rPr>
      </w:pPr>
      <w:r>
        <w:rPr>
          <w:rFonts w:ascii="Times New Roman" w:hAnsi="Times New Roman"/>
          <w:color w:val="000000"/>
          <w:sz w:val="16"/>
        </w:rPr>
        <w:t>On July 1, 2021, we entered into the Investment Advisory Agreement with the Investment Adviser. The Company is externally managed by the Investment Adviser, an affiliate of BC Partners, pursuant to the Investment Advisory Agreement. Mr. Goldthorpe, an interested member of the Board, has a direct or indirect pecuniary interest in the Investment Adviser. The Investment Adviser is a registered investment adviser under the Investment Advisers Act of 1940, as amended. The Investment Adviser is an affiliate of BC Partners Advisors L.P. for U.S. regulatory purposes. Mount Logan Capital Inc. is the ultimate control person of the Investment Adviser.</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Under the Investment Advisory Agreement, fees payable to the Investment Adviser equal (i) the Base Management Fee and (ii) the Incentive Fee. Unless earlier terminated as described below, the Investment Advisory Agreement will remain in effect from year-to-year if approved annually by a majority of the Board or by the holders of a majority of the outstanding shares, and, in each case, a majority of the independent directors.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Pursuant to the Administration Agreement, the Administrator provides administrative services to the Company necessary for the operations of the Company, which include providing to the Company office facilities, equipment and clerical, bookkeeping and record keeping services at such facilities and such other services as the Administrator, subject to review by the Board, shall from time to time deem to be necessary or useful to perform its obligations under the applicable Administration Agreement. The Administrator also provides to the Company portfolio collection functions for and is responsible for the financial and other records that the Company is required to maintain and prepares, prints and disseminates reports to the Company's stockholders and reports and all other materials filed with the SEC.</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For providing these services, facilities and personnel, the Company reimburses the Administrator the allocable portion of overhead and other expenses incurred by the Administrator in performing its obligations under the Administration Agreement, including the Company's allocable portion of the costs of compensation and related expenses of its chief financial officer and chief compliance officer and their respective staffs.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On April 10, 2023, superseding a prior exemptive order granted on October 23, 2018, the SEC issued an order granting an application for exemptive relief to us and certain of our affiliates that allows BDCs managed by the Investment Adviser, including Logan Ridge, to co-invest, subject to the satisfaction of certain conditions, in certain private placement transactions, with other funds managed by the Investment Adviser or its affiliates, certain proprietary accounts of the Investment Adviser or its affiliates and any future funds that are advised by the Investment Adviser or its affiliated investment advisers. Under the terms of the exemptive order, in order for Logan Ridge to participate in a co-investment transaction, a “required majority” (as defined in Section 57(0) of the 1940 Act) of Logan Ridge's independent directors must conclude that (i) the terms of the proposed transaction, including the consideration to be paid, are reasonable and fair to Logan Ridge and its stockholders and do not involve overreaching with respect of Logan Ridge or its stockholders on the part of any person concerned, and (ii) the proposed transaction is consistent with the interests of Logan Ridge's stockholders and is consistent with Logan Ridge's investment objectives and strategies and certain criteria established by the Board. We believe this relief may not only enhance our ability to further our investment objectives and strategies, but may also increase favorable investment opportunities for us, in part by allowing us to participate in larger investments, together with our co-investment affiliates, than would be available to us in the absence of such relief.</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Prior to July 1, 2021, we were party to an administration agreement with our then administrator, Capitala Advisors Corp. As administrator, Capitala Advisors Corp. provided us with the office facilities and administrative services necessary to conduct our day-to-day operations. On July 1, 2021, we entered into a new</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Administration Agreement with our current Administrator, BC Partners Management LLC. Pursuant to the terms of the Administration Agreement, our Administrator provides us with the office facilities and administrative services necessary to conduct our day-to-day operations.</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Off-Balance Sheet Arrangements</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As of March 31, 2024 and December 31, 2023, the Company had the following outstanding unfunded commitments to existing portfolio companies (dollars in thousands):</w:t>
      </w:r>
    </w:p>
    <w:tbl>
      <w:tblPr>
        <w:tblW w:w="10073" w:type="dxa"/>
        <w:jc w:val="left"/>
        <w:tblInd w:w="0" w:type="dxa"/>
        <w:tblLayout w:type="fixed"/>
        <w:tblCellMar>
          <w:top w:w="28" w:type="dxa"/>
          <w:left w:w="28" w:type="dxa"/>
          <w:bottom w:w="28" w:type="dxa"/>
          <w:right w:w="28" w:type="dxa"/>
        </w:tblCellMar>
      </w:tblPr>
      <w:tblGrid>
        <w:gridCol w:w="4516"/>
        <w:gridCol w:w="2866"/>
        <w:gridCol w:w="196"/>
        <w:gridCol w:w="146"/>
        <w:gridCol w:w="512"/>
        <w:gridCol w:w="146"/>
        <w:gridCol w:w="414"/>
        <w:gridCol w:w="1086"/>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Portfolio Company</w:t>
            </w:r>
          </w:p>
        </w:tc>
        <w:tc>
          <w:tcPr>
            <w:tcW w:w="28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Investment</w:t>
            </w:r>
          </w:p>
        </w:tc>
        <w:tc>
          <w:tcPr>
            <w:tcW w:w="85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Accordion Partners LLC (Revolver)</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765</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1,531</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American Clinical Solutions, LLC</w:t>
            </w:r>
            <w:r>
              <w:rPr>
                <w:rFonts w:ascii="Times New Roman" w:hAnsi="Times New Roman"/>
                <w:color w:val="000000"/>
                <w:sz w:val="11"/>
              </w:rPr>
              <w:t>(1)</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250</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BetaNXT, Inc. (Revolver)</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272</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408</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Bradshaw International, Inc. (Revolver)</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922</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Critical Nurse Staffing, LLC (Revolver)</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Dentive, LLC</w:t>
            </w:r>
            <w:r>
              <w:rPr>
                <w:rFonts w:ascii="Times New Roman" w:hAnsi="Times New Roman"/>
                <w:color w:val="000000"/>
                <w:sz w:val="11"/>
              </w:rPr>
              <w:t>(1)</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196</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Dentive, LLC (Revolver)</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187</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Fortis Payment Systems, LLC</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425</w:t>
            </w:r>
          </w:p>
        </w:tc>
        <w:tc>
          <w:tcPr>
            <w:tcW w:w="146" w:type="dxa"/>
            <w:tcBorders/>
            <w:shd w:fill="FFFFFF" w:val="clear"/>
            <w:vAlign w:val="center"/>
          </w:tcPr>
          <w:p>
            <w:pPr>
              <w:pStyle w:val="TableContents"/>
              <w:bidi w:val="0"/>
              <w:spacing w:before="0" w:after="283"/>
              <w:jc w:val="left"/>
              <w:rPr/>
            </w:pPr>
            <w:r>
              <w:rPr/>
              <w:t> </w:t>
            </w:r>
          </w:p>
        </w:tc>
        <w:tc>
          <w:tcPr>
            <w:tcW w:w="1500" w:type="dxa"/>
            <w:gridSpan w:val="2"/>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FFFFFF" w:val="clear"/>
            <w:vAlign w:val="center"/>
          </w:tcPr>
          <w:p>
            <w:pPr>
              <w:pStyle w:val="TableContents"/>
              <w:bidi w:val="0"/>
              <w:spacing w:before="0" w:after="283"/>
              <w:jc w:val="righ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Great Lakes Funding II LLC - Series A</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Joint Venture</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GreenPark Infrastructure, LLC - Series M-1</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Common Stock and Membership Units</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IDC Infusion Services, LLC</w:t>
            </w:r>
            <w:r>
              <w:rPr>
                <w:rFonts w:ascii="Times New Roman" w:hAnsi="Times New Roman"/>
                <w:color w:val="000000"/>
                <w:sz w:val="11"/>
              </w:rPr>
              <w:t>(1)</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604</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Morae Global Corporation (Revolver)</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292</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Orthopaedic (ITC) Buyer, LLC</w:t>
            </w:r>
            <w:r>
              <w:rPr>
                <w:rFonts w:ascii="Times New Roman" w:hAnsi="Times New Roman"/>
                <w:color w:val="000000"/>
                <w:sz w:val="11"/>
              </w:rPr>
              <w:t>(1)</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PhyNet Dermatology LLC</w:t>
            </w:r>
            <w:r>
              <w:rPr>
                <w:rFonts w:ascii="Times New Roman" w:hAnsi="Times New Roman"/>
                <w:color w:val="000000"/>
                <w:sz w:val="11"/>
              </w:rPr>
              <w:t>(1)</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Riddell, Inc.</w:t>
            </w:r>
            <w:r>
              <w:rPr>
                <w:rFonts w:ascii="Times New Roman" w:hAnsi="Times New Roman"/>
                <w:color w:val="000000"/>
                <w:sz w:val="11"/>
              </w:rPr>
              <w:t>(1)</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364</w:t>
            </w:r>
          </w:p>
        </w:tc>
        <w:tc>
          <w:tcPr>
            <w:tcW w:w="146" w:type="dxa"/>
            <w:tcBorders/>
            <w:shd w:fill="CFF0FC" w:val="clear"/>
            <w:vAlign w:val="center"/>
          </w:tcPr>
          <w:p>
            <w:pPr>
              <w:pStyle w:val="TableContents"/>
              <w:bidi w:val="0"/>
              <w:spacing w:before="0" w:after="283"/>
              <w:jc w:val="left"/>
              <w:rPr/>
            </w:pPr>
            <w:r>
              <w:rPr/>
              <w:t> </w:t>
            </w:r>
          </w:p>
        </w:tc>
        <w:tc>
          <w:tcPr>
            <w:tcW w:w="1500" w:type="dxa"/>
            <w:gridSpan w:val="2"/>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N/A</w:t>
            </w:r>
          </w:p>
        </w:tc>
        <w:tc>
          <w:tcPr>
            <w:tcW w:w="191" w:type="dxa"/>
            <w:tcBorders/>
            <w:shd w:fill="CFF0FC" w:val="clear"/>
            <w:vAlign w:val="center"/>
          </w:tcPr>
          <w:p>
            <w:pPr>
              <w:pStyle w:val="TableContents"/>
              <w:bidi w:val="0"/>
              <w:spacing w:before="0" w:after="283"/>
              <w:jc w:val="righ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Tactical Air Support, Inc.</w:t>
            </w:r>
            <w:r>
              <w:rPr>
                <w:rFonts w:ascii="Times New Roman" w:hAnsi="Times New Roman"/>
                <w:color w:val="000000"/>
                <w:sz w:val="11"/>
              </w:rPr>
              <w:t>(1)</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286</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Taoglas Group Holdings Limited (Revolver)</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261</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sz w:val="16"/>
              </w:rPr>
            </w:pPr>
            <w:r>
              <w:rPr>
                <w:rFonts w:ascii="Times New Roman" w:hAnsi="Times New Roman"/>
                <w:color w:val="000000"/>
                <w:sz w:val="16"/>
              </w:rPr>
              <w:t>VBC Spine Opco, LLC (DxTx Pain and Spine LLC)</w:t>
            </w:r>
            <w:r>
              <w:rPr>
                <w:rFonts w:ascii="Times New Roman" w:hAnsi="Times New Roman"/>
                <w:color w:val="000000"/>
                <w:sz w:val="11"/>
              </w:rPr>
              <w:t>(1)</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46" w:type="dxa"/>
            <w:tcBorders/>
            <w:shd w:fill="FFFFFF" w:val="clear"/>
            <w:vAlign w:val="center"/>
          </w:tcPr>
          <w:p>
            <w:pPr>
              <w:pStyle w:val="TableContents"/>
              <w:bidi w:val="0"/>
              <w:spacing w:before="0" w:after="283"/>
              <w:jc w:val="left"/>
              <w:rPr/>
            </w:pPr>
            <w:r>
              <w:rPr/>
              <w:t> </w:t>
            </w:r>
          </w:p>
        </w:tc>
        <w:tc>
          <w:tcPr>
            <w:tcW w:w="414"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713</w:t>
            </w:r>
          </w:p>
        </w:tc>
        <w:tc>
          <w:tcPr>
            <w:tcW w:w="191" w:type="dxa"/>
            <w:tcBorders/>
            <w:shd w:fill="FFFFFF" w:val="cle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VBC Spine Opco, LLC (DxTx Pain and Spine LLC) (Revolver)</w:t>
            </w:r>
          </w:p>
        </w:tc>
        <w:tc>
          <w:tcPr>
            <w:tcW w:w="2866"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14" w:type="dxa"/>
            <w:tcBorders/>
            <w:shd w:fill="CFF0FC" w:val="clear"/>
            <w:vAlign w:val="center"/>
          </w:tcPr>
          <w:p>
            <w:pPr>
              <w:pStyle w:val="TableContents"/>
              <w:bidi w:val="0"/>
              <w:spacing w:before="0" w:after="283"/>
              <w:jc w:val="left"/>
              <w:rPr/>
            </w:pPr>
            <w:r>
              <w:rPr/>
              <w:t> </w:t>
            </w:r>
          </w:p>
        </w:tc>
        <w:tc>
          <w:tcPr>
            <w:tcW w:w="108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91" w:type="dxa"/>
            <w:tcBorders/>
            <w:shd w:fill="CFF0FC" w:val="clear"/>
            <w:vAlign w:val="center"/>
          </w:tcPr>
          <w:p>
            <w:pPr>
              <w:pStyle w:val="TableContents"/>
              <w:bidi w:val="0"/>
              <w:spacing w:before="0" w:after="283"/>
              <w:jc w:val="left"/>
              <w:rPr/>
            </w:pPr>
            <w:r>
              <w:rPr/>
              <w:t> </w:t>
            </w:r>
          </w:p>
        </w:tc>
      </w:tr>
      <w:tr>
        <w:trPr/>
        <w:tc>
          <w:tcPr>
            <w:tcW w:w="451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Wealth Enhancement Group, LLC (Revolver)</w:t>
            </w:r>
          </w:p>
        </w:tc>
        <w:tc>
          <w:tcPr>
            <w:tcW w:w="2866"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First Lien/Senior Secured Debt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1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 Unfunded Commitments</w:t>
            </w:r>
          </w:p>
        </w:tc>
        <w:tc>
          <w:tcPr>
            <w:tcW w:w="286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9,173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Delayed-draw term loan.</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pStyle w:val="TextBody"/>
        <w:bidi w:val="0"/>
        <w:spacing w:before="120" w:after="120"/>
        <w:jc w:val="both"/>
        <w:rPr>
          <w:rFonts w:ascii="Times New Roman" w:hAnsi="Times New Roman"/>
          <w:b/>
          <w:color w:val="000000"/>
          <w:sz w:val="16"/>
        </w:rPr>
      </w:pPr>
      <w:r>
        <w:rPr>
          <w:rFonts w:ascii="Times New Roman" w:hAnsi="Times New Roman"/>
          <w:b/>
          <w:color w:val="000000"/>
          <w:sz w:val="16"/>
        </w:rPr>
        <w:t>Recent Developments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On April 2, 2024, the Company prepaid $2.0 million of the aggregate principal amount outstanding of the 2032 Notes, together with accrued and unpaid interest.</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On May 7, 2024, the Company’s Board of Directors approved a distribution of $0.33 per share, payable on May 31, 2024 to stockholders of record as of May 21, 2024.</w:t>
      </w:r>
    </w:p>
    <w:p>
      <w:pPr>
        <w:pStyle w:val="TextBody"/>
        <w:bidi w:val="0"/>
        <w:spacing w:before="120" w:after="120"/>
        <w:jc w:val="both"/>
        <w:rPr>
          <w:rFonts w:ascii="Times New Roman" w:hAnsi="Times New Roman"/>
          <w:b/>
          <w:color w:val="000000"/>
          <w:sz w:val="16"/>
        </w:rPr>
      </w:pPr>
      <w:bookmarkStart w:id="11" w:name="item_3_quantitative_and_qualitative"/>
      <w:bookmarkEnd w:id="11"/>
      <w:r>
        <w:rPr>
          <w:rFonts w:ascii="Times New Roman" w:hAnsi="Times New Roman"/>
          <w:b/>
          <w:color w:val="000000"/>
          <w:sz w:val="16"/>
        </w:rPr>
        <w:t>Item 3. Quantitative and Qualitative Disclosures About Market Risk</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We are subject to financial market risks, including changes in interest rates. Changes in interest rates may affect both our cost of funding and our interest income from portfolio investments and cash and cash equivalents.</w:t>
      </w:r>
    </w:p>
    <w:p>
      <w:pPr>
        <w:pStyle w:val="TextBody"/>
        <w:bidi w:val="0"/>
        <w:spacing w:before="120" w:after="283"/>
        <w:jc w:val="both"/>
        <w:rPr>
          <w:rFonts w:ascii="Times New Roman" w:hAnsi="Times New Roman"/>
          <w:sz w:val="20"/>
        </w:rPr>
      </w:pPr>
      <w:r>
        <w:rPr>
          <w:rFonts w:ascii="Times New Roman" w:hAnsi="Times New Roman"/>
          <w:color w:val="000000"/>
          <w:sz w:val="16"/>
        </w:rPr>
        <w:t>We may hedge against interest rate fluctuations by using standard hedging instruments such as futures, options, and forward contracts subject to the requirements of the 1940 Act. For the three months ended March 31, 2024, we did not engage in hedging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As of March 31, 2024, we held 52 securities bearing a variable rate of interest. Our variable rate investments represent approximately 88.5% of the fair value of our total debt investments. As of March 31, 2024, none of our variable rate securities were yielding interest at a rate equal to the established interest rate floor. As of March 31, 2024, we had $52.9 million outstanding on our KeyBank Credit Facility, which has a variable rate of interest at one-month SOFR + 2.90%, subject to an interest rate floor of 0.40%. As of March 31, 2024, all of our other interest paying liabilities, consisting of $50.0 million in 2026 Notes and $14.0 million in 2032 Convertible Notes, were bearing interest at a fixed rate.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Interest rate sensitivity refers to the change in earnings that may result from changes in the level of interest rates.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pStyle w:val="TextBody"/>
        <w:bidi w:val="0"/>
        <w:spacing w:before="120" w:after="120"/>
        <w:jc w:val="both"/>
        <w:rPr>
          <w:rFonts w:ascii="Times New Roman" w:hAnsi="Times New Roman"/>
          <w:sz w:val="20"/>
        </w:rPr>
      </w:pPr>
      <w:r>
        <w:rPr>
          <w:rFonts w:ascii="Times New Roman" w:hAnsi="Times New Roman"/>
          <w:color w:val="000000"/>
          <w:sz w:val="16"/>
        </w:rPr>
        <w:t>Based on our March 31, 2024 consolidated statements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r>
        <w:rPr>
          <w:rFonts w:ascii="Times New Roman" w:hAnsi="Times New Roman"/>
          <w:color w:val="000000"/>
          <w:sz w:val="20"/>
        </w:rPr>
        <w:t xml:space="preserve"> </w:t>
      </w:r>
    </w:p>
    <w:tbl>
      <w:tblPr>
        <w:tblW w:w="6709" w:type="dxa"/>
        <w:jc w:val="left"/>
        <w:tblInd w:w="0" w:type="dxa"/>
        <w:tblLayout w:type="fixed"/>
        <w:tblCellMar>
          <w:top w:w="28" w:type="dxa"/>
          <w:left w:w="28" w:type="dxa"/>
          <w:bottom w:w="28" w:type="dxa"/>
          <w:right w:w="28" w:type="dxa"/>
        </w:tblCellMar>
      </w:tblPr>
      <w:tblGrid>
        <w:gridCol w:w="1696"/>
        <w:gridCol w:w="549"/>
        <w:gridCol w:w="1611"/>
        <w:gridCol w:w="166"/>
        <w:gridCol w:w="318"/>
        <w:gridCol w:w="927"/>
        <w:gridCol w:w="166"/>
        <w:gridCol w:w="271"/>
        <w:gridCol w:w="794"/>
        <w:gridCol w:w="211"/>
      </w:tblGrid>
      <w:tr>
        <w:trPr/>
        <w:tc>
          <w:tcPr>
            <w:tcW w:w="169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6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Basis Point Change</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 in interest 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decrease in</w:t>
              <w:br/>
              <w:t>interest expense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w:t>
              <w:br/>
              <w:t xml:space="preserve">(decrease) in </w:t>
              <w:br/>
              <w:t>net income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Up 300 basis points</w:t>
            </w:r>
          </w:p>
        </w:tc>
        <w:tc>
          <w:tcPr>
            <w:tcW w:w="549"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4,495</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2,885</w:t>
            </w:r>
          </w:p>
        </w:tc>
        <w:tc>
          <w:tcPr>
            <w:tcW w:w="21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Up 200 basis points</w:t>
            </w:r>
          </w:p>
        </w:tc>
        <w:tc>
          <w:tcPr>
            <w:tcW w:w="549"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2,997</w:t>
            </w:r>
          </w:p>
        </w:tc>
        <w:tc>
          <w:tcPr>
            <w:tcW w:w="16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w:t>
            </w:r>
          </w:p>
        </w:tc>
        <w:tc>
          <w:tcPr>
            <w:tcW w:w="211" w:type="dxa"/>
            <w:tcBorders/>
            <w:shd w:fill="FFFFFF" w:val="clear"/>
            <w:vAlign w:val="center"/>
          </w:tcPr>
          <w:p>
            <w:pPr>
              <w:pStyle w:val="TableContents"/>
              <w:bidi w:val="0"/>
              <w:spacing w:before="0" w:after="283"/>
              <w:jc w:val="left"/>
              <w:rPr/>
            </w:pPr>
            <w:r>
              <w:rPr/>
              <w:t> </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Up 100 basis points</w:t>
            </w:r>
          </w:p>
        </w:tc>
        <w:tc>
          <w:tcPr>
            <w:tcW w:w="549" w:type="dxa"/>
            <w:tcBorders/>
            <w:shd w:fill="CFF0FC" w:val="clear"/>
            <w:vAlign w:val="center"/>
          </w:tcPr>
          <w:p>
            <w:pPr>
              <w:pStyle w:val="TableContents"/>
              <w:bidi w:val="0"/>
              <w:spacing w:before="0" w:after="283"/>
              <w:jc w:val="left"/>
              <w:rPr/>
            </w:pPr>
            <w:r>
              <w:rPr/>
              <w:t> </w:t>
            </w:r>
          </w:p>
        </w:tc>
        <w:tc>
          <w:tcPr>
            <w:tcW w:w="1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w:t>
            </w:r>
          </w:p>
        </w:tc>
        <w:tc>
          <w:tcPr>
            <w:tcW w:w="16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71"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w:t>
            </w:r>
          </w:p>
        </w:tc>
        <w:tc>
          <w:tcPr>
            <w:tcW w:w="211" w:type="dxa"/>
            <w:tcBorders/>
            <w:shd w:fill="CFF0FC" w:val="clear"/>
            <w:vAlign w:val="center"/>
          </w:tcPr>
          <w:p>
            <w:pPr>
              <w:pStyle w:val="TableContents"/>
              <w:bidi w:val="0"/>
              <w:spacing w:before="0" w:after="283"/>
              <w:jc w:val="left"/>
              <w:rPr/>
            </w:pPr>
            <w:r>
              <w:rPr/>
              <w:t> </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Down 100 basis points</w:t>
            </w:r>
          </w:p>
        </w:tc>
        <w:tc>
          <w:tcPr>
            <w:tcW w:w="549" w:type="dxa"/>
            <w:tcBorders/>
            <w:shd w:fill="FFFFFF" w:val="clear"/>
            <w:vAlign w:val="center"/>
          </w:tcPr>
          <w:p>
            <w:pPr>
              <w:pStyle w:val="TableContents"/>
              <w:bidi w:val="0"/>
              <w:spacing w:before="0" w:after="283"/>
              <w:jc w:val="left"/>
              <w:rPr/>
            </w:pPr>
            <w:r>
              <w:rPr/>
              <w:t> </w:t>
            </w:r>
          </w:p>
        </w:tc>
        <w:tc>
          <w:tcPr>
            <w:tcW w:w="1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(1,498</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FFFFFF" w:val="clear"/>
            <w:vAlign w:val="center"/>
          </w:tcPr>
          <w:p>
            <w:pPr>
              <w:pStyle w:val="TableContents"/>
              <w:bidi w:val="0"/>
              <w:spacing w:before="0" w:after="283"/>
              <w:jc w:val="left"/>
              <w:rPr/>
            </w:pPr>
            <w:r>
              <w:rPr/>
              <w:t> </w:t>
            </w:r>
          </w:p>
        </w:tc>
        <w:tc>
          <w:tcPr>
            <w:tcW w:w="9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537</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(961</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Down 200 basis points</w:t>
            </w:r>
          </w:p>
        </w:tc>
        <w:tc>
          <w:tcPr>
            <w:tcW w:w="549" w:type="dxa"/>
            <w:tcBorders/>
            <w:shd w:fill="CFF0FC" w:val="clear"/>
            <w:vAlign w:val="center"/>
          </w:tcPr>
          <w:p>
            <w:pPr>
              <w:pStyle w:val="TableContents"/>
              <w:bidi w:val="0"/>
              <w:spacing w:before="0" w:after="283"/>
              <w:jc w:val="left"/>
              <w:rPr/>
            </w:pPr>
            <w:r>
              <w:rPr/>
              <w:t> </w:t>
            </w:r>
          </w:p>
        </w:tc>
        <w:tc>
          <w:tcPr>
            <w:tcW w:w="16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(2,997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CFF0FC" w:val="clear"/>
            <w:vAlign w:val="center"/>
          </w:tcPr>
          <w:p>
            <w:pPr>
              <w:pStyle w:val="TableContents"/>
              <w:bidi w:val="0"/>
              <w:spacing w:before="0" w:after="283"/>
              <w:jc w:val="left"/>
              <w:rPr/>
            </w:pPr>
            <w:r>
              <w:rPr/>
              <w:t> </w:t>
            </w:r>
          </w:p>
        </w:tc>
        <w:tc>
          <w:tcPr>
            <w:tcW w:w="92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1,073</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9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(1,924</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9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Down 300 basis points</w:t>
            </w:r>
          </w:p>
        </w:tc>
        <w:tc>
          <w:tcPr>
            <w:tcW w:w="549"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6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(4,434</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18"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9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(2,824</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b/>
          <w:color w:val="000000"/>
          <w:sz w:val="16"/>
        </w:rPr>
      </w:pPr>
      <w:bookmarkStart w:id="12" w:name="item_4_controls_and_procedures"/>
      <w:bookmarkEnd w:id="12"/>
      <w:r>
        <w:rPr>
          <w:rFonts w:ascii="Times New Roman" w:hAnsi="Times New Roman"/>
          <w:b/>
          <w:color w:val="000000"/>
          <w:sz w:val="16"/>
        </w:rPr>
        <w:t>Item 4. Controls and Procedures</w:t>
      </w:r>
    </w:p>
    <w:p>
      <w:pPr>
        <w:pStyle w:val="TextBody"/>
        <w:bidi w:val="0"/>
        <w:spacing w:before="0" w:after="0"/>
        <w:jc w:val="both"/>
        <w:rPr>
          <w:rFonts w:ascii="Times New Roman" w:hAnsi="Times New Roman"/>
          <w:b/>
          <w:i/>
          <w:color w:val="000000"/>
          <w:sz w:val="16"/>
        </w:rPr>
      </w:pPr>
      <w:r>
        <w:rPr>
          <w:rFonts w:ascii="Times New Roman" w:hAnsi="Times New Roman"/>
          <w:b/>
          <w:i/>
          <w:color w:val="000000"/>
          <w:sz w:val="16"/>
        </w:rPr>
        <w:t>(a)</w:t>
      </w:r>
    </w:p>
    <w:p>
      <w:pPr>
        <w:pStyle w:val="TextBody"/>
        <w:bidi w:val="0"/>
        <w:jc w:val="both"/>
        <w:rPr>
          <w:rFonts w:ascii="Times New Roman" w:hAnsi="Times New Roman"/>
          <w:b/>
          <w:i/>
          <w:color w:val="000000"/>
          <w:sz w:val="16"/>
        </w:rPr>
      </w:pPr>
      <w:r>
        <w:rPr>
          <w:rFonts w:ascii="Times New Roman" w:hAnsi="Times New Roman"/>
          <w:b/>
          <w:i/>
          <w:color w:val="000000"/>
          <w:sz w:val="16"/>
        </w:rPr>
        <w:t>Evaluation of Disclosure Controls and Procedures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As of March 31, 2024 (the end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due to a material weakness in the Company’s internal control over financial reporting as disclosed in our Annual Report on Form 10-K for the fiscal year ended December 31, 2023, that continued to exist as of March 31, 2024, our disclosure controls and procedures were not effective to provide reasonable assurance that information required to be disclosed in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Specifically, as previously disclosed, in March 2024, we identified a material weakness in our internal controls over financial reporting related to our failure to satisfy the requirements to maintain our special tax status as a RIC for the years ended December 31, 2020, December 31, 2021 and December 31, 2022. Notably, in evaluating the disclosure controls and procedures, management recognized that any controls and procedures, no matter how well designed and operated can provide only reasonable assurance of achieving the desired control objectives.</w:t>
      </w:r>
    </w:p>
    <w:p>
      <w:pPr>
        <w:pStyle w:val="TextBody"/>
        <w:bidi w:val="0"/>
        <w:spacing w:before="120" w:after="120"/>
        <w:jc w:val="both"/>
        <w:rPr>
          <w:rFonts w:ascii="Times New Roman" w:hAnsi="Times New Roman"/>
          <w:sz w:val="20"/>
        </w:rPr>
      </w:pPr>
      <w:r>
        <w:rPr>
          <w:rFonts w:ascii="Times New Roman" w:hAnsi="Times New Roman"/>
          <w:color w:val="000000"/>
          <w:sz w:val="16"/>
        </w:rPr>
        <w:t>We have continued the process of, and are focused on, further enhancing effective internal control measures to improve our internal control over financial reporting and to remediate the identified material weakness. Management continues to undertake certain corrective actions to remediate the control deficiencies identified above, including incorporation of additional controls over the data used regarding the calculation of the gross income test for purposes of evaluating the Company’s qualification as a RIC. We believe our planned actions to enhance our processes and controls will address this material weakness, but these actions are subject to ongoing management evaluation, and we will need a period of execution to demonstrate remediation. We are committed to the continuous improvement of our internal control over financial reporting and will continue to diligently review our internal control over financial reporting.</w:t>
      </w:r>
      <w:r>
        <w:rPr>
          <w:rFonts w:ascii="Times New Roman" w:hAnsi="Times New Roman"/>
          <w:color w:val="000000"/>
          <w:sz w:val="20"/>
        </w:rPr>
        <w:t xml:space="preserve"> </w:t>
      </w:r>
    </w:p>
    <w:p>
      <w:pPr>
        <w:pStyle w:val="TextBody"/>
        <w:bidi w:val="0"/>
        <w:spacing w:before="0" w:after="0"/>
        <w:jc w:val="both"/>
        <w:rPr>
          <w:rFonts w:ascii="Times New Roman" w:hAnsi="Times New Roman"/>
          <w:b/>
          <w:i/>
          <w:color w:val="000000"/>
          <w:sz w:val="16"/>
        </w:rPr>
      </w:pPr>
      <w:r>
        <w:rPr>
          <w:rFonts w:ascii="Times New Roman" w:hAnsi="Times New Roman"/>
          <w:b/>
          <w:i/>
          <w:color w:val="000000"/>
          <w:sz w:val="16"/>
        </w:rPr>
        <w:t>(b)</w:t>
      </w:r>
    </w:p>
    <w:p>
      <w:pPr>
        <w:pStyle w:val="TextBody"/>
        <w:bidi w:val="0"/>
        <w:jc w:val="both"/>
        <w:rPr>
          <w:rFonts w:ascii="Times New Roman" w:hAnsi="Times New Roman"/>
          <w:b/>
          <w:i/>
          <w:color w:val="000000"/>
          <w:sz w:val="16"/>
        </w:rPr>
      </w:pPr>
      <w:r>
        <w:rPr>
          <w:rFonts w:ascii="Times New Roman" w:hAnsi="Times New Roman"/>
          <w:b/>
          <w:i/>
          <w:color w:val="000000"/>
          <w:sz w:val="16"/>
        </w:rPr>
        <w:t>Changes in Internal Controls Over Financial Reporting</w:t>
      </w:r>
    </w:p>
    <w:p>
      <w:pPr>
        <w:pStyle w:val="TextBody"/>
        <w:bidi w:val="0"/>
        <w:spacing w:before="120" w:after="283"/>
        <w:jc w:val="both"/>
        <w:rPr>
          <w:rFonts w:ascii="Times New Roman" w:hAnsi="Times New Roman"/>
          <w:color w:val="000000"/>
          <w:sz w:val="16"/>
        </w:rPr>
      </w:pPr>
      <w:r>
        <w:rPr>
          <w:rFonts w:ascii="Times New Roman" w:hAnsi="Times New Roman"/>
          <w:color w:val="000000"/>
          <w:sz w:val="16"/>
        </w:rPr>
        <w:t>Other than the remediation efforts described above, there were no changes in our internal control over financial reporting (as such term is defined in Rule 13a-15(f) under the Exchange Act) during the most recent fiscal quarter that have materially affected, or are reasonably likely to materially affect, our internal control over financial reporting.</w:t>
      </w:r>
    </w:p>
    <w:p>
      <w:pPr>
        <w:pStyle w:val="TextBody"/>
        <w:bidi w:val="0"/>
        <w:spacing w:before="240" w:after="120"/>
        <w:jc w:val="both"/>
        <w:rPr>
          <w:rFonts w:ascii="Times New Roman" w:hAnsi="Times New Roman"/>
          <w:sz w:val="20"/>
        </w:rPr>
      </w:pPr>
      <w:bookmarkStart w:id="13" w:name="part_ii_other_information"/>
      <w:bookmarkEnd w:id="13"/>
      <w:r>
        <w:rPr>
          <w:rFonts w:ascii="Times New Roman" w:hAnsi="Times New Roman"/>
          <w:b/>
          <w:color w:val="000000"/>
          <w:sz w:val="16"/>
        </w:rPr>
        <w:t>PART II. OTHER</w:t>
      </w:r>
      <w:r>
        <w:rPr>
          <w:rFonts w:ascii="Times New Roman" w:hAnsi="Times New Roman"/>
          <w:color w:val="000000"/>
          <w:sz w:val="20"/>
        </w:rPr>
        <w:t xml:space="preserve"> </w:t>
      </w:r>
      <w:r>
        <w:rPr>
          <w:rFonts w:ascii="Times New Roman" w:hAnsi="Times New Roman"/>
          <w:b/>
          <w:color w:val="000000"/>
          <w:sz w:val="16"/>
        </w:rPr>
        <w:t>INFORMATION</w:t>
      </w:r>
    </w:p>
    <w:p>
      <w:pPr>
        <w:pStyle w:val="TextBody"/>
        <w:bidi w:val="0"/>
        <w:jc w:val="both"/>
        <w:rPr>
          <w:rFonts w:ascii="Times New Roman" w:hAnsi="Times New Roman"/>
          <w:sz w:val="20"/>
        </w:rPr>
      </w:pPr>
      <w:bookmarkStart w:id="14" w:name="item_1_legal_proceedings"/>
      <w:bookmarkEnd w:id="14"/>
      <w:r>
        <w:rPr>
          <w:rFonts w:ascii="Times New Roman" w:hAnsi="Times New Roman"/>
          <w:b/>
          <w:color w:val="000000"/>
          <w:sz w:val="16"/>
        </w:rPr>
        <w:t>Item 1.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16"/>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w:t>
      </w:r>
      <w:r>
        <w:rPr>
          <w:rFonts w:ascii="Times New Roman" w:hAnsi="Times New Roman"/>
          <w:color w:val="000000"/>
          <w:sz w:val="20"/>
        </w:rPr>
        <w:t xml:space="preserve"> </w:t>
      </w:r>
    </w:p>
    <w:p>
      <w:pPr>
        <w:pStyle w:val="TextBody"/>
        <w:bidi w:val="0"/>
        <w:spacing w:before="240" w:after="120"/>
        <w:jc w:val="both"/>
        <w:rPr>
          <w:rFonts w:ascii="Times New Roman" w:hAnsi="Times New Roman"/>
          <w:sz w:val="20"/>
        </w:rPr>
      </w:pPr>
      <w:bookmarkStart w:id="15" w:name="item_1a_risk_factors"/>
      <w:bookmarkEnd w:id="15"/>
      <w:r>
        <w:rPr>
          <w:rFonts w:ascii="Times New Roman" w:hAnsi="Times New Roman"/>
          <w:b/>
          <w:color w:val="000000"/>
          <w:sz w:val="16"/>
        </w:rPr>
        <w:t>Item 1A. Risk Factors</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16"/>
        </w:rPr>
        <w:t>In addition to the other information set forth in this report, you should carefully consider the factors discussed in Part I, “Item 1A. Risk Factors” in our Annual Report on Form 10-K for the fiscal year ended December 31, 2023</w:t>
      </w:r>
      <w:r>
        <w:rPr>
          <w:rFonts w:ascii="Times New Roman" w:hAnsi="Times New Roman"/>
          <w:color w:val="000000"/>
          <w:sz w:val="20"/>
        </w:rPr>
        <w:t xml:space="preserve"> </w:t>
      </w:r>
      <w:r>
        <w:rPr>
          <w:rFonts w:ascii="Times New Roman" w:hAnsi="Times New Roman"/>
          <w:color w:val="000000"/>
          <w:sz w:val="16"/>
        </w:rPr>
        <w:t>(the “Annual Report on Form 10-K”), which could materially affect our business, financial condition and/or operating results. The risks described in the Annual Report on Form 10-K are not the only risks we face. Additional risks and uncertainties that are not currently known to us or that we currently deem to be immaterial also may materially adversely affect our business, financial condition and/or operating results. There have been no material changes from the risk factors set forth in the Annual Report on Form 10-K.</w:t>
      </w:r>
    </w:p>
    <w:p>
      <w:pPr>
        <w:pStyle w:val="TextBody"/>
        <w:bidi w:val="0"/>
        <w:spacing w:before="240" w:after="120"/>
        <w:jc w:val="both"/>
        <w:rPr>
          <w:rFonts w:ascii="Times New Roman" w:hAnsi="Times New Roman"/>
          <w:b/>
          <w:color w:val="000000"/>
          <w:sz w:val="16"/>
        </w:rPr>
      </w:pPr>
      <w:bookmarkStart w:id="16" w:name="item_2_unregistered_sales_of_equity"/>
      <w:bookmarkEnd w:id="16"/>
      <w:r>
        <w:rPr>
          <w:rFonts w:ascii="Times New Roman" w:hAnsi="Times New Roman"/>
          <w:b/>
          <w:color w:val="000000"/>
          <w:sz w:val="16"/>
        </w:rPr>
        <w:t>Item 2. Unregistered Sales of Equity Securities and Use of Proceeds</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We did not engage in any sales of unregistered securities or issue any common stock under our DRIP during the three months ended March 31, 2024.</w:t>
      </w:r>
    </w:p>
    <w:p>
      <w:pPr>
        <w:pStyle w:val="TextBody"/>
        <w:bidi w:val="0"/>
        <w:spacing w:before="120" w:after="120"/>
        <w:jc w:val="both"/>
        <w:rPr>
          <w:rFonts w:ascii="Times New Roman" w:hAnsi="Times New Roman"/>
          <w:color w:val="000000"/>
          <w:sz w:val="16"/>
        </w:rPr>
      </w:pPr>
      <w:r>
        <w:rPr>
          <w:rFonts w:ascii="Times New Roman" w:hAnsi="Times New Roman"/>
          <w:color w:val="000000"/>
          <w:sz w:val="16"/>
        </w:rPr>
        <w:t>The following table sets forth information regarding repurchases of shares of our common stock three months ended March 31, 2024.</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485"/>
        <w:gridCol w:w="267"/>
        <w:gridCol w:w="1105"/>
        <w:gridCol w:w="146"/>
        <w:gridCol w:w="264"/>
        <w:gridCol w:w="197"/>
        <w:gridCol w:w="690"/>
        <w:gridCol w:w="146"/>
        <w:gridCol w:w="483"/>
        <w:gridCol w:w="1992"/>
        <w:gridCol w:w="146"/>
        <w:gridCol w:w="897"/>
        <w:gridCol w:w="668"/>
        <w:gridCol w:w="1520"/>
        <w:gridCol w:w="199"/>
      </w:tblGrid>
      <w:tr>
        <w:trPr/>
        <w:tc>
          <w:tcPr>
            <w:tcW w:w="14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3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1"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8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Approximate Dollar Value of Shares That May Yet Be Purchased Under the Plans or Programs (in millions)</w:t>
            </w:r>
            <w:r>
              <w:rPr>
                <w:rFonts w:ascii="Times New Roman" w:hAnsi="Times New Roman"/>
                <w:b/>
                <w:color w:val="000000"/>
                <w:sz w:val="11"/>
              </w:rPr>
              <w:t>(1)</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January 1, 2024 through January 31, 2024</w:t>
            </w:r>
          </w:p>
        </w:tc>
        <w:tc>
          <w:tcPr>
            <w:tcW w:w="267" w:type="dxa"/>
            <w:tcBorders/>
            <w:shd w:fill="CFF0FC" w:val="clear"/>
            <w:vAlign w:val="center"/>
          </w:tcPr>
          <w:p>
            <w:pPr>
              <w:pStyle w:val="TableContents"/>
              <w:bidi w:val="0"/>
              <w:spacing w:before="0" w:after="283"/>
              <w:jc w:val="left"/>
              <w:rPr/>
            </w:pPr>
            <w:r>
              <w:rPr/>
              <w:t> </w:t>
            </w:r>
          </w:p>
        </w:tc>
        <w:tc>
          <w:tcPr>
            <w:tcW w:w="1105"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7,394</w:t>
            </w:r>
          </w:p>
        </w:tc>
        <w:tc>
          <w:tcPr>
            <w:tcW w:w="146" w:type="dxa"/>
            <w:tcBorders/>
            <w:shd w:fill="CFF0FC" w:val="cle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97"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22.72</w:t>
            </w:r>
          </w:p>
        </w:tc>
        <w:tc>
          <w:tcPr>
            <w:tcW w:w="146" w:type="dxa"/>
            <w:tcBorders/>
            <w:shd w:fill="CFF0FC" w:val="clear"/>
            <w:vAlign w:val="center"/>
          </w:tcPr>
          <w:p>
            <w:pPr>
              <w:pStyle w:val="TableContents"/>
              <w:bidi w:val="0"/>
              <w:spacing w:before="0" w:after="283"/>
              <w:jc w:val="left"/>
              <w:rPr/>
            </w:pPr>
            <w:r>
              <w:rPr/>
              <w:t> </w:t>
            </w:r>
          </w:p>
        </w:tc>
        <w:tc>
          <w:tcPr>
            <w:tcW w:w="483" w:type="dxa"/>
            <w:tcBorders/>
            <w:shd w:fill="CFF0FC" w:val="clear"/>
            <w:vAlign w:val="center"/>
          </w:tcPr>
          <w:p>
            <w:pPr>
              <w:pStyle w:val="TableContents"/>
              <w:bidi w:val="0"/>
              <w:spacing w:before="0" w:after="283"/>
              <w:jc w:val="left"/>
              <w:rPr/>
            </w:pPr>
            <w:r>
              <w:rPr/>
              <w:t> </w:t>
            </w:r>
          </w:p>
        </w:tc>
        <w:tc>
          <w:tcPr>
            <w:tcW w:w="1992"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7,394</w:t>
            </w:r>
          </w:p>
        </w:tc>
        <w:tc>
          <w:tcPr>
            <w:tcW w:w="146" w:type="dxa"/>
            <w:tcBorders/>
            <w:shd w:fill="CFF0FC" w:val="cle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668" w:type="dxa"/>
            <w:tcBorders/>
            <w:shd w:fill="CFF0FC" w:val="clear"/>
            <w:vAlign w:val="center"/>
          </w:tcPr>
          <w:p>
            <w:pPr>
              <w:pStyle w:val="TableContents"/>
              <w:bidi w:val="0"/>
              <w:spacing w:before="0" w:after="283"/>
              <w:jc w:val="left"/>
              <w:rPr/>
            </w:pPr>
            <w:r>
              <w:rPr/>
              <w:t> </w:t>
            </w:r>
          </w:p>
        </w:tc>
        <w:tc>
          <w:tcPr>
            <w:tcW w:w="15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w:t>
            </w:r>
          </w:p>
        </w:tc>
        <w:tc>
          <w:tcPr>
            <w:tcW w:w="199" w:type="dxa"/>
            <w:tcBorders/>
            <w:shd w:fill="CFF0FC" w:val="clear"/>
            <w:vAlign w:val="center"/>
          </w:tcPr>
          <w:p>
            <w:pPr>
              <w:pStyle w:val="TableContents"/>
              <w:bidi w:val="0"/>
              <w:spacing w:before="0" w:after="283"/>
              <w:jc w:val="left"/>
              <w:rPr/>
            </w:pPr>
            <w:r>
              <w:rPr/>
              <w:t> </w:t>
            </w:r>
          </w:p>
        </w:tc>
      </w:tr>
      <w:tr>
        <w:trPr/>
        <w:tc>
          <w:tcPr>
            <w:tcW w:w="148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February 1, 2024 through February 29, 2024</w:t>
            </w:r>
          </w:p>
        </w:tc>
        <w:tc>
          <w:tcPr>
            <w:tcW w:w="267" w:type="dxa"/>
            <w:tcBorders/>
            <w:shd w:fill="FFFFFF" w:val="clear"/>
            <w:vAlign w:val="center"/>
          </w:tcPr>
          <w:p>
            <w:pPr>
              <w:pStyle w:val="TableContents"/>
              <w:bidi w:val="0"/>
              <w:spacing w:before="0" w:after="283"/>
              <w:jc w:val="left"/>
              <w:rPr/>
            </w:pPr>
            <w:r>
              <w:rPr/>
              <w:t> </w:t>
            </w:r>
          </w:p>
        </w:tc>
        <w:tc>
          <w:tcPr>
            <w:tcW w:w="1105"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7,415</w:t>
            </w:r>
          </w:p>
        </w:tc>
        <w:tc>
          <w:tcPr>
            <w:tcW w:w="146" w:type="dxa"/>
            <w:tcBorders/>
            <w:shd w:fill="FFFFFF" w:val="cle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right"/>
              <w:rPr/>
            </w:pPr>
            <w:r>
              <w:rPr/>
              <w:t> </w:t>
            </w:r>
          </w:p>
        </w:tc>
        <w:tc>
          <w:tcPr>
            <w:tcW w:w="197"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w:t>
            </w:r>
          </w:p>
        </w:tc>
        <w:tc>
          <w:tcPr>
            <w:tcW w:w="146"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 </w:t>
            </w:r>
          </w:p>
        </w:tc>
        <w:tc>
          <w:tcPr>
            <w:tcW w:w="1992"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7,415</w:t>
            </w:r>
          </w:p>
        </w:tc>
        <w:tc>
          <w:tcPr>
            <w:tcW w:w="146" w:type="dxa"/>
            <w:tcBorders/>
            <w:shd w:fill="FFFFFF" w:val="cle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668"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w:t>
            </w:r>
          </w:p>
        </w:tc>
        <w:tc>
          <w:tcPr>
            <w:tcW w:w="199" w:type="dxa"/>
            <w:tcBorders/>
            <w:shd w:fill="FFFFFF" w:val="clear"/>
            <w:vAlign w:val="center"/>
          </w:tcPr>
          <w:p>
            <w:pPr>
              <w:pStyle w:val="TableContents"/>
              <w:bidi w:val="0"/>
              <w:spacing w:before="0" w:after="283"/>
              <w:jc w:val="left"/>
              <w:rPr/>
            </w:pPr>
            <w:r>
              <w:rPr/>
              <w:t> </w:t>
            </w:r>
          </w:p>
        </w:tc>
      </w:tr>
      <w:tr>
        <w:trPr/>
        <w:tc>
          <w:tcPr>
            <w:tcW w:w="1485"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March 1, 2024 through March 31, 2024</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4" w:type="dxa"/>
            <w:tcBorders/>
            <w:shd w:fill="CFF0FC" w:val="clear"/>
            <w:vAlign w:val="center"/>
          </w:tcPr>
          <w:p>
            <w:pPr>
              <w:pStyle w:val="TableContents"/>
              <w:bidi w:val="0"/>
              <w:spacing w:before="0" w:after="283"/>
              <w:jc w:val="right"/>
              <w:rPr/>
            </w:pPr>
            <w:r>
              <w:rPr/>
              <w:t> </w:t>
            </w:r>
          </w:p>
        </w:tc>
        <w:tc>
          <w:tcPr>
            <w:tcW w:w="197" w:type="dxa"/>
            <w:tcBorders/>
            <w:shd w:fill="CFF0FC" w:val="clear"/>
            <w:vAlign w:val="center"/>
          </w:tcPr>
          <w:p>
            <w:pPr>
              <w:pStyle w:val="TableContents"/>
              <w:bidi w:val="0"/>
              <w:spacing w:before="0" w:after="283"/>
              <w:jc w:val="left"/>
              <w:rPr/>
            </w:pPr>
            <w:r>
              <w:rPr/>
              <w:t> </w:t>
            </w:r>
          </w:p>
        </w:tc>
        <w:tc>
          <w:tcPr>
            <w:tcW w:w="69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22.38</w:t>
            </w:r>
          </w:p>
        </w:tc>
        <w:tc>
          <w:tcPr>
            <w:tcW w:w="146" w:type="dxa"/>
            <w:tcBorders/>
            <w:shd w:fill="CFF0FC" w:val="clear"/>
            <w:vAlign w:val="center"/>
          </w:tcPr>
          <w:p>
            <w:pPr>
              <w:pStyle w:val="TableContents"/>
              <w:bidi w:val="0"/>
              <w:spacing w:before="0" w:after="283"/>
              <w:jc w:val="left"/>
              <w:rPr/>
            </w:pPr>
            <w:r>
              <w:rPr/>
              <w:t> </w:t>
            </w:r>
          </w:p>
        </w:tc>
        <w:tc>
          <w:tcPr>
            <w:tcW w:w="4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7" w:type="dxa"/>
            <w:tcBorders/>
            <w:shd w:fill="CFF0FC" w:val="clear"/>
            <w:vAlign w:val="center"/>
          </w:tcPr>
          <w:p>
            <w:pPr>
              <w:pStyle w:val="TableContents"/>
              <w:bidi w:val="0"/>
              <w:spacing w:before="0" w:after="283"/>
              <w:jc w:val="right"/>
              <w:rPr/>
            </w:pPr>
            <w:r>
              <w:rPr/>
              <w:t> </w:t>
            </w:r>
          </w:p>
        </w:tc>
        <w:tc>
          <w:tcPr>
            <w:tcW w:w="668" w:type="dxa"/>
            <w:tcBorders/>
            <w:shd w:fill="CFF0FC" w:val="clear"/>
            <w:vAlign w:val="center"/>
          </w:tcPr>
          <w:p>
            <w:pPr>
              <w:pStyle w:val="TableContents"/>
              <w:bidi w:val="0"/>
              <w:spacing w:before="0" w:after="283"/>
              <w:jc w:val="left"/>
              <w:rPr/>
            </w:pPr>
            <w:r>
              <w:rPr/>
              <w:t> </w:t>
            </w:r>
          </w:p>
        </w:tc>
        <w:tc>
          <w:tcPr>
            <w:tcW w:w="1520"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w:t>
            </w:r>
          </w:p>
        </w:tc>
        <w:tc>
          <w:tcPr>
            <w:tcW w:w="199" w:type="dxa"/>
            <w:tcBorders/>
            <w:shd w:fill="CFF0FC" w:val="clear"/>
            <w:vAlign w:val="center"/>
          </w:tcPr>
          <w:p>
            <w:pPr>
              <w:pStyle w:val="TableContents"/>
              <w:bidi w:val="0"/>
              <w:spacing w:before="0" w:after="283"/>
              <w:jc w:val="left"/>
              <w:rPr/>
            </w:pPr>
            <w:r>
              <w:rPr/>
              <w:t> </w:t>
            </w:r>
          </w:p>
        </w:tc>
      </w:tr>
      <w:tr>
        <w:trPr/>
        <w:tc>
          <w:tcPr>
            <w:tcW w:w="1485"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 w:type="dxa"/>
            <w:tcBorders/>
            <w:shd w:fill="FFFFFF" w:val="clear"/>
            <w:vAlign w:val="center"/>
          </w:tcPr>
          <w:p>
            <w:pPr>
              <w:pStyle w:val="TableContents"/>
              <w:bidi w:val="0"/>
              <w:spacing w:before="0" w:after="283"/>
              <w:jc w:val="righ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20,867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7" w:type="dxa"/>
            <w:tcBorders/>
            <w:shd w:fill="FFFFFF" w:val="clear"/>
            <w:vAlign w:val="center"/>
          </w:tcPr>
          <w:p>
            <w:pPr>
              <w:pStyle w:val="TableContents"/>
              <w:bidi w:val="0"/>
              <w:spacing w:before="0" w:after="283"/>
              <w:jc w:val="right"/>
              <w:rPr/>
            </w:pPr>
            <w:r>
              <w:rPr/>
              <w:t> </w:t>
            </w:r>
          </w:p>
        </w:tc>
        <w:tc>
          <w:tcPr>
            <w:tcW w:w="2188" w:type="dxa"/>
            <w:gridSpan w:val="2"/>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pBdr>
          <w:bottom w:val="single" w:sz="6" w:space="1" w:color="000000"/>
        </w:pBdr>
        <w:bidi w:val="0"/>
        <w:jc w:val="both"/>
        <w:rPr/>
      </w:pPr>
      <w:r>
        <w:rPr/>
        <w:t> </w:t>
      </w:r>
    </w:p>
    <w:p>
      <w:pPr>
        <w:pStyle w:val="TextBody"/>
        <w:bidi w:val="0"/>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On March 6, 2023, the Company’s Board of Directors authorized a share repurchase program, whereby the Company could repurchase up to an aggregate of $5.0 million of its outstanding shares of common stock in the open market. The repurchase program did not obligate the Company to acquire any specific number of shares, and all repurchases were made in accordance with SEC Rule 10b-18 and accomplished through a Rule 10b5-1 plan, which set certain restrictions on the method, timing, price and volume of share repurchases. On March 11, 2024, the Board authorized the extension of the share repurchase program for an additional year and increased the aggregate available balance to $5.0 million. Unless extended or discontinued by the Board, the repurchase program will terminate on March 31, 2025. The repurchase program may be extended, modified or discontinued at any time for any reason without prior notice.</w:t>
      </w:r>
      <w:r>
        <w:rPr>
          <w:rFonts w:ascii="Times New Roman" w:hAnsi="Times New Roman"/>
          <w:color w:val="000000"/>
          <w:sz w:val="20"/>
        </w:rPr>
        <w:t xml:space="preserve"> </w:t>
      </w:r>
    </w:p>
    <w:p>
      <w:pPr>
        <w:pStyle w:val="TextBody"/>
        <w:bidi w:val="0"/>
        <w:spacing w:before="240" w:after="120"/>
        <w:jc w:val="both"/>
        <w:rPr>
          <w:rFonts w:ascii="Times New Roman" w:hAnsi="Times New Roman"/>
          <w:b/>
          <w:color w:val="000000"/>
          <w:sz w:val="16"/>
        </w:rPr>
      </w:pPr>
      <w:bookmarkStart w:id="17" w:name="item_3_defaults_upon_senior_securities"/>
      <w:bookmarkEnd w:id="17"/>
      <w:r>
        <w:rPr>
          <w:rFonts w:ascii="Times New Roman" w:hAnsi="Times New Roman"/>
          <w:b/>
          <w:color w:val="000000"/>
          <w:sz w:val="16"/>
        </w:rPr>
        <w:t>Item 3. Defaults Upon Senior Securities</w:t>
      </w:r>
    </w:p>
    <w:p>
      <w:pPr>
        <w:pStyle w:val="TextBody"/>
        <w:bidi w:val="0"/>
        <w:jc w:val="both"/>
        <w:rPr>
          <w:rFonts w:ascii="Times New Roman" w:hAnsi="Times New Roman"/>
          <w:sz w:val="20"/>
        </w:rPr>
      </w:pPr>
      <w:r>
        <w:rPr>
          <w:rFonts w:ascii="Times New Roman" w:hAnsi="Times New Roman"/>
          <w:color w:val="000000"/>
          <w:sz w:val="16"/>
        </w:rPr>
        <w:t>None.</w:t>
      </w:r>
      <w:r>
        <w:rPr>
          <w:rFonts w:ascii="Times New Roman" w:hAnsi="Times New Roman"/>
          <w:color w:val="000000"/>
          <w:sz w:val="20"/>
        </w:rPr>
        <w:t xml:space="preserve"> </w:t>
      </w:r>
    </w:p>
    <w:p>
      <w:pPr>
        <w:pStyle w:val="TextBody"/>
        <w:bidi w:val="0"/>
        <w:spacing w:before="240" w:after="120"/>
        <w:jc w:val="both"/>
        <w:rPr>
          <w:rFonts w:ascii="Times New Roman" w:hAnsi="Times New Roman"/>
          <w:b/>
          <w:color w:val="000000"/>
          <w:sz w:val="16"/>
        </w:rPr>
      </w:pPr>
      <w:bookmarkStart w:id="18" w:name="item_4_mine_safety_disclosures"/>
      <w:bookmarkEnd w:id="18"/>
      <w:r>
        <w:rPr>
          <w:rFonts w:ascii="Times New Roman" w:hAnsi="Times New Roman"/>
          <w:b/>
          <w:color w:val="000000"/>
          <w:sz w:val="16"/>
        </w:rPr>
        <w:t>Item 4. Mine Safety Disclosures</w:t>
      </w:r>
    </w:p>
    <w:p>
      <w:pPr>
        <w:pStyle w:val="TextBody"/>
        <w:bidi w:val="0"/>
        <w:jc w:val="both"/>
        <w:rPr>
          <w:rFonts w:ascii="Times New Roman" w:hAnsi="Times New Roman"/>
          <w:sz w:val="20"/>
        </w:rPr>
      </w:pPr>
      <w:r>
        <w:rPr>
          <w:rFonts w:ascii="Times New Roman" w:hAnsi="Times New Roman"/>
          <w:color w:val="000000"/>
          <w:sz w:val="16"/>
        </w:rPr>
        <w:t>Not applicable.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sz w:val="20"/>
        </w:rPr>
      </w:pPr>
      <w:bookmarkStart w:id="19" w:name="item_5_other_information"/>
      <w:bookmarkEnd w:id="19"/>
      <w:r>
        <w:rPr>
          <w:rFonts w:ascii="Times New Roman" w:hAnsi="Times New Roman"/>
          <w:b/>
          <w:color w:val="000000"/>
          <w:sz w:val="16"/>
        </w:rPr>
        <w:t>Item 5. Other</w:t>
      </w:r>
      <w:r>
        <w:rPr>
          <w:rFonts w:ascii="Times New Roman" w:hAnsi="Times New Roman"/>
          <w:color w:val="000000"/>
          <w:sz w:val="20"/>
        </w:rPr>
        <w:t xml:space="preserve"> </w:t>
      </w:r>
      <w:r>
        <w:rPr>
          <w:rFonts w:ascii="Times New Roman" w:hAnsi="Times New Roman"/>
          <w:b/>
          <w:color w:val="000000"/>
          <w:sz w:val="16"/>
        </w:rPr>
        <w:t>Information</w:t>
      </w:r>
    </w:p>
    <w:p>
      <w:pPr>
        <w:pStyle w:val="TextBody"/>
        <w:bidi w:val="0"/>
        <w:jc w:val="both"/>
        <w:rPr>
          <w:rFonts w:ascii="Times New Roman" w:hAnsi="Times New Roman"/>
          <w:sz w:val="20"/>
        </w:rPr>
      </w:pPr>
      <w:r>
        <w:rPr>
          <w:rFonts w:ascii="Times New Roman" w:hAnsi="Times New Roman"/>
          <w:color w:val="000000"/>
          <w:sz w:val="16"/>
        </w:rPr>
        <w:t>None.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left"/>
        <w:rPr>
          <w:rFonts w:ascii="Times New Roman" w:hAnsi="Times New Roman"/>
          <w:sz w:val="20"/>
        </w:rPr>
      </w:pPr>
      <w:bookmarkStart w:id="20" w:name="item_6_exhibits"/>
      <w:bookmarkEnd w:id="20"/>
      <w:r>
        <w:rPr>
          <w:rFonts w:ascii="Times New Roman" w:hAnsi="Times New Roman"/>
          <w:b/>
          <w:color w:val="000000"/>
          <w:sz w:val="16"/>
        </w:rPr>
        <w:t>Item 6. Exhibits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16"/>
        </w:rPr>
      </w:pPr>
      <w:r>
        <w:rPr>
          <w:rFonts w:ascii="Times New Roman" w:hAnsi="Times New Roman"/>
          <w:color w:val="000000"/>
          <w:sz w:val="16"/>
        </w:rPr>
        <w:t>The following exhibits are filed as part of this report or hereby incorporated by reference to exhibits previously filed with the SEC:</w:t>
      </w:r>
    </w:p>
    <w:tbl>
      <w:tblPr>
        <w:tblW w:w="10205" w:type="dxa"/>
        <w:jc w:val="left"/>
        <w:tblInd w:w="0" w:type="dxa"/>
        <w:tblLayout w:type="fixed"/>
        <w:tblCellMar>
          <w:top w:w="28" w:type="dxa"/>
          <w:left w:w="28" w:type="dxa"/>
          <w:bottom w:w="28" w:type="dxa"/>
          <w:right w:w="28" w:type="dxa"/>
        </w:tblCellMar>
      </w:tblPr>
      <w:tblGrid>
        <w:gridCol w:w="735"/>
        <w:gridCol w:w="146"/>
        <w:gridCol w:w="9324"/>
      </w:tblGrid>
      <w:tr>
        <w:trPr/>
        <w:tc>
          <w:tcPr>
            <w:tcW w:w="7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left"/>
              <w:rPr>
                <w:sz w:val="4"/>
                <w:szCs w:val="4"/>
              </w:rPr>
            </w:pPr>
            <w:r>
              <w:rPr>
                <w:sz w:val="4"/>
                <w:szCs w:val="4"/>
              </w:rPr>
            </w:r>
          </w:p>
        </w:tc>
      </w:tr>
      <w:tr>
        <w:trPr/>
        <w:tc>
          <w:tcPr>
            <w:tcW w:w="735"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left"/>
              <w:rPr>
                <w:sz w:val="4"/>
                <w:szCs w:val="4"/>
              </w:rPr>
            </w:pPr>
            <w:r>
              <w:rPr>
                <w:sz w:val="4"/>
                <w:szCs w:val="4"/>
              </w:rPr>
            </w:r>
          </w:p>
        </w:tc>
      </w:tr>
      <w:tr>
        <w:trPr/>
        <w:tc>
          <w:tcPr>
            <w:tcW w:w="735"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24"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735" w:type="dxa"/>
            <w:tcBorders/>
            <w:vAlign w:val="center"/>
          </w:tcPr>
          <w:p>
            <w:pPr>
              <w:pStyle w:val="TableContents"/>
              <w:bidi w:val="0"/>
              <w:spacing w:before="0" w:after="283"/>
              <w:jc w:val="left"/>
              <w:rPr/>
            </w:pPr>
            <w:hyperlink r:id="rId2">
              <w:r>
                <w:rPr>
                  <w:rStyle w:val="InternetLink"/>
                  <w:rFonts w:ascii="Times New Roman" w:hAnsi="Times New Roman"/>
                  <w:color w:val="0000FF"/>
                  <w:sz w:val="16"/>
                  <w:u w:val="single"/>
                </w:rPr>
                <w:t>3.1</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3">
              <w:r>
                <w:rPr>
                  <w:rStyle w:val="InternetLink"/>
                  <w:rFonts w:ascii="Times New Roman" w:hAnsi="Times New Roman"/>
                  <w:color w:val="0000FF"/>
                  <w:sz w:val="16"/>
                  <w:u w:val="single"/>
                </w:rPr>
                <w:t>Articles of Amendment and Restatement</w:t>
              </w:r>
            </w:hyperlink>
            <w:hyperlink r:id="rId4">
              <w:r>
                <w:rPr>
                  <w:rStyle w:val="InternetLink"/>
                  <w:rFonts w:ascii="Times New Roman" w:hAnsi="Times New Roman"/>
                  <w:color w:val="0000FF"/>
                  <w:sz w:val="11"/>
                  <w:u w:val="single"/>
                </w:rPr>
                <w:t>(1)</w:t>
              </w:r>
            </w:hyperlink>
          </w:p>
        </w:tc>
      </w:tr>
      <w:tr>
        <w:trPr/>
        <w:tc>
          <w:tcPr>
            <w:tcW w:w="735" w:type="dxa"/>
            <w:tcBorders/>
            <w:vAlign w:val="center"/>
          </w:tcPr>
          <w:p>
            <w:pPr>
              <w:pStyle w:val="TableContents"/>
              <w:bidi w:val="0"/>
              <w:spacing w:before="0" w:after="283"/>
              <w:jc w:val="left"/>
              <w:rPr/>
            </w:pPr>
            <w:hyperlink r:id="rId5">
              <w:r>
                <w:rPr>
                  <w:rStyle w:val="InternetLink"/>
                  <w:rFonts w:ascii="Times New Roman" w:hAnsi="Times New Roman"/>
                  <w:color w:val="0000FF"/>
                  <w:sz w:val="16"/>
                  <w:u w:val="single"/>
                </w:rPr>
                <w:t>3.2</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6">
              <w:r>
                <w:rPr>
                  <w:rStyle w:val="InternetLink"/>
                  <w:rFonts w:ascii="Times New Roman" w:hAnsi="Times New Roman"/>
                  <w:color w:val="0000FF"/>
                  <w:sz w:val="16"/>
                  <w:u w:val="single"/>
                </w:rPr>
                <w:t>Articles of Amendment</w:t>
              </w:r>
            </w:hyperlink>
            <w:hyperlink r:id="rId7">
              <w:r>
                <w:rPr>
                  <w:rStyle w:val="InternetLink"/>
                  <w:rFonts w:ascii="Times New Roman" w:hAnsi="Times New Roman"/>
                  <w:color w:val="0000FF"/>
                  <w:sz w:val="11"/>
                  <w:u w:val="single"/>
                </w:rPr>
                <w:t>(2)</w:t>
              </w:r>
            </w:hyperlink>
          </w:p>
        </w:tc>
      </w:tr>
      <w:tr>
        <w:trPr/>
        <w:tc>
          <w:tcPr>
            <w:tcW w:w="735" w:type="dxa"/>
            <w:tcBorders/>
            <w:vAlign w:val="center"/>
          </w:tcPr>
          <w:p>
            <w:pPr>
              <w:pStyle w:val="TableContents"/>
              <w:bidi w:val="0"/>
              <w:spacing w:before="0" w:after="283"/>
              <w:jc w:val="left"/>
              <w:rPr/>
            </w:pPr>
            <w:hyperlink r:id="rId8">
              <w:r>
                <w:rPr>
                  <w:rStyle w:val="InternetLink"/>
                  <w:rFonts w:ascii="Times New Roman" w:hAnsi="Times New Roman"/>
                  <w:color w:val="0000FF"/>
                  <w:sz w:val="16"/>
                  <w:u w:val="single"/>
                </w:rPr>
                <w:t>3.3</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9">
              <w:r>
                <w:rPr>
                  <w:rStyle w:val="InternetLink"/>
                  <w:rFonts w:ascii="Times New Roman" w:hAnsi="Times New Roman"/>
                  <w:color w:val="0000FF"/>
                  <w:sz w:val="16"/>
                  <w:u w:val="single"/>
                </w:rPr>
                <w:t>Certificate of Limited Partnership of CapitalSouth Partners Fund II Limited Partnership</w:t>
              </w:r>
            </w:hyperlink>
            <w:hyperlink r:id="rId10">
              <w:r>
                <w:rPr>
                  <w:rStyle w:val="InternetLink"/>
                  <w:rFonts w:ascii="Times New Roman" w:hAnsi="Times New Roman"/>
                  <w:color w:val="0000FF"/>
                  <w:sz w:val="11"/>
                  <w:u w:val="single"/>
                </w:rPr>
                <w:t>(3)</w:t>
              </w:r>
            </w:hyperlink>
          </w:p>
        </w:tc>
      </w:tr>
      <w:tr>
        <w:trPr/>
        <w:tc>
          <w:tcPr>
            <w:tcW w:w="735" w:type="dxa"/>
            <w:tcBorders/>
            <w:vAlign w:val="center"/>
          </w:tcPr>
          <w:p>
            <w:pPr>
              <w:pStyle w:val="TableContents"/>
              <w:bidi w:val="0"/>
              <w:spacing w:before="0" w:after="283"/>
              <w:jc w:val="left"/>
              <w:rPr/>
            </w:pPr>
            <w:hyperlink r:id="rId11">
              <w:r>
                <w:rPr>
                  <w:rStyle w:val="InternetLink"/>
                  <w:rFonts w:ascii="Times New Roman" w:hAnsi="Times New Roman"/>
                  <w:color w:val="0000FF"/>
                  <w:sz w:val="16"/>
                  <w:u w:val="single"/>
                </w:rPr>
                <w:t>3.4</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12">
              <w:r>
                <w:rPr>
                  <w:rStyle w:val="InternetLink"/>
                  <w:rFonts w:ascii="Times New Roman" w:hAnsi="Times New Roman"/>
                  <w:color w:val="0000FF"/>
                  <w:sz w:val="16"/>
                  <w:u w:val="single"/>
                </w:rPr>
                <w:t>Certificate of Limited Partnership of CapitalSouth Fund III, L.P. (f/k/a CapitalSouth Partners SBIC Fund III, L.P.)</w:t>
              </w:r>
            </w:hyperlink>
            <w:hyperlink r:id="rId13">
              <w:r>
                <w:rPr>
                  <w:rStyle w:val="InternetLink"/>
                  <w:rFonts w:ascii="Times New Roman" w:hAnsi="Times New Roman"/>
                  <w:color w:val="0000FF"/>
                  <w:sz w:val="11"/>
                  <w:u w:val="single"/>
                </w:rPr>
                <w:t>(4)</w:t>
              </w:r>
            </w:hyperlink>
          </w:p>
        </w:tc>
      </w:tr>
      <w:tr>
        <w:trPr/>
        <w:tc>
          <w:tcPr>
            <w:tcW w:w="735" w:type="dxa"/>
            <w:tcBorders/>
            <w:vAlign w:val="center"/>
          </w:tcPr>
          <w:p>
            <w:pPr>
              <w:pStyle w:val="TableContents"/>
              <w:bidi w:val="0"/>
              <w:spacing w:before="0" w:after="283"/>
              <w:jc w:val="left"/>
              <w:rPr/>
            </w:pPr>
            <w:hyperlink r:id="rId14">
              <w:r>
                <w:rPr>
                  <w:rStyle w:val="InternetLink"/>
                  <w:rFonts w:ascii="Times New Roman" w:hAnsi="Times New Roman"/>
                  <w:color w:val="0000FF"/>
                  <w:sz w:val="16"/>
                  <w:u w:val="single"/>
                </w:rPr>
                <w:t>3.5</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15">
              <w:r>
                <w:rPr>
                  <w:rStyle w:val="InternetLink"/>
                  <w:rFonts w:ascii="Times New Roman" w:hAnsi="Times New Roman"/>
                  <w:color w:val="0000FF"/>
                  <w:sz w:val="16"/>
                  <w:u w:val="single"/>
                </w:rPr>
                <w:t>Bylaws</w:t>
              </w:r>
            </w:hyperlink>
            <w:hyperlink r:id="rId16">
              <w:r>
                <w:rPr>
                  <w:rStyle w:val="InternetLink"/>
                  <w:rFonts w:ascii="Times New Roman" w:hAnsi="Times New Roman"/>
                  <w:color w:val="0000FF"/>
                  <w:sz w:val="11"/>
                  <w:u w:val="single"/>
                </w:rPr>
                <w:t>(5)</w:t>
              </w:r>
            </w:hyperlink>
          </w:p>
        </w:tc>
      </w:tr>
      <w:tr>
        <w:trPr/>
        <w:tc>
          <w:tcPr>
            <w:tcW w:w="735" w:type="dxa"/>
            <w:tcBorders/>
            <w:vAlign w:val="center"/>
          </w:tcPr>
          <w:p>
            <w:pPr>
              <w:pStyle w:val="TableContents"/>
              <w:bidi w:val="0"/>
              <w:spacing w:before="0" w:after="283"/>
              <w:jc w:val="left"/>
              <w:rPr/>
            </w:pPr>
            <w:hyperlink r:id="rId17">
              <w:r>
                <w:rPr>
                  <w:rStyle w:val="InternetLink"/>
                  <w:rFonts w:ascii="Times New Roman" w:hAnsi="Times New Roman"/>
                  <w:color w:val="0000FF"/>
                  <w:sz w:val="16"/>
                  <w:u w:val="single"/>
                </w:rPr>
                <w:t>3.6</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18">
              <w:r>
                <w:rPr>
                  <w:rStyle w:val="InternetLink"/>
                  <w:rFonts w:ascii="Times New Roman" w:hAnsi="Times New Roman"/>
                  <w:color w:val="0000FF"/>
                  <w:sz w:val="16"/>
                  <w:u w:val="single"/>
                </w:rPr>
                <w:t>Form of Amended and Restated Limited Partnership Agreement of CapitalSouth Partners Fund II Limited Partnership</w:t>
              </w:r>
            </w:hyperlink>
            <w:hyperlink r:id="rId19">
              <w:r>
                <w:rPr>
                  <w:rStyle w:val="InternetLink"/>
                  <w:rFonts w:ascii="Times New Roman" w:hAnsi="Times New Roman"/>
                  <w:color w:val="0000FF"/>
                  <w:sz w:val="11"/>
                  <w:u w:val="single"/>
                </w:rPr>
                <w:t>(6)</w:t>
              </w:r>
            </w:hyperlink>
          </w:p>
        </w:tc>
      </w:tr>
      <w:tr>
        <w:trPr/>
        <w:tc>
          <w:tcPr>
            <w:tcW w:w="735" w:type="dxa"/>
            <w:tcBorders/>
            <w:vAlign w:val="center"/>
          </w:tcPr>
          <w:p>
            <w:pPr>
              <w:pStyle w:val="TableContents"/>
              <w:bidi w:val="0"/>
              <w:spacing w:before="0" w:after="283"/>
              <w:jc w:val="left"/>
              <w:rPr/>
            </w:pPr>
            <w:hyperlink r:id="rId20">
              <w:r>
                <w:rPr>
                  <w:rStyle w:val="InternetLink"/>
                  <w:rFonts w:ascii="Times New Roman" w:hAnsi="Times New Roman"/>
                  <w:color w:val="0000FF"/>
                  <w:sz w:val="16"/>
                  <w:u w:val="single"/>
                </w:rPr>
                <w:t>3.7</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r:id="rId21">
              <w:r>
                <w:rPr>
                  <w:rStyle w:val="InternetLink"/>
                  <w:rFonts w:ascii="Times New Roman" w:hAnsi="Times New Roman"/>
                  <w:color w:val="0000FF"/>
                  <w:sz w:val="16"/>
                  <w:u w:val="single"/>
                </w:rPr>
                <w:t>Form of Amended and Restated Agreement of Limited Partnership of Certificate of Limited Partnership of CapitalSouth Fund III, L.P. (f/k/a CapitalSouth Partners SBIC Fund III, L.P.)</w:t>
              </w:r>
            </w:hyperlink>
            <w:hyperlink r:id="rId22">
              <w:r>
                <w:rPr>
                  <w:rStyle w:val="InternetLink"/>
                  <w:rFonts w:ascii="Times New Roman" w:hAnsi="Times New Roman"/>
                  <w:color w:val="0000FF"/>
                  <w:sz w:val="11"/>
                  <w:u w:val="single"/>
                </w:rPr>
                <w:t>(7)</w:t>
              </w:r>
            </w:hyperlink>
          </w:p>
        </w:tc>
      </w:tr>
      <w:tr>
        <w:trPr/>
        <w:tc>
          <w:tcPr>
            <w:tcW w:w="735" w:type="dxa"/>
            <w:tcBorders/>
            <w:vAlign w:val="center"/>
          </w:tcPr>
          <w:p>
            <w:pPr>
              <w:pStyle w:val="TableContents"/>
              <w:bidi w:val="0"/>
              <w:spacing w:before="0" w:after="283"/>
              <w:jc w:val="left"/>
              <w:rPr/>
            </w:pPr>
            <w:hyperlink w:anchor="lrfc-ex31_1.htm">
              <w:r>
                <w:rPr>
                  <w:rStyle w:val="InternetLink"/>
                  <w:rFonts w:ascii="Times New Roman" w:hAnsi="Times New Roman"/>
                  <w:color w:val="0000FF"/>
                  <w:sz w:val="16"/>
                  <w:u w:val="single"/>
                </w:rPr>
                <w:t>31.1</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w:anchor="lrfc-ex31_1.htm">
              <w:r>
                <w:rPr>
                  <w:rStyle w:val="InternetLink"/>
                  <w:rFonts w:ascii="Times New Roman" w:hAnsi="Times New Roman"/>
                  <w:color w:val="0000FF"/>
                  <w:sz w:val="16"/>
                  <w:u w:val="single"/>
                </w:rPr>
                <w:t>Certification of Chief Executive Officer pursuant to Rule 13a-14 of the Securities Exchange Act of 1934, as adopted pursuant to Section 302 of the Sarbanes-Oxley Act of 2002 (filed herewith)</w:t>
              </w:r>
            </w:hyperlink>
          </w:p>
        </w:tc>
      </w:tr>
      <w:tr>
        <w:trPr/>
        <w:tc>
          <w:tcPr>
            <w:tcW w:w="735" w:type="dxa"/>
            <w:tcBorders/>
            <w:vAlign w:val="center"/>
          </w:tcPr>
          <w:p>
            <w:pPr>
              <w:pStyle w:val="TableContents"/>
              <w:bidi w:val="0"/>
              <w:spacing w:before="0" w:after="283"/>
              <w:jc w:val="left"/>
              <w:rPr/>
            </w:pPr>
            <w:hyperlink w:anchor="lrfc-ex31_2.htm">
              <w:r>
                <w:rPr>
                  <w:rStyle w:val="InternetLink"/>
                  <w:rFonts w:ascii="Times New Roman" w:hAnsi="Times New Roman"/>
                  <w:color w:val="0000FF"/>
                  <w:sz w:val="16"/>
                  <w:u w:val="single"/>
                </w:rPr>
                <w:t>31.2</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w:anchor="lrfc-ex31_2.htm">
              <w:r>
                <w:rPr>
                  <w:rStyle w:val="InternetLink"/>
                  <w:rFonts w:ascii="Times New Roman" w:hAnsi="Times New Roman"/>
                  <w:color w:val="0000FF"/>
                  <w:sz w:val="16"/>
                  <w:u w:val="single"/>
                </w:rPr>
                <w:t>Certification of Chief Financial Officer pursuant to Rule 13a-14 of the Securities Exchange Act of 1934, as adopted pursuant to Section 302 of the Sarbanes-Oxley Act of 2002 (filed herewith)</w:t>
              </w:r>
            </w:hyperlink>
          </w:p>
        </w:tc>
      </w:tr>
      <w:tr>
        <w:trPr/>
        <w:tc>
          <w:tcPr>
            <w:tcW w:w="735" w:type="dxa"/>
            <w:tcBorders/>
            <w:vAlign w:val="center"/>
          </w:tcPr>
          <w:p>
            <w:pPr>
              <w:pStyle w:val="TableContents"/>
              <w:bidi w:val="0"/>
              <w:spacing w:before="0" w:after="283"/>
              <w:jc w:val="left"/>
              <w:rPr/>
            </w:pPr>
            <w:hyperlink w:anchor="lrfc-ex32_1.htm">
              <w:r>
                <w:rPr>
                  <w:rStyle w:val="InternetLink"/>
                  <w:rFonts w:ascii="Times New Roman" w:hAnsi="Times New Roman"/>
                  <w:color w:val="0000FF"/>
                  <w:sz w:val="16"/>
                  <w:u w:val="single"/>
                </w:rPr>
                <w:t>32.1</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w:anchor="lrfc-ex32_1.htm">
              <w:r>
                <w:rPr>
                  <w:rStyle w:val="InternetLink"/>
                  <w:rFonts w:ascii="Times New Roman" w:hAnsi="Times New Roman"/>
                  <w:color w:val="0000FF"/>
                  <w:sz w:val="16"/>
                  <w:u w:val="single"/>
                </w:rPr>
                <w:t>Certification of Chief Executive Officer pursuant to 18 U.S.C. Section 1350, as adopted pursuant to section 906 of the Sarbanes-Oxley Act of 2002 (filed herewith)</w:t>
              </w:r>
            </w:hyperlink>
          </w:p>
        </w:tc>
      </w:tr>
      <w:tr>
        <w:trPr/>
        <w:tc>
          <w:tcPr>
            <w:tcW w:w="735" w:type="dxa"/>
            <w:tcBorders/>
            <w:vAlign w:val="center"/>
          </w:tcPr>
          <w:p>
            <w:pPr>
              <w:pStyle w:val="TableContents"/>
              <w:bidi w:val="0"/>
              <w:spacing w:before="0" w:after="283"/>
              <w:jc w:val="left"/>
              <w:rPr/>
            </w:pPr>
            <w:hyperlink w:anchor="lrfc-ex32_2.htm">
              <w:r>
                <w:rPr>
                  <w:rStyle w:val="InternetLink"/>
                  <w:rFonts w:ascii="Times New Roman" w:hAnsi="Times New Roman"/>
                  <w:color w:val="0000FF"/>
                  <w:sz w:val="16"/>
                  <w:u w:val="single"/>
                </w:rPr>
                <w:t>32.2</w:t>
              </w:r>
            </w:hyperlink>
          </w:p>
        </w:tc>
        <w:tc>
          <w:tcPr>
            <w:tcW w:w="146" w:type="dxa"/>
            <w:tcBorders/>
            <w:vAlign w:val="center"/>
          </w:tcPr>
          <w:p>
            <w:pPr>
              <w:pStyle w:val="TableContents"/>
              <w:bidi w:val="0"/>
              <w:spacing w:before="0" w:after="283"/>
              <w:jc w:val="left"/>
              <w:rPr>
                <w:sz w:val="4"/>
                <w:szCs w:val="4"/>
              </w:rPr>
            </w:pPr>
            <w:r>
              <w:rPr>
                <w:sz w:val="4"/>
                <w:szCs w:val="4"/>
              </w:rPr>
            </w:r>
          </w:p>
        </w:tc>
        <w:tc>
          <w:tcPr>
            <w:tcW w:w="9324" w:type="dxa"/>
            <w:tcBorders/>
            <w:vAlign w:val="center"/>
          </w:tcPr>
          <w:p>
            <w:pPr>
              <w:pStyle w:val="TableContents"/>
              <w:bidi w:val="0"/>
              <w:spacing w:before="0" w:after="283"/>
              <w:jc w:val="both"/>
              <w:rPr/>
            </w:pPr>
            <w:hyperlink w:anchor="lrfc-ex32_2.htm">
              <w:r>
                <w:rPr>
                  <w:rStyle w:val="InternetLink"/>
                  <w:rFonts w:ascii="Times New Roman" w:hAnsi="Times New Roman"/>
                  <w:color w:val="0000FF"/>
                  <w:sz w:val="16"/>
                  <w:u w:val="single"/>
                </w:rPr>
                <w:t>Certification of Chief Financial Officer pursuant to 18 U.S.C. Section 1350, as adopted pursuant to section 906 of the Sarbanes-Oxley Act of 2002 (filed herewith)</w:t>
              </w:r>
            </w:hyperlink>
          </w:p>
        </w:tc>
      </w:tr>
      <w:tr>
        <w:trPr/>
        <w:tc>
          <w:tcPr>
            <w:tcW w:w="735"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101.INS</w:t>
            </w:r>
          </w:p>
        </w:tc>
        <w:tc>
          <w:tcPr>
            <w:tcW w:w="146"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Inline XBRL Instance Document (filed herewith)</w:t>
            </w:r>
          </w:p>
        </w:tc>
      </w:tr>
      <w:tr>
        <w:trPr/>
        <w:tc>
          <w:tcPr>
            <w:tcW w:w="735"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101.SCH</w:t>
            </w:r>
          </w:p>
        </w:tc>
        <w:tc>
          <w:tcPr>
            <w:tcW w:w="146"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Inline XBRL Taxonomy Extension Schema With Embedded Linkbase Documents (filed herewith)</w:t>
            </w:r>
          </w:p>
        </w:tc>
      </w:tr>
      <w:tr>
        <w:trPr/>
        <w:tc>
          <w:tcPr>
            <w:tcW w:w="735"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104</w:t>
            </w:r>
          </w:p>
        </w:tc>
        <w:tc>
          <w:tcPr>
            <w:tcW w:w="146" w:type="dxa"/>
            <w:tcBorders/>
            <w:vAlign w:val="center"/>
          </w:tcPr>
          <w:p>
            <w:pPr>
              <w:pStyle w:val="TableContents"/>
              <w:bidi w:val="0"/>
              <w:spacing w:before="0" w:after="283"/>
              <w:jc w:val="left"/>
              <w:rPr/>
            </w:pPr>
            <w:r>
              <w:rPr/>
              <w:t> </w:t>
            </w:r>
          </w:p>
        </w:tc>
        <w:tc>
          <w:tcPr>
            <w:tcW w:w="9324"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Cover Page Interactive Data File (embedded within the Inline XBRL document) (filed herewith)</w:t>
            </w:r>
          </w:p>
        </w:tc>
      </w:tr>
    </w:tbl>
    <w:p>
      <w:pPr>
        <w:pStyle w:val="TextBody"/>
        <w:pBdr>
          <w:bottom w:val="single" w:sz="6" w:space="1" w:color="000000"/>
        </w:pBdr>
        <w:bidi w:val="0"/>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Incorporated by reference to Exhibit a.1 to the Company’s Pre-Effective Amendment No. 1 to Form N-2, filed on September 9, 2013.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Incorporated by reference to Exhibit 3.1 to the Company’s Form 8-K, filed on August 4, 2020.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 xml:space="preserve">Incorporated by reference to Exhibit a.2 to the Company’s Pre-Effective Amendment No. 2 to Form N-2, filed on September 17, 2013.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Incorporated by reference to Exhibit a.3 to the Company’s Pre-Effective Amendment No. 2 to Form N-2, filed on September 17, 2013.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Incorporated by reference to Exhibit b.1 to the Company’s Pre-Effective Amendment No. 1 to Form N-2, filed on September 9, 2013.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Incorporated by reference to Exhibit 2.a to the Company’s Pre-Effective Amendment No. 5 to Form N-2, filed on September 24, 2013.</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jc w:val="both"/>
        <w:rPr>
          <w:rFonts w:ascii="Times New Roman" w:hAnsi="Times New Roman"/>
          <w:color w:val="000000"/>
          <w:sz w:val="16"/>
        </w:rPr>
      </w:pPr>
      <w:r>
        <w:rPr>
          <w:rFonts w:ascii="Times New Roman" w:hAnsi="Times New Roman"/>
          <w:color w:val="000000"/>
          <w:sz w:val="16"/>
        </w:rPr>
        <w:t>Incorporated by reference to Exhibit 2.b to the Company’s Pre-Effective Amendment No. 5 to Form N-2, filed on September 24, 2013.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6"/>
        </w:rPr>
      </w:pPr>
      <w:bookmarkStart w:id="21" w:name="signatures"/>
      <w:bookmarkEnd w:id="21"/>
      <w:r>
        <w:rPr>
          <w:rFonts w:ascii="Times New Roman" w:hAnsi="Times New Roman"/>
          <w:b/>
          <w:color w:val="000000"/>
          <w:sz w:val="16"/>
        </w:rPr>
        <w:t>SIGNATURES</w:t>
      </w:r>
    </w:p>
    <w:p>
      <w:pPr>
        <w:pStyle w:val="TextBody"/>
        <w:bidi w:val="0"/>
        <w:spacing w:before="160" w:after="283"/>
        <w:jc w:val="both"/>
        <w:rPr>
          <w:rFonts w:ascii="Times New Roman" w:hAnsi="Times New Roman"/>
          <w:color w:val="000000"/>
          <w:sz w:val="16"/>
        </w:rPr>
      </w:pPr>
      <w:r>
        <w:rPr>
          <w:rFonts w:ascii="Times New Roman" w:hAnsi="Times New Roman"/>
          <w:color w:val="000000"/>
          <w:sz w:val="16"/>
        </w:rPr>
        <w:t>Pursuant to the requirements of the Securities Exchange Act of 1934, the registrant has duly caused this report to be signed on its behalf by the undersigned thereunto duly authorized.</w:t>
      </w:r>
    </w:p>
    <w:p>
      <w:pPr>
        <w:pStyle w:val="TextBody"/>
        <w:bidi w:val="0"/>
        <w:spacing w:before="160" w:after="283"/>
        <w:jc w:val="both"/>
        <w:rPr/>
      </w:pPr>
      <w:r>
        <w:rPr/>
        <w:t> </w:t>
      </w:r>
    </w:p>
    <w:tbl>
      <w:tblPr>
        <w:tblW w:w="2682" w:type="dxa"/>
        <w:jc w:val="left"/>
        <w:tblInd w:w="0" w:type="dxa"/>
        <w:tblLayout w:type="fixed"/>
        <w:tblCellMar>
          <w:top w:w="28" w:type="dxa"/>
          <w:left w:w="28" w:type="dxa"/>
          <w:bottom w:w="28" w:type="dxa"/>
          <w:right w:w="28" w:type="dxa"/>
        </w:tblCellMar>
      </w:tblPr>
      <w:tblGrid>
        <w:gridCol w:w="161"/>
        <w:gridCol w:w="2521"/>
      </w:tblGrid>
      <w:tr>
        <w:trPr/>
        <w:tc>
          <w:tcPr>
            <w:tcW w:w="16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Logan Ridge Finance Corporation</w:t>
            </w:r>
          </w:p>
        </w:tc>
      </w:tr>
    </w:tbl>
    <w:p>
      <w:pPr>
        <w:pStyle w:val="TextBody"/>
        <w:bidi w:val="0"/>
        <w:jc w:val="both"/>
        <w:rPr/>
      </w:pPr>
      <w:r>
        <w:rPr/>
        <w:t> </w:t>
      </w:r>
    </w:p>
    <w:tbl>
      <w:tblPr>
        <w:tblW w:w="6318" w:type="dxa"/>
        <w:jc w:val="left"/>
        <w:tblInd w:w="0" w:type="dxa"/>
        <w:tblLayout w:type="fixed"/>
        <w:tblCellMar>
          <w:top w:w="28" w:type="dxa"/>
          <w:left w:w="28" w:type="dxa"/>
          <w:bottom w:w="28" w:type="dxa"/>
          <w:right w:w="28" w:type="dxa"/>
        </w:tblCellMar>
      </w:tblPr>
      <w:tblGrid>
        <w:gridCol w:w="1426"/>
        <w:gridCol w:w="346"/>
        <w:gridCol w:w="4546"/>
      </w:tblGrid>
      <w:tr>
        <w:trPr/>
        <w:tc>
          <w:tcPr>
            <w:tcW w:w="1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 May 8, 2024</w:t>
            </w:r>
          </w:p>
        </w:tc>
        <w:tc>
          <w:tcPr>
            <w:tcW w:w="3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By </w:t>
            </w:r>
          </w:p>
        </w:tc>
        <w:tc>
          <w:tcPr>
            <w:tcW w:w="45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Ted Goldthorpe</w:t>
            </w:r>
          </w:p>
        </w:tc>
      </w:tr>
      <w:tr>
        <w:trPr/>
        <w:tc>
          <w:tcPr>
            <w:tcW w:w="1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Ted Goldthorpe</w:t>
            </w:r>
          </w:p>
        </w:tc>
      </w:tr>
      <w:tr>
        <w:trPr/>
        <w:tc>
          <w:tcPr>
            <w:tcW w:w="1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 and President</w:t>
            </w:r>
          </w:p>
        </w:tc>
      </w:tr>
      <w:tr>
        <w:trPr/>
        <w:tc>
          <w:tcPr>
            <w:tcW w:w="1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Executive Officer)</w:t>
            </w:r>
          </w:p>
        </w:tc>
      </w:tr>
      <w:tr>
        <w:trPr/>
        <w:tc>
          <w:tcPr>
            <w:tcW w:w="1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pPr>
            <w:r>
              <w:rPr/>
              <w:t> </w:t>
            </w:r>
          </w:p>
        </w:tc>
      </w:tr>
      <w:tr>
        <w:trPr/>
        <w:tc>
          <w:tcPr>
            <w:tcW w:w="1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sz w:val="4"/>
                <w:szCs w:val="4"/>
              </w:rPr>
            </w:pPr>
            <w:r>
              <w:rPr>
                <w:sz w:val="4"/>
                <w:szCs w:val="4"/>
              </w:rPr>
            </w:r>
          </w:p>
        </w:tc>
      </w:tr>
      <w:tr>
        <w:trPr/>
        <w:tc>
          <w:tcPr>
            <w:tcW w:w="142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Date: May 8, 2024</w:t>
            </w:r>
          </w:p>
        </w:tc>
        <w:tc>
          <w:tcPr>
            <w:tcW w:w="3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By</w:t>
            </w:r>
          </w:p>
        </w:tc>
        <w:tc>
          <w:tcPr>
            <w:tcW w:w="45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Brandon Satoren</w:t>
            </w:r>
          </w:p>
        </w:tc>
      </w:tr>
      <w:tr>
        <w:trPr/>
        <w:tc>
          <w:tcPr>
            <w:tcW w:w="14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5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Brandon Satoren</w:t>
            </w:r>
          </w:p>
        </w:tc>
      </w:tr>
      <w:tr>
        <w:trPr/>
        <w:tc>
          <w:tcPr>
            <w:tcW w:w="142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45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r>
      <w:tr>
        <w:trPr/>
        <w:tc>
          <w:tcPr>
            <w:tcW w:w="142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4546" w:type="dxa"/>
            <w:tcBorders/>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Financial Officer and Principal Accounting Officer )</w:t>
            </w:r>
          </w:p>
        </w:tc>
      </w:tr>
      <w:tr>
        <w:trPr/>
        <w:tc>
          <w:tcPr>
            <w:tcW w:w="1426"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4546"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bookmarkStart w:id="22" w:name="lrfc-ex31_1.htm"/>
      <w:bookmarkStart w:id="23" w:name="kslrfcex31_1"/>
      <w:bookmarkEnd w:id="22"/>
      <w:bookmarkEnd w:id="23"/>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31.1</w:t>
      </w:r>
    </w:p>
    <w:p>
      <w:pPr>
        <w:pStyle w:val="TextBody"/>
        <w:bidi w:val="0"/>
        <w:jc w:val="center"/>
        <w:rPr>
          <w:rFonts w:ascii="Times New Roman" w:hAnsi="Times New Roman"/>
          <w:sz w:val="20"/>
        </w:rPr>
      </w:pPr>
      <w:r>
        <w:rPr>
          <w:rFonts w:ascii="Times New Roman" w:hAnsi="Times New Roman"/>
          <w:b/>
          <w:color w:val="000000"/>
          <w:sz w:val="16"/>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PURSUANT TO RULE 13A-14 OF THE SECURITIES EXCHANGE ACT OF 1934,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 SECTION 302 OF THE SARBANES-OXLEY ACT OF 2002</w:t>
      </w:r>
    </w:p>
    <w:p>
      <w:pPr>
        <w:pStyle w:val="TextBody"/>
        <w:bidi w:val="0"/>
        <w:jc w:val="left"/>
        <w:rPr>
          <w:rFonts w:ascii="Times New Roman" w:hAnsi="Times New Roman"/>
          <w:color w:val="000000"/>
          <w:sz w:val="16"/>
        </w:rPr>
      </w:pPr>
      <w:r>
        <w:rPr>
          <w:rFonts w:ascii="Times New Roman" w:hAnsi="Times New Roman"/>
          <w:color w:val="000000"/>
          <w:sz w:val="16"/>
        </w:rPr>
        <w:t>I, Ted Goldthorpe, certify that:</w:t>
      </w:r>
    </w:p>
    <w:tbl>
      <w:tblPr>
        <w:tblW w:w="6831" w:type="dxa"/>
        <w:jc w:val="left"/>
        <w:tblInd w:w="0" w:type="dxa"/>
        <w:tblLayout w:type="fixed"/>
        <w:tblCellMar>
          <w:top w:w="28" w:type="dxa"/>
          <w:left w:w="28" w:type="dxa"/>
          <w:bottom w:w="28" w:type="dxa"/>
          <w:right w:w="28" w:type="dxa"/>
        </w:tblCellMar>
      </w:tblPr>
      <w:tblGrid>
        <w:gridCol w:w="124"/>
        <w:gridCol w:w="241"/>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646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 have reviewed this Quarterly Report on Form 10-Q of Logan Ridge Finance Corporation;</w:t>
            </w:r>
          </w:p>
        </w:tc>
      </w:tr>
    </w:tbl>
    <w:tbl>
      <w:tblPr>
        <w:tblW w:w="10205" w:type="dxa"/>
        <w:jc w:val="left"/>
        <w:tblInd w:w="0" w:type="dxa"/>
        <w:tblLayout w:type="fixed"/>
        <w:tblCellMar>
          <w:top w:w="28" w:type="dxa"/>
          <w:left w:w="28" w:type="dxa"/>
          <w:bottom w:w="28" w:type="dxa"/>
          <w:right w:w="28" w:type="dxa"/>
        </w:tblCellMar>
      </w:tblPr>
      <w:tblGrid>
        <w:gridCol w:w="124"/>
        <w:gridCol w:w="216"/>
        <w:gridCol w:w="98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9865"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865"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864"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867"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registrant’s other certifying officer and I are responsible for establishing and maintaining disclosure controls and procedures (as defined in the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65"/>
        <w:gridCol w:w="98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w:t>
            </w:r>
          </w:p>
        </w:tc>
        <w:tc>
          <w:tcPr>
            <w:tcW w:w="981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w:t>
            </w:r>
          </w:p>
        </w:tc>
        <w:tc>
          <w:tcPr>
            <w:tcW w:w="98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(c)</w:t>
            </w:r>
          </w:p>
        </w:tc>
        <w:tc>
          <w:tcPr>
            <w:tcW w:w="9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w:t>
            </w:r>
          </w:p>
        </w:tc>
        <w:tc>
          <w:tcPr>
            <w:tcW w:w="98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864"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9864"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w:t>
            </w:r>
          </w:p>
        </w:tc>
        <w:tc>
          <w:tcPr>
            <w:tcW w:w="98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w:t>
            </w:r>
          </w:p>
        </w:tc>
        <w:tc>
          <w:tcPr>
            <w:tcW w:w="977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 May 8, 2024</w:t>
      </w:r>
    </w:p>
    <w:tbl>
      <w:tblPr>
        <w:tblW w:w="2900" w:type="dxa"/>
        <w:jc w:val="left"/>
        <w:tblInd w:w="0" w:type="dxa"/>
        <w:tblLayout w:type="fixed"/>
        <w:tblCellMar>
          <w:top w:w="28" w:type="dxa"/>
          <w:left w:w="28" w:type="dxa"/>
          <w:bottom w:w="28" w:type="dxa"/>
          <w:right w:w="28" w:type="dxa"/>
        </w:tblCellMar>
      </w:tblPr>
      <w:tblGrid>
        <w:gridCol w:w="124"/>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Ted Goldthorpe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Ted Goldthorpe</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 and President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Executive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lrfc-ex31_2.htm"/>
      <w:bookmarkStart w:id="25" w:name="kslrfcex31_2"/>
      <w:bookmarkEnd w:id="24"/>
      <w:bookmarkEnd w:id="25"/>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31.2</w:t>
      </w:r>
    </w:p>
    <w:p>
      <w:pPr>
        <w:pStyle w:val="TextBody"/>
        <w:bidi w:val="0"/>
        <w:jc w:val="center"/>
        <w:rPr>
          <w:rFonts w:ascii="Times New Roman" w:hAnsi="Times New Roman"/>
          <w:sz w:val="20"/>
        </w:rPr>
      </w:pPr>
      <w:r>
        <w:rPr>
          <w:rFonts w:ascii="Times New Roman" w:hAnsi="Times New Roman"/>
          <w:b/>
          <w:color w:val="000000"/>
          <w:sz w:val="16"/>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PURSUANT TO RULE 13A-14 OF THE SECURITIES EXCHANGE ACT OF 1934,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 SECTION 302 OF THE SARBANES-OXLEY ACT OF 2002</w:t>
      </w:r>
    </w:p>
    <w:p>
      <w:pPr>
        <w:pStyle w:val="TextBody"/>
        <w:bidi w:val="0"/>
        <w:jc w:val="both"/>
        <w:rPr>
          <w:rFonts w:ascii="Times New Roman" w:hAnsi="Times New Roman"/>
          <w:color w:val="000000"/>
          <w:sz w:val="16"/>
        </w:rPr>
      </w:pPr>
      <w:r>
        <w:rPr>
          <w:rFonts w:ascii="Times New Roman" w:hAnsi="Times New Roman"/>
          <w:color w:val="000000"/>
          <w:sz w:val="16"/>
        </w:rPr>
        <w:t>I, Brandon Satoren, certify that:</w:t>
      </w:r>
    </w:p>
    <w:tbl>
      <w:tblPr>
        <w:tblW w:w="6722" w:type="dxa"/>
        <w:jc w:val="left"/>
        <w:tblInd w:w="0" w:type="dxa"/>
        <w:tblLayout w:type="fixed"/>
        <w:tblCellMar>
          <w:top w:w="28" w:type="dxa"/>
          <w:left w:w="28" w:type="dxa"/>
          <w:bottom w:w="28" w:type="dxa"/>
          <w:right w:w="28" w:type="dxa"/>
        </w:tblCellMar>
      </w:tblPr>
      <w:tblGrid>
        <w:gridCol w:w="256"/>
        <w:gridCol w:w="6466"/>
      </w:tblGrid>
      <w:tr>
        <w:trPr/>
        <w:tc>
          <w:tcPr>
            <w:tcW w:w="256" w:type="dxa"/>
            <w:tcBorders/>
            <w:vAlign w:val="center"/>
          </w:tcPr>
          <w:p>
            <w:pPr>
              <w:pStyle w:val="TableContents"/>
              <w:bidi w:val="0"/>
              <w:spacing w:before="0" w:after="283"/>
              <w:jc w:val="left"/>
              <w:rPr>
                <w:sz w:val="4"/>
                <w:szCs w:val="4"/>
              </w:rPr>
            </w:pPr>
            <w:r>
              <w:rPr>
                <w:sz w:val="4"/>
                <w:szCs w:val="4"/>
              </w:rPr>
            </w:r>
          </w:p>
        </w:tc>
        <w:tc>
          <w:tcPr>
            <w:tcW w:w="6466" w:type="dxa"/>
            <w:tcBorders/>
            <w:vAlign w:val="center"/>
          </w:tcPr>
          <w:p>
            <w:pPr>
              <w:pStyle w:val="TableContents"/>
              <w:bidi w:val="0"/>
              <w:spacing w:before="0" w:after="283"/>
              <w:jc w:val="left"/>
              <w:rPr>
                <w:sz w:val="4"/>
                <w:szCs w:val="4"/>
              </w:rPr>
            </w:pPr>
            <w:r>
              <w:rPr>
                <w:sz w:val="4"/>
                <w:szCs w:val="4"/>
              </w:rPr>
            </w:r>
          </w:p>
        </w:tc>
      </w:tr>
      <w:tr>
        <w:trPr/>
        <w:tc>
          <w:tcPr>
            <w:tcW w:w="25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646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I have reviewed this Quarterly Report on Form 10-Q of Logan Ridge Finance Corporation;</w:t>
            </w:r>
          </w:p>
        </w:tc>
      </w:tr>
    </w:tbl>
    <w:tbl>
      <w:tblPr>
        <w:tblW w:w="10205" w:type="dxa"/>
        <w:jc w:val="left"/>
        <w:tblInd w:w="0" w:type="dxa"/>
        <w:tblLayout w:type="fixed"/>
        <w:tblCellMar>
          <w:top w:w="28" w:type="dxa"/>
          <w:left w:w="28" w:type="dxa"/>
          <w:bottom w:w="28" w:type="dxa"/>
          <w:right w:w="28" w:type="dxa"/>
        </w:tblCellMar>
      </w:tblPr>
      <w:tblGrid>
        <w:gridCol w:w="231"/>
        <w:gridCol w:w="9974"/>
      </w:tblGrid>
      <w:tr>
        <w:trPr/>
        <w:tc>
          <w:tcPr>
            <w:tcW w:w="231" w:type="dxa"/>
            <w:tcBorders/>
            <w:vAlign w:val="center"/>
          </w:tcPr>
          <w:p>
            <w:pPr>
              <w:pStyle w:val="TableContents"/>
              <w:bidi w:val="0"/>
              <w:spacing w:before="0" w:after="283"/>
              <w:jc w:val="left"/>
              <w:rPr>
                <w:sz w:val="4"/>
                <w:szCs w:val="4"/>
              </w:rPr>
            </w:pPr>
            <w:r>
              <w:rPr>
                <w:sz w:val="4"/>
                <w:szCs w:val="4"/>
              </w:rPr>
            </w:r>
          </w:p>
        </w:tc>
        <w:tc>
          <w:tcPr>
            <w:tcW w:w="9974" w:type="dxa"/>
            <w:tcBorders/>
            <w:vAlign w:val="center"/>
          </w:tcPr>
          <w:p>
            <w:pPr>
              <w:pStyle w:val="TableContents"/>
              <w:bidi w:val="0"/>
              <w:spacing w:before="0" w:after="283"/>
              <w:jc w:val="left"/>
              <w:rPr>
                <w:sz w:val="4"/>
                <w:szCs w:val="4"/>
              </w:rPr>
            </w:pPr>
            <w:r>
              <w:rPr>
                <w:sz w:val="4"/>
                <w:szCs w:val="4"/>
              </w:rPr>
            </w:r>
          </w:p>
        </w:tc>
      </w:tr>
      <w:tr>
        <w:trPr/>
        <w:tc>
          <w:tcPr>
            <w:tcW w:w="23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2.</w:t>
            </w:r>
          </w:p>
        </w:tc>
        <w:tc>
          <w:tcPr>
            <w:tcW w:w="9974"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32"/>
        <w:gridCol w:w="9973"/>
      </w:tblGrid>
      <w:tr>
        <w:trPr/>
        <w:tc>
          <w:tcPr>
            <w:tcW w:w="232" w:type="dxa"/>
            <w:tcBorders/>
            <w:vAlign w:val="center"/>
          </w:tcPr>
          <w:p>
            <w:pPr>
              <w:pStyle w:val="TableContents"/>
              <w:bidi w:val="0"/>
              <w:spacing w:before="0" w:after="283"/>
              <w:jc w:val="left"/>
              <w:rPr>
                <w:sz w:val="4"/>
                <w:szCs w:val="4"/>
              </w:rPr>
            </w:pPr>
            <w:r>
              <w:rPr>
                <w:sz w:val="4"/>
                <w:szCs w:val="4"/>
              </w:rPr>
            </w:r>
          </w:p>
        </w:tc>
        <w:tc>
          <w:tcPr>
            <w:tcW w:w="9973" w:type="dxa"/>
            <w:tcBorders/>
            <w:vAlign w:val="center"/>
          </w:tcPr>
          <w:p>
            <w:pPr>
              <w:pStyle w:val="TableContents"/>
              <w:bidi w:val="0"/>
              <w:spacing w:before="0" w:after="283"/>
              <w:jc w:val="left"/>
              <w:rPr>
                <w:sz w:val="4"/>
                <w:szCs w:val="4"/>
              </w:rPr>
            </w:pPr>
            <w:r>
              <w:rPr>
                <w:sz w:val="4"/>
                <w:szCs w:val="4"/>
              </w:rPr>
            </w:r>
          </w:p>
        </w:tc>
      </w:tr>
      <w:tr>
        <w:trPr/>
        <w:tc>
          <w:tcPr>
            <w:tcW w:w="232"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3.</w:t>
            </w:r>
          </w:p>
        </w:tc>
        <w:tc>
          <w:tcPr>
            <w:tcW w:w="9973"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29"/>
        <w:gridCol w:w="9976"/>
      </w:tblGrid>
      <w:tr>
        <w:trPr/>
        <w:tc>
          <w:tcPr>
            <w:tcW w:w="229" w:type="dxa"/>
            <w:tcBorders/>
            <w:vAlign w:val="center"/>
          </w:tcPr>
          <w:p>
            <w:pPr>
              <w:pStyle w:val="TableContents"/>
              <w:bidi w:val="0"/>
              <w:spacing w:before="0" w:after="283"/>
              <w:jc w:val="left"/>
              <w:rPr>
                <w:sz w:val="4"/>
                <w:szCs w:val="4"/>
              </w:rPr>
            </w:pPr>
            <w:r>
              <w:rPr>
                <w:sz w:val="4"/>
                <w:szCs w:val="4"/>
              </w:rPr>
            </w:r>
          </w:p>
        </w:tc>
        <w:tc>
          <w:tcPr>
            <w:tcW w:w="9976" w:type="dxa"/>
            <w:tcBorders/>
            <w:vAlign w:val="center"/>
          </w:tcPr>
          <w:p>
            <w:pPr>
              <w:pStyle w:val="TableContents"/>
              <w:bidi w:val="0"/>
              <w:spacing w:before="0" w:after="283"/>
              <w:jc w:val="left"/>
              <w:rPr>
                <w:sz w:val="4"/>
                <w:szCs w:val="4"/>
              </w:rPr>
            </w:pPr>
            <w:r>
              <w:rPr>
                <w:sz w:val="4"/>
                <w:szCs w:val="4"/>
              </w:rPr>
            </w:r>
          </w:p>
        </w:tc>
      </w:tr>
      <w:tr>
        <w:trPr/>
        <w:tc>
          <w:tcPr>
            <w:tcW w:w="229"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4.</w:t>
            </w:r>
          </w:p>
        </w:tc>
        <w:tc>
          <w:tcPr>
            <w:tcW w:w="997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registrant’s other certifying officer and I are responsible for establishing and maintaining disclosure controls and procedures (as defined in the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28" w:type="dxa"/>
          <w:left w:w="28" w:type="dxa"/>
          <w:bottom w:w="28" w:type="dxa"/>
          <w:right w:w="28" w:type="dxa"/>
        </w:tblCellMar>
      </w:tblPr>
      <w:tblGrid>
        <w:gridCol w:w="124"/>
        <w:gridCol w:w="265"/>
        <w:gridCol w:w="9816"/>
      </w:tblGrid>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w:t>
            </w:r>
          </w:p>
        </w:tc>
        <w:tc>
          <w:tcPr>
            <w:tcW w:w="9816"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w:t>
            </w:r>
          </w:p>
        </w:tc>
        <w:tc>
          <w:tcPr>
            <w:tcW w:w="98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70"/>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81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(c)</w:t>
            </w:r>
          </w:p>
        </w:tc>
        <w:tc>
          <w:tcPr>
            <w:tcW w:w="98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78"/>
        <w:gridCol w:w="9803"/>
      </w:tblGrid>
      <w:tr>
        <w:trPr/>
        <w:tc>
          <w:tcPr>
            <w:tcW w:w="12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0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w:t>
            </w:r>
          </w:p>
        </w:tc>
        <w:tc>
          <w:tcPr>
            <w:tcW w:w="980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32"/>
        <w:gridCol w:w="9973"/>
      </w:tblGrid>
      <w:tr>
        <w:trPr/>
        <w:tc>
          <w:tcPr>
            <w:tcW w:w="232" w:type="dxa"/>
            <w:tcBorders/>
            <w:vAlign w:val="center"/>
          </w:tcPr>
          <w:p>
            <w:pPr>
              <w:pStyle w:val="TableContents"/>
              <w:bidi w:val="0"/>
              <w:spacing w:before="0" w:after="283"/>
              <w:jc w:val="left"/>
              <w:rPr>
                <w:sz w:val="4"/>
                <w:szCs w:val="4"/>
              </w:rPr>
            </w:pPr>
            <w:r>
              <w:rPr>
                <w:sz w:val="4"/>
                <w:szCs w:val="4"/>
              </w:rPr>
            </w:r>
          </w:p>
        </w:tc>
        <w:tc>
          <w:tcPr>
            <w:tcW w:w="9973" w:type="dxa"/>
            <w:tcBorders/>
            <w:vAlign w:val="center"/>
          </w:tcPr>
          <w:p>
            <w:pPr>
              <w:pStyle w:val="TableContents"/>
              <w:bidi w:val="0"/>
              <w:spacing w:before="0" w:after="283"/>
              <w:jc w:val="left"/>
              <w:rPr>
                <w:sz w:val="4"/>
                <w:szCs w:val="4"/>
              </w:rPr>
            </w:pPr>
            <w:r>
              <w:rPr>
                <w:sz w:val="4"/>
                <w:szCs w:val="4"/>
              </w:rPr>
            </w:r>
          </w:p>
        </w:tc>
      </w:tr>
      <w:tr>
        <w:trPr/>
        <w:tc>
          <w:tcPr>
            <w:tcW w:w="232"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w:t>
            </w:r>
          </w:p>
        </w:tc>
        <w:tc>
          <w:tcPr>
            <w:tcW w:w="9973"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71"/>
        <w:gridCol w:w="9810"/>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81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w:t>
            </w:r>
          </w:p>
        </w:tc>
        <w:tc>
          <w:tcPr>
            <w:tcW w:w="981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304"/>
        <w:gridCol w:w="9777"/>
      </w:tblGrid>
      <w:tr>
        <w:trPr/>
        <w:tc>
          <w:tcPr>
            <w:tcW w:w="12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7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(b)</w:t>
            </w:r>
          </w:p>
        </w:tc>
        <w:tc>
          <w:tcPr>
            <w:tcW w:w="977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Date: May 8, 2024</w:t>
      </w:r>
    </w:p>
    <w:tbl>
      <w:tblPr>
        <w:tblW w:w="2270" w:type="dxa"/>
        <w:jc w:val="left"/>
        <w:tblInd w:w="0" w:type="dxa"/>
        <w:tblLayout w:type="fixed"/>
        <w:tblCellMar>
          <w:top w:w="28" w:type="dxa"/>
          <w:left w:w="28" w:type="dxa"/>
          <w:bottom w:w="28" w:type="dxa"/>
          <w:right w:w="28" w:type="dxa"/>
        </w:tblCellMar>
      </w:tblPr>
      <w:tblGrid>
        <w:gridCol w:w="124"/>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Brandon Satoren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Brandon Satoren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Financial Officer)</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lrfc-ex32_1.htm"/>
      <w:bookmarkStart w:id="27" w:name="kslrfcex32_1"/>
      <w:bookmarkEnd w:id="26"/>
      <w:bookmarkEnd w:id="27"/>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32.1</w:t>
      </w:r>
    </w:p>
    <w:p>
      <w:pPr>
        <w:pStyle w:val="TextBody"/>
        <w:bidi w:val="0"/>
        <w:jc w:val="center"/>
        <w:rPr>
          <w:rFonts w:ascii="Times New Roman" w:hAnsi="Times New Roman"/>
          <w:sz w:val="20"/>
        </w:rPr>
      </w:pPr>
      <w:r>
        <w:rPr>
          <w:rFonts w:ascii="Times New Roman" w:hAnsi="Times New Roman"/>
          <w:b/>
          <w:color w:val="000000"/>
          <w:sz w:val="16"/>
        </w:rPr>
        <w:t>CERTIFICATION OF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 SECTION 906 OF THE SARBANES-OXLEY ACT OF 2002</w:t>
      </w:r>
    </w:p>
    <w:p>
      <w:pPr>
        <w:pStyle w:val="TextBody"/>
        <w:bidi w:val="0"/>
        <w:jc w:val="both"/>
        <w:rPr>
          <w:rFonts w:ascii="Times New Roman" w:hAnsi="Times New Roman"/>
          <w:color w:val="000000"/>
          <w:sz w:val="16"/>
        </w:rPr>
      </w:pPr>
      <w:r>
        <w:rPr>
          <w:rFonts w:ascii="Times New Roman" w:hAnsi="Times New Roman"/>
          <w:color w:val="000000"/>
          <w:sz w:val="16"/>
        </w:rPr>
        <w:t>I, Ted Goldthorpe, Chief Executive Officer and President, in connection with the Quarterly Report of Logan Ridge Finance Corporation (the “Company”) on Form 10-Q for the quarterly period ended March 31, 2024, as filed with the U.S. Securities and Exchange Commission on the date hereof (the “Quarterly Report”), certify, pursuant to Section 906 of the Sarbanes-Oxley Act of 2002, that, to my knowledge:</w:t>
      </w:r>
    </w:p>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8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1.</w:t>
            </w:r>
          </w:p>
        </w:tc>
        <w:tc>
          <w:tcPr>
            <w:tcW w:w="9841"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Quarterly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4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2.</w:t>
            </w:r>
          </w:p>
        </w:tc>
        <w:tc>
          <w:tcPr>
            <w:tcW w:w="9845"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information contained in the Quarterly Report fairly presents, in all material respects, the financial condition and results of operations of the Company.</w:t>
            </w:r>
          </w:p>
        </w:tc>
      </w:tr>
    </w:tbl>
    <w:p>
      <w:pPr>
        <w:pStyle w:val="TextBody"/>
        <w:bidi w:val="0"/>
        <w:jc w:val="left"/>
        <w:rPr>
          <w:rFonts w:ascii="Times New Roman" w:hAnsi="Times New Roman"/>
          <w:color w:val="000000"/>
          <w:sz w:val="16"/>
        </w:rPr>
      </w:pPr>
      <w:r>
        <w:rPr>
          <w:rFonts w:ascii="Times New Roman" w:hAnsi="Times New Roman"/>
          <w:color w:val="000000"/>
          <w:sz w:val="16"/>
        </w:rPr>
        <w:t>Date: May 8, 2024</w:t>
      </w:r>
    </w:p>
    <w:tbl>
      <w:tblPr>
        <w:tblW w:w="2900" w:type="dxa"/>
        <w:jc w:val="left"/>
        <w:tblInd w:w="0" w:type="dxa"/>
        <w:tblLayout w:type="fixed"/>
        <w:tblCellMar>
          <w:top w:w="28" w:type="dxa"/>
          <w:left w:w="28" w:type="dxa"/>
          <w:bottom w:w="28" w:type="dxa"/>
          <w:right w:w="28" w:type="dxa"/>
        </w:tblCellMar>
      </w:tblPr>
      <w:tblGrid>
        <w:gridCol w:w="124"/>
        <w:gridCol w:w="2776"/>
      </w:tblGrid>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Ted Goldthorpe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Ted Goldthorpe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Executive Officer and President</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Executive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776"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lrfc-ex32_2.htm"/>
      <w:bookmarkStart w:id="29" w:name="kslrfcex32_2"/>
      <w:bookmarkEnd w:id="28"/>
      <w:bookmarkEnd w:id="29"/>
      <w:r>
        <w:rPr/>
        <w:t> </w:t>
      </w:r>
      <w:r>
        <w:br w:type="page"/>
      </w:r>
    </w:p>
    <w:p>
      <w:pPr>
        <w:pStyle w:val="TextBody"/>
        <w:bidi w:val="0"/>
        <w:jc w:val="right"/>
        <w:rPr>
          <w:rFonts w:ascii="Times New Roman" w:hAnsi="Times New Roman"/>
          <w:b/>
          <w:color w:val="000000"/>
          <w:sz w:val="16"/>
        </w:rPr>
      </w:pPr>
      <w:r>
        <w:rPr>
          <w:rFonts w:ascii="Times New Roman" w:hAnsi="Times New Roman"/>
          <w:b/>
          <w:color w:val="000000"/>
          <w:sz w:val="16"/>
        </w:rPr>
        <w:t>Exhibit 32.2</w:t>
      </w:r>
    </w:p>
    <w:p>
      <w:pPr>
        <w:pStyle w:val="TextBody"/>
        <w:bidi w:val="0"/>
        <w:jc w:val="center"/>
        <w:rPr>
          <w:rFonts w:ascii="Times New Roman" w:hAnsi="Times New Roman"/>
          <w:sz w:val="20"/>
        </w:rPr>
      </w:pPr>
      <w:r>
        <w:rPr>
          <w:rFonts w:ascii="Times New Roman" w:hAnsi="Times New Roman"/>
          <w:b/>
          <w:color w:val="000000"/>
          <w:sz w:val="16"/>
        </w:rPr>
        <w:t>CERTIFICATION OF CHIEF FINANCIAL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PURSUANT TO 18 U.S.C. SECTION 1350, AS ADOPTED</w:t>
      </w:r>
      <w:r>
        <w:rPr>
          <w:rFonts w:ascii="Times New Roman" w:hAnsi="Times New Roman"/>
          <w:color w:val="000000"/>
          <w:sz w:val="20"/>
        </w:rPr>
        <w:t xml:space="preserve"> </w:t>
      </w:r>
    </w:p>
    <w:p>
      <w:pPr>
        <w:pStyle w:val="TextBody"/>
        <w:bidi w:val="0"/>
        <w:jc w:val="center"/>
        <w:rPr>
          <w:rFonts w:ascii="Times New Roman" w:hAnsi="Times New Roman"/>
          <w:b/>
          <w:color w:val="000000"/>
          <w:sz w:val="16"/>
        </w:rPr>
      </w:pPr>
      <w:r>
        <w:rPr>
          <w:rFonts w:ascii="Times New Roman" w:hAnsi="Times New Roman"/>
          <w:b/>
          <w:color w:val="000000"/>
          <w:sz w:val="16"/>
        </w:rPr>
        <w:t>PURSUANT TO SECTION 906 OF THE SARBANES-OXLEY ACT OF 2002</w:t>
      </w:r>
    </w:p>
    <w:p>
      <w:pPr>
        <w:pStyle w:val="TextBody"/>
        <w:bidi w:val="0"/>
        <w:jc w:val="both"/>
        <w:rPr>
          <w:rFonts w:ascii="Times New Roman" w:hAnsi="Times New Roman"/>
          <w:color w:val="000000"/>
          <w:sz w:val="16"/>
        </w:rPr>
      </w:pPr>
      <w:r>
        <w:rPr>
          <w:rFonts w:ascii="Times New Roman" w:hAnsi="Times New Roman"/>
          <w:color w:val="000000"/>
          <w:sz w:val="16"/>
        </w:rPr>
        <w:t>I, Brandon Satoren, Chief Financial Officer, in connection with the Quarterly Report of Logan Ridge Finance Corporation (the “Company”) on Form 10-Q for the quarterly period ended March 31, 2024, as filed with the U.S. Securities and Exchange Commission on the date hereof (the “Quarterly Report”), certify, pursuant to Section 906 of the Sarbanes-Oxley Act of 2002, that, to my knowledge:</w:t>
      </w:r>
    </w:p>
    <w:tbl>
      <w:tblPr>
        <w:tblW w:w="10205" w:type="dxa"/>
        <w:jc w:val="left"/>
        <w:tblInd w:w="0" w:type="dxa"/>
        <w:tblLayout w:type="fixed"/>
        <w:tblCellMar>
          <w:top w:w="28" w:type="dxa"/>
          <w:left w:w="28" w:type="dxa"/>
          <w:bottom w:w="28" w:type="dxa"/>
          <w:right w:w="28" w:type="dxa"/>
        </w:tblCellMar>
      </w:tblPr>
      <w:tblGrid>
        <w:gridCol w:w="124"/>
        <w:gridCol w:w="240"/>
        <w:gridCol w:w="9841"/>
      </w:tblGrid>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841"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w:t>
            </w:r>
          </w:p>
        </w:tc>
        <w:tc>
          <w:tcPr>
            <w:tcW w:w="9841" w:type="dxa"/>
            <w:tcBorders/>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Quarterly Report fully complies with the requirements of Section 13(a) or 15(d) of the Securities Exchange Act of 1934, as amended; and</w:t>
            </w:r>
          </w:p>
        </w:tc>
      </w:tr>
    </w:tbl>
    <w:tbl>
      <w:tblPr>
        <w:tblW w:w="10205" w:type="dxa"/>
        <w:jc w:val="left"/>
        <w:tblInd w:w="0" w:type="dxa"/>
        <w:tblLayout w:type="fixed"/>
        <w:tblCellMar>
          <w:top w:w="28" w:type="dxa"/>
          <w:left w:w="28" w:type="dxa"/>
          <w:bottom w:w="28" w:type="dxa"/>
          <w:right w:w="28" w:type="dxa"/>
        </w:tblCellMar>
      </w:tblPr>
      <w:tblGrid>
        <w:gridCol w:w="124"/>
        <w:gridCol w:w="236"/>
        <w:gridCol w:w="9845"/>
      </w:tblGrid>
      <w:tr>
        <w:trPr/>
        <w:tc>
          <w:tcPr>
            <w:tcW w:w="12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845"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2.</w:t>
            </w:r>
          </w:p>
        </w:tc>
        <w:tc>
          <w:tcPr>
            <w:tcW w:w="98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6"/>
              </w:rPr>
            </w:pPr>
            <w:r>
              <w:rPr>
                <w:rFonts w:ascii="Times New Roman" w:hAnsi="Times New Roman"/>
                <w:color w:val="000000"/>
                <w:sz w:val="16"/>
              </w:rPr>
              <w:t>The information contained in the Quarterly Report fairly presents, in all material respects, the financial condition and results of operations of the Company.</w:t>
            </w:r>
          </w:p>
        </w:tc>
      </w:tr>
    </w:tbl>
    <w:p>
      <w:pPr>
        <w:pStyle w:val="TextBody"/>
        <w:bidi w:val="0"/>
        <w:jc w:val="left"/>
        <w:rPr>
          <w:rFonts w:ascii="Times New Roman" w:hAnsi="Times New Roman"/>
          <w:color w:val="000000"/>
          <w:sz w:val="16"/>
        </w:rPr>
      </w:pPr>
      <w:r>
        <w:rPr>
          <w:rFonts w:ascii="Times New Roman" w:hAnsi="Times New Roman"/>
          <w:color w:val="000000"/>
          <w:sz w:val="16"/>
        </w:rPr>
        <w:t>Date: May 8, 2024</w:t>
      </w:r>
    </w:p>
    <w:tbl>
      <w:tblPr>
        <w:tblW w:w="2270" w:type="dxa"/>
        <w:jc w:val="left"/>
        <w:tblInd w:w="0" w:type="dxa"/>
        <w:tblLayout w:type="fixed"/>
        <w:tblCellMar>
          <w:top w:w="28" w:type="dxa"/>
          <w:left w:w="28" w:type="dxa"/>
          <w:bottom w:w="28" w:type="dxa"/>
          <w:right w:w="28" w:type="dxa"/>
        </w:tblCellMar>
      </w:tblPr>
      <w:tblGrid>
        <w:gridCol w:w="124"/>
        <w:gridCol w:w="2146"/>
      </w:tblGrid>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 Brandon Satoren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Brandon Satoren</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Chief Financial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(Principal Financial Officer)</w:t>
            </w:r>
          </w:p>
        </w:tc>
      </w:tr>
      <w:tr>
        <w:trPr/>
        <w:tc>
          <w:tcPr>
            <w:tcW w:w="124"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21483/000119312513361263/d505298dex99a1.htm" TargetMode="External"/><Relationship Id="rId3" Type="http://schemas.openxmlformats.org/officeDocument/2006/relationships/hyperlink" Target="https://www.sec.gov/Archives/edgar/data/1221483/000119312513361263/d505298dex99a1.htm" TargetMode="External"/><Relationship Id="rId4" Type="http://schemas.openxmlformats.org/officeDocument/2006/relationships/hyperlink" Target="https://www.sec.gov/Archives/edgar/data/1221483/000119312513361263/d505298dex99a1.htm" TargetMode="External"/><Relationship Id="rId5" Type="http://schemas.openxmlformats.org/officeDocument/2006/relationships/hyperlink" Target="https://www.sec.gov/Archives/edgar/data/1571329/000110465920090336/tm2026478d1_ex3-1.htm" TargetMode="External"/><Relationship Id="rId6" Type="http://schemas.openxmlformats.org/officeDocument/2006/relationships/hyperlink" Target="https://www.sec.gov/Archives/edgar/data/1571329/000110465920090336/tm2026478d1_ex3-1.htm" TargetMode="External"/><Relationship Id="rId7" Type="http://schemas.openxmlformats.org/officeDocument/2006/relationships/hyperlink" Target="https://www.sec.gov/Archives/edgar/data/1571329/000110465920090336/tm2026478d1_ex3-1.htm" TargetMode="External"/><Relationship Id="rId8" Type="http://schemas.openxmlformats.org/officeDocument/2006/relationships/hyperlink" Target="https://www.sec.gov/Archives/edgar/data/1221483/000119312513368161/d505298dex99a2.htm" TargetMode="External"/><Relationship Id="rId9" Type="http://schemas.openxmlformats.org/officeDocument/2006/relationships/hyperlink" Target="https://www.sec.gov/Archives/edgar/data/1221483/000119312513368161/d505298dex99a2.htm" TargetMode="External"/><Relationship Id="rId10" Type="http://schemas.openxmlformats.org/officeDocument/2006/relationships/hyperlink" Target="https://www.sec.gov/Archives/edgar/data/1221483/000119312513368161/d505298dex99a2.htm" TargetMode="External"/><Relationship Id="rId11" Type="http://schemas.openxmlformats.org/officeDocument/2006/relationships/hyperlink" Target="https://www.sec.gov/Archives/edgar/data/1221483/000119312513368161/d505298dex99a3.htm" TargetMode="External"/><Relationship Id="rId12" Type="http://schemas.openxmlformats.org/officeDocument/2006/relationships/hyperlink" Target="https://www.sec.gov/Archives/edgar/data/1221483/000119312513368161/d505298dex99a3.htm" TargetMode="External"/><Relationship Id="rId13" Type="http://schemas.openxmlformats.org/officeDocument/2006/relationships/hyperlink" Target="https://www.sec.gov/Archives/edgar/data/1221483/000119312513368161/d505298dex99a3.htm" TargetMode="External"/><Relationship Id="rId14" Type="http://schemas.openxmlformats.org/officeDocument/2006/relationships/hyperlink" Target="https://www.sec.gov/Archives/edgar/data/1221483/000119312513361263/d505298dex99b1.htm" TargetMode="External"/><Relationship Id="rId15" Type="http://schemas.openxmlformats.org/officeDocument/2006/relationships/hyperlink" Target="https://www.sec.gov/Archives/edgar/data/1221483/000119312513361263/d505298dex99b1.htm" TargetMode="External"/><Relationship Id="rId16" Type="http://schemas.openxmlformats.org/officeDocument/2006/relationships/hyperlink" Target="https://www.sec.gov/Archives/edgar/data/1221483/000119312513361263/d505298dex99b1.htm" TargetMode="External"/><Relationship Id="rId17" Type="http://schemas.openxmlformats.org/officeDocument/2006/relationships/hyperlink" Target="https://www.sec.gov/Archives/edgar/data/1571329/000119312513376445/d505298dex99b2.htm" TargetMode="External"/><Relationship Id="rId18" Type="http://schemas.openxmlformats.org/officeDocument/2006/relationships/hyperlink" Target="https://www.sec.gov/Archives/edgar/data/1571329/000119312513376445/d505298dex99b2.htm" TargetMode="External"/><Relationship Id="rId19" Type="http://schemas.openxmlformats.org/officeDocument/2006/relationships/hyperlink" Target="https://www.sec.gov/Archives/edgar/data/1571329/000119312513376445/d505298dex99b2.htm" TargetMode="External"/><Relationship Id="rId20" Type="http://schemas.openxmlformats.org/officeDocument/2006/relationships/hyperlink" Target="https://www.sec.gov/Archives/edgar/data/1571329/000119312513376445/d505298dex99b3.htm" TargetMode="External"/><Relationship Id="rId21" Type="http://schemas.openxmlformats.org/officeDocument/2006/relationships/hyperlink" Target="https://www.sec.gov/Archives/edgar/data/1571329/000119312513376445/d505298dex99b3.htm" TargetMode="External"/><Relationship Id="rId22" Type="http://schemas.openxmlformats.org/officeDocument/2006/relationships/hyperlink" Target="https://www.sec.gov/Archives/edgar/data/1571329/000119312513376445/d505298dex99b3.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36575</Words>
  <Characters>200600</Characters>
  <CharactersWithSpaces>240888</CharactersWithSpaces>
  <Paragraphs>14172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