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rfc-20240630.htm"/>
      <w:bookmarkStart w:id="1" w:name="kslrfc20240630"/>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rFonts w:ascii="Times New Roman" w:hAnsi="Times New Roman"/>
          <w:b/>
          <w:color w:val="000000"/>
          <w:sz w:val="20"/>
        </w:rPr>
      </w:pPr>
      <w:r>
        <w:rPr>
          <w:rFonts w:ascii="Times New Roman" w:hAnsi="Times New Roman"/>
          <w:b/>
          <w:color w:val="000000"/>
          <w:sz w:val="20"/>
        </w:rPr>
        <w:t>FORM 10-Q</w:t>
      </w:r>
    </w:p>
    <w:tbl>
      <w:tblPr>
        <w:tblW w:w="8001" w:type="dxa"/>
        <w:jc w:val="left"/>
        <w:tblInd w:w="0" w:type="dxa"/>
        <w:tblLayout w:type="fixed"/>
        <w:tblCellMar>
          <w:top w:w="28" w:type="dxa"/>
          <w:left w:w="28" w:type="dxa"/>
          <w:bottom w:w="28" w:type="dxa"/>
          <w:right w:w="28" w:type="dxa"/>
        </w:tblCellMar>
      </w:tblPr>
      <w:tblGrid>
        <w:gridCol w:w="124"/>
        <w:gridCol w:w="316"/>
        <w:gridCol w:w="756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56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rFonts w:ascii="Wingdings;serif" w:hAnsi="Wingdings;serif"/>
                <w:color w:val="000000"/>
                <w:sz w:val="20"/>
              </w:rPr>
            </w:pPr>
            <w:r>
              <w:rPr>
                <w:rFonts w:ascii="Wingdings;serif" w:hAnsi="Wingdings;serif"/>
                <w:color w:val="000000"/>
                <w:sz w:val="20"/>
              </w:rPr>
              <w:t>x</w:t>
            </w:r>
          </w:p>
        </w:tc>
        <w:tc>
          <w:tcPr>
            <w:tcW w:w="7561" w:type="dxa"/>
            <w:tcBorders/>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June 30, 2024</w:t>
      </w:r>
    </w:p>
    <w:tbl>
      <w:tblPr>
        <w:tblW w:w="8046" w:type="dxa"/>
        <w:jc w:val="left"/>
        <w:tblInd w:w="0" w:type="dxa"/>
        <w:tblLayout w:type="fixed"/>
        <w:tblCellMar>
          <w:top w:w="28" w:type="dxa"/>
          <w:left w:w="28" w:type="dxa"/>
          <w:bottom w:w="28" w:type="dxa"/>
          <w:right w:w="28" w:type="dxa"/>
        </w:tblCellMar>
      </w:tblPr>
      <w:tblGrid>
        <w:gridCol w:w="124"/>
        <w:gridCol w:w="316"/>
        <w:gridCol w:w="760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60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7606" w:type="dxa"/>
            <w:tcBorders/>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tbl>
      <w:tblPr>
        <w:tblW w:w="6045" w:type="dxa"/>
        <w:jc w:val="left"/>
        <w:tblInd w:w="0" w:type="dxa"/>
        <w:tblLayout w:type="fixed"/>
        <w:tblCellMar>
          <w:top w:w="28" w:type="dxa"/>
          <w:left w:w="28" w:type="dxa"/>
          <w:bottom w:w="28" w:type="dxa"/>
          <w:right w:w="28" w:type="dxa"/>
        </w:tblCellMar>
      </w:tblPr>
      <w:tblGrid>
        <w:gridCol w:w="161"/>
        <w:gridCol w:w="146"/>
        <w:gridCol w:w="540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40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Commission file number: 814-01022</w:t>
            </w:r>
          </w:p>
        </w:tc>
        <w:tc>
          <w:tcPr>
            <w:tcW w:w="146" w:type="dxa"/>
            <w:tcBorders/>
            <w:vAlign w:val="center"/>
          </w:tcPr>
          <w:p>
            <w:pPr>
              <w:pStyle w:val="TableContents"/>
              <w:bidi w:val="0"/>
              <w:spacing w:before="0" w:after="283"/>
              <w:jc w:val="center"/>
              <w:rPr/>
            </w:pPr>
            <w:r>
              <w:rPr/>
              <w:t> </w:t>
            </w:r>
          </w:p>
        </w:tc>
        <w:tc>
          <w:tcPr>
            <w:tcW w:w="191"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4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91"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401" w:type="dxa"/>
            <w:tcBorders/>
            <w:vAlign w:val="center"/>
          </w:tcPr>
          <w:p>
            <w:pPr>
              <w:pStyle w:val="TableContents"/>
              <w:bidi w:val="0"/>
              <w:spacing w:before="0" w:after="283"/>
              <w:jc w:val="center"/>
              <w:rPr>
                <w:rFonts w:ascii="Times New Roman" w:hAnsi="Times New Roman"/>
                <w:b/>
                <w:color w:val="000000"/>
                <w:sz w:val="36"/>
              </w:rPr>
            </w:pPr>
            <w:r>
              <w:rPr>
                <w:rFonts w:ascii="Times New Roman" w:hAnsi="Times New Roman"/>
                <w:b/>
                <w:color w:val="000000"/>
                <w:sz w:val="36"/>
              </w:rPr>
              <w:t>Logan Ridge Finance Corporation</w:t>
            </w:r>
          </w:p>
        </w:tc>
        <w:tc>
          <w:tcPr>
            <w:tcW w:w="146" w:type="dxa"/>
            <w:tcBorders/>
            <w:vAlign w:val="center"/>
          </w:tcPr>
          <w:p>
            <w:pPr>
              <w:pStyle w:val="TableContents"/>
              <w:bidi w:val="0"/>
              <w:spacing w:before="0" w:after="283"/>
              <w:jc w:val="center"/>
              <w:rPr/>
            </w:pPr>
            <w:r>
              <w:rPr/>
              <w:t> </w:t>
            </w:r>
          </w:p>
        </w:tc>
        <w:tc>
          <w:tcPr>
            <w:tcW w:w="191"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40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(Exact Name of Registrant as Specified in its Charter) </w:t>
            </w:r>
          </w:p>
        </w:tc>
        <w:tc>
          <w:tcPr>
            <w:tcW w:w="146" w:type="dxa"/>
            <w:tcBorders/>
            <w:vAlign w:val="center"/>
          </w:tcPr>
          <w:p>
            <w:pPr>
              <w:pStyle w:val="TableContents"/>
              <w:bidi w:val="0"/>
              <w:spacing w:before="0" w:after="283"/>
              <w:jc w:val="center"/>
              <w:rPr/>
            </w:pPr>
            <w:r>
              <w:rPr/>
              <w:t> </w:t>
            </w:r>
          </w:p>
        </w:tc>
        <w:tc>
          <w:tcPr>
            <w:tcW w:w="191" w:type="dxa"/>
            <w:tcBorders/>
            <w:vAlign w:val="center"/>
          </w:tcPr>
          <w:p>
            <w:pPr>
              <w:pStyle w:val="TableContents"/>
              <w:bidi w:val="0"/>
              <w:spacing w:before="0" w:after="283"/>
              <w:jc w:val="center"/>
              <w:rPr/>
            </w:pPr>
            <w:r>
              <w:rPr/>
              <w:t> </w:t>
            </w:r>
          </w:p>
        </w:tc>
      </w:tr>
    </w:tbl>
    <w:tbl>
      <w:tblPr>
        <w:tblW w:w="4262" w:type="dxa"/>
        <w:jc w:val="left"/>
        <w:tblInd w:w="0" w:type="dxa"/>
        <w:tblLayout w:type="fixed"/>
        <w:tblCellMar>
          <w:top w:w="28" w:type="dxa"/>
          <w:left w:w="28" w:type="dxa"/>
          <w:bottom w:w="28" w:type="dxa"/>
          <w:right w:w="28" w:type="dxa"/>
        </w:tblCellMar>
      </w:tblPr>
      <w:tblGrid>
        <w:gridCol w:w="2611"/>
        <w:gridCol w:w="1651"/>
      </w:tblGrid>
      <w:tr>
        <w:trPr/>
        <w:tc>
          <w:tcPr>
            <w:tcW w:w="2611"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Maryland</w:t>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90-0945675</w:t>
            </w:r>
          </w:p>
        </w:tc>
      </w:tr>
      <w:tr>
        <w:trPr/>
        <w:tc>
          <w:tcPr>
            <w:tcW w:w="261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 xml:space="preserve">(State or Other Jurisdiction of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Incorporation or Organization)</w:t>
            </w:r>
          </w:p>
        </w:tc>
        <w:tc>
          <w:tcPr>
            <w:tcW w:w="165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 xml:space="preserve">(I.R.S. Employer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Identification No.)</w:t>
            </w:r>
          </w:p>
        </w:tc>
      </w:tr>
    </w:tbl>
    <w:p>
      <w:pPr>
        <w:pStyle w:val="TextBody"/>
        <w:bidi w:val="0"/>
        <w:jc w:val="center"/>
        <w:rPr/>
      </w:pPr>
      <w:r>
        <w:rPr/>
        <w:t> </w:t>
      </w:r>
    </w:p>
    <w:tbl>
      <w:tblPr>
        <w:tblW w:w="5101" w:type="dxa"/>
        <w:jc w:val="left"/>
        <w:tblInd w:w="0" w:type="dxa"/>
        <w:tblLayout w:type="fixed"/>
        <w:tblCellMar>
          <w:top w:w="28" w:type="dxa"/>
          <w:left w:w="28" w:type="dxa"/>
          <w:bottom w:w="28" w:type="dxa"/>
          <w:right w:w="28" w:type="dxa"/>
        </w:tblCellMar>
      </w:tblPr>
      <w:tblGrid>
        <w:gridCol w:w="5101"/>
      </w:tblGrid>
      <w:tr>
        <w:trPr/>
        <w:tc>
          <w:tcPr>
            <w:tcW w:w="5101" w:type="dxa"/>
            <w:tcBorders/>
            <w:vAlign w:val="center"/>
          </w:tcPr>
          <w:p>
            <w:pPr>
              <w:pStyle w:val="TableContents"/>
              <w:bidi w:val="0"/>
              <w:spacing w:before="0" w:after="283"/>
              <w:jc w:val="left"/>
              <w:rPr>
                <w:sz w:val="4"/>
                <w:szCs w:val="4"/>
              </w:rPr>
            </w:pPr>
            <w:r>
              <w:rPr>
                <w:sz w:val="4"/>
                <w:szCs w:val="4"/>
              </w:rPr>
            </w:r>
          </w:p>
        </w:tc>
      </w:tr>
      <w:tr>
        <w:trPr/>
        <w:tc>
          <w:tcPr>
            <w:tcW w:w="5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650 Madison Avenue, 3rd Floor</w:t>
            </w:r>
          </w:p>
        </w:tc>
      </w:tr>
      <w:tr>
        <w:trPr/>
        <w:tc>
          <w:tcPr>
            <w:tcW w:w="5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New York, New York</w:t>
            </w:r>
            <w:r>
              <w:rPr>
                <w:rFonts w:ascii="Times New Roman" w:hAnsi="Times New Roman"/>
                <w:color w:val="000000"/>
                <w:sz w:val="20"/>
              </w:rPr>
              <w:t xml:space="preserve"> </w:t>
            </w:r>
            <w:r>
              <w:rPr>
                <w:rFonts w:ascii="Times New Roman" w:hAnsi="Times New Roman"/>
                <w:b/>
                <w:color w:val="000000"/>
                <w:sz w:val="20"/>
              </w:rPr>
              <w:t>10022</w:t>
            </w:r>
          </w:p>
        </w:tc>
      </w:tr>
      <w:tr>
        <w:trPr/>
        <w:tc>
          <w:tcPr>
            <w:tcW w:w="5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 Including Zip Code)</w:t>
            </w:r>
          </w:p>
        </w:tc>
      </w:tr>
    </w:tbl>
    <w:tbl>
      <w:tblPr>
        <w:tblW w:w="4651" w:type="dxa"/>
        <w:jc w:val="left"/>
        <w:tblInd w:w="0" w:type="dxa"/>
        <w:tblLayout w:type="fixed"/>
        <w:tblCellMar>
          <w:top w:w="28" w:type="dxa"/>
          <w:left w:w="28" w:type="dxa"/>
          <w:bottom w:w="28" w:type="dxa"/>
          <w:right w:w="28" w:type="dxa"/>
        </w:tblCellMar>
      </w:tblPr>
      <w:tblGrid>
        <w:gridCol w:w="4651"/>
      </w:tblGrid>
      <w:tr>
        <w:trPr/>
        <w:tc>
          <w:tcPr>
            <w:tcW w:w="4651" w:type="dxa"/>
            <w:tcBorders/>
            <w:vAlign w:val="center"/>
          </w:tcPr>
          <w:p>
            <w:pPr>
              <w:pStyle w:val="TableContents"/>
              <w:bidi w:val="0"/>
              <w:spacing w:before="0" w:after="283"/>
              <w:jc w:val="left"/>
              <w:rPr>
                <w:sz w:val="4"/>
                <w:szCs w:val="4"/>
              </w:rPr>
            </w:pPr>
            <w:r>
              <w:rPr>
                <w:sz w:val="4"/>
                <w:szCs w:val="4"/>
              </w:rPr>
            </w:r>
          </w:p>
        </w:tc>
      </w:tr>
      <w:tr>
        <w:trPr/>
        <w:tc>
          <w:tcPr>
            <w:tcW w:w="4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(212) 891-2880</w:t>
            </w:r>
          </w:p>
        </w:tc>
      </w:tr>
      <w:tr>
        <w:trPr/>
        <w:tc>
          <w:tcPr>
            <w:tcW w:w="4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(Registrant’s Telephone Number, Including Area Code)</w:t>
            </w:r>
          </w:p>
        </w:tc>
      </w:tr>
    </w:tbl>
    <w:p>
      <w:pPr>
        <w:pStyle w:val="TextBody"/>
        <w:bidi w:val="0"/>
        <w:jc w:val="center"/>
        <w:rPr/>
      </w:pPr>
      <w:r>
        <w:rPr/>
        <w:t> </w:t>
      </w:r>
    </w:p>
    <w:tbl>
      <w:tblPr>
        <w:tblW w:w="7096" w:type="dxa"/>
        <w:jc w:val="left"/>
        <w:tblInd w:w="0" w:type="dxa"/>
        <w:tblLayout w:type="fixed"/>
        <w:tblCellMar>
          <w:top w:w="28" w:type="dxa"/>
          <w:left w:w="28" w:type="dxa"/>
          <w:bottom w:w="28" w:type="dxa"/>
          <w:right w:w="28" w:type="dxa"/>
        </w:tblCellMar>
      </w:tblPr>
      <w:tblGrid>
        <w:gridCol w:w="7096"/>
      </w:tblGrid>
      <w:tr>
        <w:trPr/>
        <w:tc>
          <w:tcPr>
            <w:tcW w:w="7096" w:type="dxa"/>
            <w:tcBorders/>
            <w:vAlign w:val="center"/>
          </w:tcPr>
          <w:p>
            <w:pPr>
              <w:pStyle w:val="TableContents"/>
              <w:bidi w:val="0"/>
              <w:spacing w:before="0" w:after="283"/>
              <w:jc w:val="left"/>
              <w:rPr>
                <w:sz w:val="4"/>
                <w:szCs w:val="4"/>
              </w:rPr>
            </w:pPr>
            <w:r>
              <w:rPr>
                <w:sz w:val="4"/>
                <w:szCs w:val="4"/>
              </w:rPr>
            </w:r>
          </w:p>
        </w:tc>
      </w:tr>
      <w:tr>
        <w:trPr/>
        <w:tc>
          <w:tcPr>
            <w:tcW w:w="7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r>
        <w:trPr/>
        <w:tc>
          <w:tcPr>
            <w:tcW w:w="7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(Former Name, Former Address and Former Fiscal Year, if Changed Since Last Report)</w:t>
            </w:r>
          </w:p>
        </w:tc>
      </w:tr>
    </w:tbl>
    <w:p>
      <w:pPr>
        <w:pStyle w:val="TextBody"/>
        <w:bidi w:val="0"/>
        <w:jc w:val="center"/>
        <w:rPr/>
      </w:pPr>
      <w:r>
        <w:rPr/>
        <w:t> </w:t>
      </w:r>
    </w:p>
    <w:p>
      <w:pPr>
        <w:pStyle w:val="TextBody"/>
        <w:bidi w:val="0"/>
        <w:jc w:val="center"/>
        <w:rPr>
          <w:rFonts w:ascii="Times New Roman" w:hAnsi="Times New Roman"/>
          <w:b/>
          <w:color w:val="000000"/>
          <w:sz w:val="17"/>
        </w:rPr>
      </w:pPr>
      <w:r>
        <w:rPr>
          <w:rFonts w:ascii="Times New Roman" w:hAnsi="Times New Roman"/>
          <w:b/>
          <w:color w:val="000000"/>
          <w:sz w:val="17"/>
        </w:rPr>
        <w:t>Securities registered pursuant to Section 12(b) of the Act:</w:t>
      </w:r>
    </w:p>
    <w:tbl>
      <w:tblPr>
        <w:tblW w:w="7526" w:type="dxa"/>
        <w:jc w:val="left"/>
        <w:tblInd w:w="0" w:type="dxa"/>
        <w:tblLayout w:type="fixed"/>
        <w:tblCellMar>
          <w:top w:w="28" w:type="dxa"/>
          <w:left w:w="28" w:type="dxa"/>
          <w:bottom w:w="28" w:type="dxa"/>
          <w:right w:w="28" w:type="dxa"/>
        </w:tblCellMar>
      </w:tblPr>
      <w:tblGrid>
        <w:gridCol w:w="3181"/>
        <w:gridCol w:w="109"/>
        <w:gridCol w:w="1426"/>
        <w:gridCol w:w="109"/>
        <w:gridCol w:w="2701"/>
      </w:tblGrid>
      <w:tr>
        <w:trPr/>
        <w:tc>
          <w:tcPr>
            <w:tcW w:w="3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18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Title of Each 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Trading symbol(s)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0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7"/>
              </w:rPr>
            </w:pPr>
            <w:r>
              <w:rPr>
                <w:rFonts w:ascii="Times New Roman" w:hAnsi="Times New Roman"/>
                <w:b/>
                <w:color w:val="000000"/>
                <w:sz w:val="17"/>
              </w:rPr>
              <w:t xml:space="preserve">Name of Each Exchange on Which </w:t>
            </w:r>
            <w:r>
              <w:rPr>
                <w:rFonts w:ascii="Times New Roman" w:hAnsi="Times New Roman"/>
                <w:color w:val="000000"/>
                <w:sz w:val="17"/>
              </w:rPr>
              <w:br/>
            </w:r>
            <w:r>
              <w:rPr>
                <w:rFonts w:ascii="Times New Roman" w:hAnsi="Times New Roman"/>
                <w:b/>
                <w:color w:val="000000"/>
                <w:sz w:val="17"/>
              </w:rPr>
              <w:t>Registered</w:t>
            </w:r>
          </w:p>
        </w:tc>
      </w:tr>
      <w:tr>
        <w:trPr/>
        <w:tc>
          <w:tcPr>
            <w:tcW w:w="3181" w:type="dxa"/>
            <w:tcBorders/>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Common Stock, par value $0.01 per share</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LRFC</w:t>
            </w:r>
          </w:p>
        </w:tc>
        <w:tc>
          <w:tcPr>
            <w:tcW w:w="109"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NASDAQ Global Select Market</w:t>
            </w:r>
          </w:p>
        </w:tc>
      </w:tr>
    </w:tbl>
    <w:p>
      <w:pPr>
        <w:pStyle w:val="TextBody"/>
        <w:bidi w:val="0"/>
        <w:jc w:val="both"/>
        <w:rPr>
          <w:rFonts w:ascii="Times New Roman" w:hAnsi="Times New Roman"/>
          <w:color w:val="000000"/>
          <w:sz w:val="16"/>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bl>
      <w:tblPr>
        <w:tblW w:w="1375" w:type="dxa"/>
        <w:jc w:val="left"/>
        <w:tblInd w:w="0" w:type="dxa"/>
        <w:tblLayout w:type="fixed"/>
        <w:tblCellMar>
          <w:top w:w="28" w:type="dxa"/>
          <w:left w:w="28" w:type="dxa"/>
          <w:bottom w:w="28" w:type="dxa"/>
          <w:right w:w="28" w:type="dxa"/>
        </w:tblCellMar>
      </w:tblPr>
      <w:tblGrid>
        <w:gridCol w:w="124"/>
        <w:gridCol w:w="109"/>
        <w:gridCol w:w="586"/>
        <w:gridCol w:w="5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Yes </w:t>
            </w:r>
            <w:r>
              <w:rPr>
                <w:rFonts w:ascii="Wingdings;serif" w:hAnsi="Wingdings;serif"/>
                <w:color w:val="000000"/>
                <w:sz w:val="16"/>
              </w:rPr>
              <w:t>x</w:t>
            </w:r>
          </w:p>
        </w:tc>
        <w:tc>
          <w:tcPr>
            <w:tcW w:w="55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 ☐</w:t>
            </w:r>
          </w:p>
        </w:tc>
      </w:tr>
    </w:tbl>
    <w:p>
      <w:pPr>
        <w:pStyle w:val="TextBody"/>
        <w:bidi w:val="0"/>
        <w:jc w:val="both"/>
        <w:rPr>
          <w:rFonts w:ascii="Times New Roman" w:hAnsi="Times New Roman"/>
          <w:color w:val="000000"/>
          <w:sz w:val="16"/>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bl>
      <w:tblPr>
        <w:tblW w:w="1375" w:type="dxa"/>
        <w:jc w:val="left"/>
        <w:tblInd w:w="0" w:type="dxa"/>
        <w:tblLayout w:type="fixed"/>
        <w:tblCellMar>
          <w:top w:w="28" w:type="dxa"/>
          <w:left w:w="28" w:type="dxa"/>
          <w:bottom w:w="28" w:type="dxa"/>
          <w:right w:w="28" w:type="dxa"/>
        </w:tblCellMar>
      </w:tblPr>
      <w:tblGrid>
        <w:gridCol w:w="124"/>
        <w:gridCol w:w="109"/>
        <w:gridCol w:w="586"/>
        <w:gridCol w:w="5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Yes </w:t>
            </w:r>
            <w:r>
              <w:rPr>
                <w:rFonts w:ascii="Wingdings;serif" w:hAnsi="Wingdings;serif"/>
                <w:color w:val="000000"/>
                <w:sz w:val="16"/>
              </w:rPr>
              <w:t>x</w:t>
            </w:r>
          </w:p>
        </w:tc>
        <w:tc>
          <w:tcPr>
            <w:tcW w:w="55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 ☐</w:t>
            </w:r>
          </w:p>
        </w:tc>
      </w:tr>
    </w:tbl>
    <w:p>
      <w:pPr>
        <w:pStyle w:val="TextBody"/>
        <w:bidi w:val="0"/>
        <w:jc w:val="both"/>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568" w:type="dxa"/>
        <w:jc w:val="left"/>
        <w:tblInd w:w="0" w:type="dxa"/>
        <w:tblLayout w:type="fixed"/>
        <w:tblCellMar>
          <w:top w:w="28" w:type="dxa"/>
          <w:left w:w="28" w:type="dxa"/>
          <w:bottom w:w="28" w:type="dxa"/>
          <w:right w:w="28" w:type="dxa"/>
        </w:tblCellMar>
      </w:tblPr>
      <w:tblGrid>
        <w:gridCol w:w="124"/>
        <w:gridCol w:w="1696"/>
        <w:gridCol w:w="316"/>
        <w:gridCol w:w="2071"/>
        <w:gridCol w:w="361"/>
      </w:tblGrid>
      <w:tr>
        <w:trPr/>
        <w:tc>
          <w:tcPr>
            <w:tcW w:w="124"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Large accelerated filer </w:t>
            </w:r>
          </w:p>
        </w:tc>
        <w:tc>
          <w:tcPr>
            <w:tcW w:w="316" w:type="dxa"/>
            <w:tcBorders/>
            <w:vAlign w:val="center"/>
          </w:tcPr>
          <w:p>
            <w:pPr>
              <w:pStyle w:val="TableContents"/>
              <w:bidi w:val="0"/>
              <w:spacing w:before="0" w:after="283"/>
              <w:jc w:val="left"/>
              <w:rPr>
                <w:color w:val="000000"/>
              </w:rPr>
            </w:pPr>
            <w:r>
              <w:rPr>
                <w:color w:val="000000"/>
              </w:rPr>
              <w:t>☐</w:t>
            </w:r>
          </w:p>
        </w:tc>
        <w:tc>
          <w:tcPr>
            <w:tcW w:w="207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vAlign w:val="center"/>
          </w:tcPr>
          <w:p>
            <w:pPr>
              <w:pStyle w:val="TableContents"/>
              <w:bidi w:val="0"/>
              <w:spacing w:before="0" w:after="283"/>
              <w:jc w:val="left"/>
              <w:rPr>
                <w:color w:val="000000"/>
              </w:rPr>
            </w:pPr>
            <w:r>
              <w:rPr>
                <w:color w:val="00000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vAlign w:val="center"/>
          </w:tcPr>
          <w:p>
            <w:pPr>
              <w:pStyle w:val="TableContents"/>
              <w:bidi w:val="0"/>
              <w:spacing w:before="0" w:after="283"/>
              <w:jc w:val="left"/>
              <w:rPr>
                <w:rFonts w:ascii="Wingdings;serif" w:hAnsi="Wingdings;serif"/>
                <w:color w:val="000000"/>
                <w:sz w:val="16"/>
              </w:rPr>
            </w:pPr>
            <w:r>
              <w:rPr>
                <w:rFonts w:ascii="Wingdings;serif" w:hAnsi="Wingdings;serif"/>
                <w:color w:val="000000"/>
                <w:sz w:val="16"/>
              </w:rPr>
              <w:t>x</w:t>
            </w:r>
          </w:p>
        </w:tc>
        <w:tc>
          <w:tcPr>
            <w:tcW w:w="207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vAlign w:val="center"/>
          </w:tcPr>
          <w:p>
            <w:pPr>
              <w:pStyle w:val="TableContents"/>
              <w:bidi w:val="0"/>
              <w:spacing w:before="0" w:after="283"/>
              <w:jc w:val="left"/>
              <w:rPr>
                <w:color w:val="000000"/>
              </w:rPr>
            </w:pPr>
            <w:r>
              <w:rPr>
                <w:color w:val="00000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Emerging growth company </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jc w:val="both"/>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both"/>
        <w:rPr>
          <w:rFonts w:ascii="Times New Roman" w:hAnsi="Times New Roman"/>
          <w:color w:val="000000"/>
          <w:sz w:val="16"/>
        </w:rPr>
      </w:pPr>
      <w:r>
        <w:rPr>
          <w:rFonts w:ascii="Times New Roman" w:hAnsi="Times New Roman"/>
          <w:color w:val="000000"/>
          <w:sz w:val="16"/>
        </w:rPr>
        <w:t>Indicate by check mark whether the registrant is a shell company (as defined in Rule 12b-2 of the Exchange Act).</w:t>
      </w:r>
    </w:p>
    <w:tbl>
      <w:tblPr>
        <w:tblW w:w="1375" w:type="dxa"/>
        <w:jc w:val="left"/>
        <w:tblInd w:w="0" w:type="dxa"/>
        <w:tblLayout w:type="fixed"/>
        <w:tblCellMar>
          <w:top w:w="28" w:type="dxa"/>
          <w:left w:w="28" w:type="dxa"/>
          <w:bottom w:w="28" w:type="dxa"/>
          <w:right w:w="28" w:type="dxa"/>
        </w:tblCellMar>
      </w:tblPr>
      <w:tblGrid>
        <w:gridCol w:w="124"/>
        <w:gridCol w:w="109"/>
        <w:gridCol w:w="556"/>
        <w:gridCol w:w="5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Yes ☐</w:t>
            </w:r>
          </w:p>
        </w:tc>
        <w:tc>
          <w:tcPr>
            <w:tcW w:w="586" w:type="dxa"/>
            <w:tcBorders/>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No </w:t>
            </w:r>
            <w:r>
              <w:rPr>
                <w:rFonts w:ascii="Wingdings;serif" w:hAnsi="Wingdings;serif"/>
                <w:color w:val="000000"/>
                <w:sz w:val="16"/>
              </w:rPr>
              <w:t>x</w:t>
            </w:r>
          </w:p>
        </w:tc>
      </w:tr>
    </w:tbl>
    <w:p>
      <w:pPr>
        <w:pStyle w:val="TextBody"/>
        <w:bidi w:val="0"/>
        <w:jc w:val="both"/>
        <w:rPr>
          <w:rFonts w:ascii="Times New Roman" w:hAnsi="Times New Roman"/>
          <w:sz w:val="20"/>
        </w:rPr>
      </w:pPr>
      <w:r>
        <w:rPr>
          <w:rFonts w:ascii="Times New Roman" w:hAnsi="Times New Roman"/>
          <w:color w:val="000000"/>
          <w:sz w:val="16"/>
        </w:rPr>
        <w:t>The number of shares of Logan Ridge Finance Corporation’s common stock, $0.01 par value, outstanding as of August 5, 2024 was</w:t>
      </w:r>
      <w:r>
        <w:rPr>
          <w:rFonts w:ascii="Times New Roman" w:hAnsi="Times New Roman"/>
          <w:color w:val="000000"/>
          <w:sz w:val="20"/>
        </w:rPr>
        <w:t xml:space="preserve"> </w:t>
      </w:r>
      <w:r>
        <w:rPr>
          <w:rFonts w:ascii="Times New Roman" w:hAnsi="Times New Roman"/>
          <w:color w:val="000000"/>
          <w:sz w:val="16"/>
        </w:rPr>
        <w:t>2,676,062.</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TABLE OF CONTENTS</w:t>
      </w:r>
    </w:p>
    <w:tbl>
      <w:tblPr>
        <w:tblW w:w="9888" w:type="dxa"/>
        <w:jc w:val="left"/>
        <w:tblInd w:w="0" w:type="dxa"/>
        <w:tblLayout w:type="fixed"/>
        <w:tblCellMar>
          <w:top w:w="28" w:type="dxa"/>
          <w:left w:w="28" w:type="dxa"/>
          <w:bottom w:w="28" w:type="dxa"/>
          <w:right w:w="28" w:type="dxa"/>
        </w:tblCellMar>
      </w:tblPr>
      <w:tblGrid>
        <w:gridCol w:w="781"/>
        <w:gridCol w:w="8596"/>
        <w:gridCol w:w="511"/>
      </w:tblGrid>
      <w:tr>
        <w:trPr/>
        <w:tc>
          <w:tcPr>
            <w:tcW w:w="781" w:type="dxa"/>
            <w:tcBorders/>
            <w:vAlign w:val="center"/>
          </w:tcPr>
          <w:p>
            <w:pPr>
              <w:pStyle w:val="TableContents"/>
              <w:bidi w:val="0"/>
              <w:spacing w:before="0" w:after="283"/>
              <w:jc w:val="left"/>
              <w:rPr>
                <w:sz w:val="4"/>
                <w:szCs w:val="4"/>
              </w:rPr>
            </w:pPr>
            <w:r>
              <w:rPr>
                <w:sz w:val="4"/>
                <w:szCs w:val="4"/>
              </w:rPr>
            </w:r>
          </w:p>
        </w:tc>
        <w:tc>
          <w:tcPr>
            <w:tcW w:w="85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781" w:type="dxa"/>
            <w:tcBorders/>
            <w:vAlign w:val="center"/>
          </w:tcPr>
          <w:p>
            <w:pPr>
              <w:pStyle w:val="TableContents"/>
              <w:bidi w:val="0"/>
              <w:spacing w:before="0" w:after="283"/>
              <w:jc w:val="left"/>
              <w:rPr>
                <w:sz w:val="4"/>
                <w:szCs w:val="4"/>
              </w:rPr>
            </w:pPr>
            <w:r>
              <w:rPr>
                <w:sz w:val="4"/>
                <w:szCs w:val="4"/>
              </w:rPr>
            </w:r>
          </w:p>
        </w:tc>
        <w:tc>
          <w:tcPr>
            <w:tcW w:w="8596" w:type="dxa"/>
            <w:tcBorders/>
            <w:vAlign w:val="center"/>
          </w:tcPr>
          <w:p>
            <w:pPr>
              <w:pStyle w:val="TableContents"/>
              <w:bidi w:val="0"/>
              <w:spacing w:before="0" w:after="283"/>
              <w:jc w:val="left"/>
              <w:rPr>
                <w:sz w:val="4"/>
                <w:szCs w:val="4"/>
              </w:rPr>
            </w:pPr>
            <w:r>
              <w:rPr>
                <w:sz w:val="4"/>
                <w:szCs w:val="4"/>
              </w:rPr>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781" w:type="dxa"/>
            <w:tcBorders/>
            <w:shd w:fill="CCEEFF" w:val="cle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16"/>
                  <w:u w:val="single"/>
                </w:rPr>
                <w:t>PART I.</w:t>
              </w:r>
            </w:hyperlink>
          </w:p>
        </w:tc>
        <w:tc>
          <w:tcPr>
            <w:tcW w:w="8596" w:type="dxa"/>
            <w:tcBorders/>
            <w:shd w:fill="CCEEFF" w:val="cle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16"/>
                  <w:u w:val="single"/>
                </w:rPr>
                <w:t>FINANCIAL INFORMATION</w:t>
              </w:r>
            </w:hyperlink>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r>
      <w:tr>
        <w:trPr/>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859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r>
      <w:tr>
        <w:trPr/>
        <w:tc>
          <w:tcPr>
            <w:tcW w:w="781"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Item 1.</w:t>
            </w:r>
          </w:p>
        </w:tc>
        <w:tc>
          <w:tcPr>
            <w:tcW w:w="8596" w:type="dxa"/>
            <w:tcBorders/>
            <w:shd w:fill="CCEEFF" w:val="clear"/>
            <w:vAlign w:val="center"/>
          </w:tcPr>
          <w:p>
            <w:pPr>
              <w:pStyle w:val="TableContents"/>
              <w:bidi w:val="0"/>
              <w:spacing w:before="0" w:after="283"/>
              <w:jc w:val="left"/>
              <w:rPr/>
            </w:pPr>
            <w:hyperlink w:anchor="consolidated_financial_statements">
              <w:r>
                <w:rPr>
                  <w:rStyle w:val="InternetLink"/>
                  <w:rFonts w:ascii="Times New Roman" w:hAnsi="Times New Roman"/>
                  <w:color w:val="0000FF"/>
                  <w:sz w:val="16"/>
                  <w:u w:val="single"/>
                </w:rPr>
                <w:t>Financial Statements</w:t>
              </w:r>
            </w:hyperlink>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r>
      <w:tr>
        <w:trPr/>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859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r>
      <w:tr>
        <w:trPr/>
        <w:tc>
          <w:tcPr>
            <w:tcW w:w="781" w:type="dxa"/>
            <w:tcBorders/>
            <w:shd w:fill="CCEEFF" w:val="clear"/>
            <w:vAlign w:val="center"/>
          </w:tcPr>
          <w:p>
            <w:pPr>
              <w:pStyle w:val="TableContents"/>
              <w:bidi w:val="0"/>
              <w:spacing w:before="0" w:after="283"/>
              <w:ind w:left="0" w:right="0" w:firstLine="187"/>
              <w:jc w:val="left"/>
              <w:rPr>
                <w:sz w:val="4"/>
                <w:szCs w:val="4"/>
              </w:rPr>
            </w:pPr>
            <w:r>
              <w:rPr>
                <w:sz w:val="4"/>
                <w:szCs w:val="4"/>
              </w:rPr>
            </w:r>
          </w:p>
        </w:tc>
        <w:tc>
          <w:tcPr>
            <w:tcW w:w="8596" w:type="dxa"/>
            <w:tcBorders/>
            <w:shd w:fill="CCEEFF" w:val="clear"/>
            <w:vAlign w:val="center"/>
          </w:tcPr>
          <w:p>
            <w:pPr>
              <w:pStyle w:val="TableContents"/>
              <w:pBdr/>
              <w:bidi w:val="0"/>
              <w:spacing w:before="0" w:after="283"/>
              <w:ind w:left="0" w:right="0" w:hanging="187"/>
              <w:jc w:val="left"/>
              <w:rPr/>
            </w:pPr>
            <w:hyperlink w:anchor="statements_of_assets_and_liabilities">
              <w:r>
                <w:rPr>
                  <w:rStyle w:val="InternetLink"/>
                  <w:rFonts w:ascii="Times New Roman" w:hAnsi="Times New Roman"/>
                  <w:color w:val="0000FF"/>
                  <w:sz w:val="16"/>
                  <w:u w:val="single"/>
                </w:rPr>
                <w:t>Consolidated Statements of Assets and Liabilities as of June 30, 2024 (unaudited) and December 31, 2023</w:t>
              </w:r>
            </w:hyperlink>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r>
      <w:tr>
        <w:trPr/>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859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r>
      <w:tr>
        <w:trPr/>
        <w:tc>
          <w:tcPr>
            <w:tcW w:w="781" w:type="dxa"/>
            <w:tcBorders/>
            <w:shd w:fill="CCEEFF" w:val="clear"/>
            <w:vAlign w:val="center"/>
          </w:tcPr>
          <w:p>
            <w:pPr>
              <w:pStyle w:val="TableContents"/>
              <w:bidi w:val="0"/>
              <w:spacing w:before="0" w:after="283"/>
              <w:ind w:left="0" w:right="0" w:firstLine="187"/>
              <w:jc w:val="left"/>
              <w:rPr>
                <w:sz w:val="4"/>
                <w:szCs w:val="4"/>
              </w:rPr>
            </w:pPr>
            <w:r>
              <w:rPr>
                <w:sz w:val="4"/>
                <w:szCs w:val="4"/>
              </w:rPr>
            </w:r>
          </w:p>
        </w:tc>
        <w:tc>
          <w:tcPr>
            <w:tcW w:w="8596" w:type="dxa"/>
            <w:tcBorders/>
            <w:shd w:fill="CCEEFF" w:val="clear"/>
            <w:vAlign w:val="center"/>
          </w:tcPr>
          <w:p>
            <w:pPr>
              <w:pStyle w:val="TableContents"/>
              <w:pBdr/>
              <w:bidi w:val="0"/>
              <w:spacing w:before="0" w:after="283"/>
              <w:ind w:left="0" w:right="0" w:hanging="187"/>
              <w:jc w:val="left"/>
              <w:rPr/>
            </w:pPr>
            <w:hyperlink w:anchor="statements_of_operations">
              <w:r>
                <w:rPr>
                  <w:rStyle w:val="InternetLink"/>
                  <w:rFonts w:ascii="Times New Roman" w:hAnsi="Times New Roman"/>
                  <w:color w:val="0000FF"/>
                  <w:sz w:val="16"/>
                  <w:u w:val="single"/>
                </w:rPr>
                <w:t>Consolidated Statements of Operations for the three and six months ended June 30, 2024 and 2023 (unaudited)</w:t>
              </w:r>
            </w:hyperlink>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r>
      <w:tr>
        <w:trPr/>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859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r>
      <w:tr>
        <w:trPr/>
        <w:tc>
          <w:tcPr>
            <w:tcW w:w="781" w:type="dxa"/>
            <w:tcBorders/>
            <w:shd w:fill="CCEEFF" w:val="clear"/>
            <w:vAlign w:val="center"/>
          </w:tcPr>
          <w:p>
            <w:pPr>
              <w:pStyle w:val="TableContents"/>
              <w:bidi w:val="0"/>
              <w:spacing w:before="0" w:after="283"/>
              <w:ind w:left="0" w:right="0" w:firstLine="187"/>
              <w:jc w:val="left"/>
              <w:rPr>
                <w:sz w:val="4"/>
                <w:szCs w:val="4"/>
              </w:rPr>
            </w:pPr>
            <w:r>
              <w:rPr>
                <w:sz w:val="4"/>
                <w:szCs w:val="4"/>
              </w:rPr>
            </w:r>
          </w:p>
        </w:tc>
        <w:tc>
          <w:tcPr>
            <w:tcW w:w="8596" w:type="dxa"/>
            <w:tcBorders/>
            <w:shd w:fill="CCEEFF" w:val="clear"/>
            <w:vAlign w:val="center"/>
          </w:tcPr>
          <w:p>
            <w:pPr>
              <w:pStyle w:val="TableContents"/>
              <w:pBdr/>
              <w:bidi w:val="0"/>
              <w:spacing w:before="0" w:after="283"/>
              <w:ind w:left="0" w:right="0" w:hanging="187"/>
              <w:jc w:val="left"/>
              <w:rPr/>
            </w:pPr>
            <w:hyperlink w:anchor="statements_of_changes_in_net_assets">
              <w:r>
                <w:rPr>
                  <w:rStyle w:val="InternetLink"/>
                  <w:rFonts w:ascii="Times New Roman" w:hAnsi="Times New Roman"/>
                  <w:color w:val="0000FF"/>
                  <w:sz w:val="16"/>
                  <w:u w:val="single"/>
                </w:rPr>
                <w:t>Consolidated Statements of Changes in Net Assets for the three and six months ended June 30, 2024 and 2023 (unaudited)</w:t>
              </w:r>
            </w:hyperlink>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r>
      <w:tr>
        <w:trPr/>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859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r>
      <w:tr>
        <w:trPr/>
        <w:tc>
          <w:tcPr>
            <w:tcW w:w="781" w:type="dxa"/>
            <w:tcBorders/>
            <w:shd w:fill="CCEEFF" w:val="clear"/>
            <w:vAlign w:val="center"/>
          </w:tcPr>
          <w:p>
            <w:pPr>
              <w:pStyle w:val="TableContents"/>
              <w:bidi w:val="0"/>
              <w:spacing w:before="0" w:after="283"/>
              <w:ind w:left="0" w:right="0" w:firstLine="187"/>
              <w:jc w:val="left"/>
              <w:rPr>
                <w:sz w:val="4"/>
                <w:szCs w:val="4"/>
              </w:rPr>
            </w:pPr>
            <w:r>
              <w:rPr>
                <w:sz w:val="4"/>
                <w:szCs w:val="4"/>
              </w:rPr>
            </w:r>
          </w:p>
        </w:tc>
        <w:tc>
          <w:tcPr>
            <w:tcW w:w="8596" w:type="dxa"/>
            <w:tcBorders/>
            <w:shd w:fill="CCEEFF" w:val="clear"/>
            <w:vAlign w:val="center"/>
          </w:tcPr>
          <w:p>
            <w:pPr>
              <w:pStyle w:val="TableContents"/>
              <w:pBdr/>
              <w:bidi w:val="0"/>
              <w:spacing w:before="0" w:after="283"/>
              <w:ind w:left="0" w:right="0" w:hanging="187"/>
              <w:jc w:val="left"/>
              <w:rPr/>
            </w:pPr>
            <w:hyperlink w:anchor="statements_of_cash_flows">
              <w:r>
                <w:rPr>
                  <w:rStyle w:val="InternetLink"/>
                  <w:rFonts w:ascii="Times New Roman" w:hAnsi="Times New Roman"/>
                  <w:color w:val="0000FF"/>
                  <w:sz w:val="16"/>
                  <w:u w:val="single"/>
                </w:rPr>
                <w:t>Consolidated Statements of Cash Flows for the six months ended June 30, 2024 and 2023 (unaudited)</w:t>
              </w:r>
            </w:hyperlink>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r>
      <w:tr>
        <w:trPr/>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859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r>
      <w:tr>
        <w:trPr/>
        <w:tc>
          <w:tcPr>
            <w:tcW w:w="781" w:type="dxa"/>
            <w:tcBorders/>
            <w:shd w:fill="CCEEFF" w:val="clear"/>
            <w:vAlign w:val="center"/>
          </w:tcPr>
          <w:p>
            <w:pPr>
              <w:pStyle w:val="TableContents"/>
              <w:bidi w:val="0"/>
              <w:spacing w:before="0" w:after="283"/>
              <w:ind w:left="0" w:right="0" w:firstLine="187"/>
              <w:jc w:val="left"/>
              <w:rPr>
                <w:sz w:val="4"/>
                <w:szCs w:val="4"/>
              </w:rPr>
            </w:pPr>
            <w:r>
              <w:rPr>
                <w:sz w:val="4"/>
                <w:szCs w:val="4"/>
              </w:rPr>
            </w:r>
          </w:p>
        </w:tc>
        <w:tc>
          <w:tcPr>
            <w:tcW w:w="8596" w:type="dxa"/>
            <w:tcBorders/>
            <w:shd w:fill="CCEEFF" w:val="clear"/>
            <w:vAlign w:val="center"/>
          </w:tcPr>
          <w:p>
            <w:pPr>
              <w:pStyle w:val="TableContents"/>
              <w:pBdr/>
              <w:bidi w:val="0"/>
              <w:spacing w:before="0" w:after="283"/>
              <w:ind w:left="0" w:right="0" w:hanging="187"/>
              <w:jc w:val="left"/>
              <w:rPr/>
            </w:pPr>
            <w:hyperlink w:anchor="schedule_of_investments">
              <w:r>
                <w:rPr>
                  <w:rStyle w:val="InternetLink"/>
                  <w:rFonts w:ascii="Times New Roman" w:hAnsi="Times New Roman"/>
                  <w:color w:val="0000FF"/>
                  <w:sz w:val="16"/>
                  <w:u w:val="single"/>
                </w:rPr>
                <w:t>Consolidated Schedules of Investments as of June 30, 2024 (unaudited) and December 31, 2023</w:t>
              </w:r>
            </w:hyperlink>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r>
      <w:tr>
        <w:trPr/>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859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r>
      <w:tr>
        <w:trPr/>
        <w:tc>
          <w:tcPr>
            <w:tcW w:w="781" w:type="dxa"/>
            <w:tcBorders/>
            <w:shd w:fill="CCEEFF" w:val="clear"/>
            <w:vAlign w:val="center"/>
          </w:tcPr>
          <w:p>
            <w:pPr>
              <w:pStyle w:val="TableContents"/>
              <w:bidi w:val="0"/>
              <w:spacing w:before="0" w:after="283"/>
              <w:ind w:left="0" w:right="0" w:firstLine="187"/>
              <w:jc w:val="left"/>
              <w:rPr>
                <w:sz w:val="4"/>
                <w:szCs w:val="4"/>
              </w:rPr>
            </w:pPr>
            <w:r>
              <w:rPr>
                <w:sz w:val="4"/>
                <w:szCs w:val="4"/>
              </w:rPr>
            </w:r>
          </w:p>
        </w:tc>
        <w:tc>
          <w:tcPr>
            <w:tcW w:w="8596" w:type="dxa"/>
            <w:tcBorders/>
            <w:shd w:fill="CCEEFF" w:val="clear"/>
            <w:vAlign w:val="center"/>
          </w:tcPr>
          <w:p>
            <w:pPr>
              <w:pStyle w:val="TableContents"/>
              <w:pBdr/>
              <w:bidi w:val="0"/>
              <w:spacing w:before="0" w:after="283"/>
              <w:ind w:left="0" w:right="0" w:hanging="187"/>
              <w:jc w:val="left"/>
              <w:rPr/>
            </w:pPr>
            <w:hyperlink w:anchor="notes_to_consolidated_financial">
              <w:r>
                <w:rPr>
                  <w:rStyle w:val="InternetLink"/>
                  <w:rFonts w:ascii="Times New Roman" w:hAnsi="Times New Roman"/>
                  <w:color w:val="0000FF"/>
                  <w:sz w:val="16"/>
                  <w:u w:val="single"/>
                </w:rPr>
                <w:t>Notes to Consolidated Financial Statements as of and for the period ended June 30, 2024 (unaudited)</w:t>
              </w:r>
            </w:hyperlink>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r>
      <w:tr>
        <w:trPr/>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859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r>
      <w:tr>
        <w:trPr/>
        <w:tc>
          <w:tcPr>
            <w:tcW w:w="781" w:type="dxa"/>
            <w:tcBorders/>
            <w:shd w:fill="CCEEFF" w:val="clear"/>
            <w:vAlign w:val="center"/>
          </w:tcPr>
          <w:p>
            <w:pPr>
              <w:pStyle w:val="TableContents"/>
              <w:bidi w:val="0"/>
              <w:spacing w:before="0" w:after="283"/>
              <w:jc w:val="left"/>
              <w:rPr/>
            </w:pPr>
            <w:hyperlink w:anchor="item_2_management_discussion">
              <w:r>
                <w:rPr>
                  <w:rStyle w:val="InternetLink"/>
                  <w:rFonts w:ascii="Times New Roman" w:hAnsi="Times New Roman"/>
                  <w:color w:val="0000FF"/>
                  <w:sz w:val="16"/>
                  <w:u w:val="single"/>
                </w:rPr>
                <w:t>Item 2.</w:t>
              </w:r>
            </w:hyperlink>
          </w:p>
        </w:tc>
        <w:tc>
          <w:tcPr>
            <w:tcW w:w="8596" w:type="dxa"/>
            <w:tcBorders/>
            <w:shd w:fill="CCEEFF" w:val="clear"/>
            <w:vAlign w:val="center"/>
          </w:tcPr>
          <w:p>
            <w:pPr>
              <w:pStyle w:val="TableContents"/>
              <w:bidi w:val="0"/>
              <w:spacing w:before="0" w:after="283"/>
              <w:jc w:val="left"/>
              <w:rPr/>
            </w:pPr>
            <w:hyperlink w:anchor="item_2_management_discussion">
              <w:r>
                <w:rPr>
                  <w:rStyle w:val="InternetLink"/>
                  <w:rFonts w:ascii="Times New Roman" w:hAnsi="Times New Roman"/>
                  <w:color w:val="0000FF"/>
                  <w:sz w:val="16"/>
                  <w:u w:val="single"/>
                </w:rPr>
                <w:t>Management’s Discussion and Analysis of Financial Condition and Results of Operations</w:t>
              </w:r>
            </w:hyperlink>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r>
      <w:tr>
        <w:trPr/>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859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right"/>
              <w:rPr/>
            </w:pPr>
            <w:r>
              <w:rPr/>
              <w:t> </w:t>
            </w:r>
          </w:p>
        </w:tc>
      </w:tr>
      <w:tr>
        <w:trPr/>
        <w:tc>
          <w:tcPr>
            <w:tcW w:w="781" w:type="dxa"/>
            <w:tcBorders/>
            <w:shd w:fill="CCEEFF" w:val="cle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16"/>
                  <w:u w:val="single"/>
                </w:rPr>
                <w:t>Item 3.</w:t>
              </w:r>
            </w:hyperlink>
          </w:p>
        </w:tc>
        <w:tc>
          <w:tcPr>
            <w:tcW w:w="8596" w:type="dxa"/>
            <w:tcBorders/>
            <w:shd w:fill="CCEEFF" w:val="cle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16"/>
                  <w:u w:val="single"/>
                </w:rPr>
                <w:t>Quantitative and Qualitative Disclosures About Market Risk</w:t>
              </w:r>
            </w:hyperlink>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r>
      <w:tr>
        <w:trPr/>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859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right"/>
              <w:rPr/>
            </w:pPr>
            <w:r>
              <w:rPr/>
              <w:t> </w:t>
            </w:r>
          </w:p>
        </w:tc>
      </w:tr>
      <w:tr>
        <w:trPr/>
        <w:tc>
          <w:tcPr>
            <w:tcW w:w="781" w:type="dxa"/>
            <w:tcBorders/>
            <w:shd w:fill="CCEEFF" w:val="cle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16"/>
                  <w:u w:val="single"/>
                </w:rPr>
                <w:t>Item 4.</w:t>
              </w:r>
            </w:hyperlink>
          </w:p>
        </w:tc>
        <w:tc>
          <w:tcPr>
            <w:tcW w:w="8596" w:type="dxa"/>
            <w:tcBorders/>
            <w:shd w:fill="CCEEFF" w:val="cle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16"/>
                  <w:u w:val="single"/>
                </w:rPr>
                <w:t>Controls and Procedures</w:t>
              </w:r>
            </w:hyperlink>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r>
      <w:tr>
        <w:trPr/>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859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right"/>
              <w:rPr/>
            </w:pPr>
            <w:r>
              <w:rPr/>
              <w:t> </w:t>
            </w:r>
          </w:p>
        </w:tc>
      </w:tr>
      <w:tr>
        <w:trPr/>
        <w:tc>
          <w:tcPr>
            <w:tcW w:w="781" w:type="dxa"/>
            <w:tcBorders/>
            <w:shd w:fill="CCEEFF" w:val="clear"/>
            <w:vAlign w:val="center"/>
          </w:tcPr>
          <w:p>
            <w:pPr>
              <w:pStyle w:val="TableContents"/>
              <w:bidi w:val="0"/>
              <w:spacing w:before="0" w:after="283"/>
              <w:jc w:val="left"/>
              <w:rPr/>
            </w:pPr>
            <w:hyperlink w:anchor="part_ii_other_information">
              <w:r>
                <w:rPr>
                  <w:rStyle w:val="InternetLink"/>
                  <w:rFonts w:ascii="Times New Roman" w:hAnsi="Times New Roman"/>
                  <w:b/>
                  <w:color w:val="0000FF"/>
                  <w:sz w:val="16"/>
                  <w:u w:val="single"/>
                </w:rPr>
                <w:t>PART II.</w:t>
              </w:r>
            </w:hyperlink>
          </w:p>
        </w:tc>
        <w:tc>
          <w:tcPr>
            <w:tcW w:w="8596" w:type="dxa"/>
            <w:tcBorders/>
            <w:shd w:fill="CCEEFF" w:val="clear"/>
            <w:vAlign w:val="center"/>
          </w:tcPr>
          <w:p>
            <w:pPr>
              <w:pStyle w:val="TableContents"/>
              <w:bidi w:val="0"/>
              <w:spacing w:before="0" w:after="283"/>
              <w:jc w:val="left"/>
              <w:rPr/>
            </w:pPr>
            <w:hyperlink w:anchor="part_ii_other_information">
              <w:r>
                <w:rPr>
                  <w:rStyle w:val="InternetLink"/>
                  <w:rFonts w:ascii="Times New Roman" w:hAnsi="Times New Roman"/>
                  <w:b/>
                  <w:color w:val="0000FF"/>
                  <w:sz w:val="16"/>
                  <w:u w:val="single"/>
                </w:rPr>
                <w:t>OTHER INFORMATION</w:t>
              </w:r>
            </w:hyperlink>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r>
      <w:tr>
        <w:trPr/>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859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right"/>
              <w:rPr/>
            </w:pPr>
            <w:r>
              <w:rPr/>
              <w:t> </w:t>
            </w:r>
          </w:p>
        </w:tc>
      </w:tr>
      <w:tr>
        <w:trPr/>
        <w:tc>
          <w:tcPr>
            <w:tcW w:w="781" w:type="dxa"/>
            <w:tcBorders/>
            <w:shd w:fill="CCEEFF" w:val="clear"/>
            <w:vAlign w:val="center"/>
          </w:tcPr>
          <w:p>
            <w:pPr>
              <w:pStyle w:val="TableContents"/>
              <w:bidi w:val="0"/>
              <w:spacing w:before="0" w:after="283"/>
              <w:jc w:val="left"/>
              <w:rPr/>
            </w:pPr>
            <w:hyperlink w:anchor="item_1_legal_proceedings">
              <w:r>
                <w:rPr>
                  <w:rStyle w:val="InternetLink"/>
                  <w:rFonts w:ascii="Times New Roman" w:hAnsi="Times New Roman"/>
                  <w:color w:val="0000FF"/>
                  <w:sz w:val="16"/>
                  <w:u w:val="single"/>
                </w:rPr>
                <w:t>Item 1.</w:t>
              </w:r>
            </w:hyperlink>
          </w:p>
        </w:tc>
        <w:tc>
          <w:tcPr>
            <w:tcW w:w="8596" w:type="dxa"/>
            <w:tcBorders/>
            <w:shd w:fill="CCEEFF" w:val="clear"/>
            <w:vAlign w:val="center"/>
          </w:tcPr>
          <w:p>
            <w:pPr>
              <w:pStyle w:val="TableContents"/>
              <w:bidi w:val="0"/>
              <w:spacing w:before="0" w:after="283"/>
              <w:jc w:val="left"/>
              <w:rPr/>
            </w:pPr>
            <w:hyperlink w:anchor="item_1_legal_proceedings">
              <w:r>
                <w:rPr>
                  <w:rStyle w:val="InternetLink"/>
                  <w:rFonts w:ascii="Times New Roman" w:hAnsi="Times New Roman"/>
                  <w:color w:val="0000FF"/>
                  <w:sz w:val="16"/>
                  <w:u w:val="single"/>
                </w:rPr>
                <w:t>Legal Proceedings</w:t>
              </w:r>
            </w:hyperlink>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r>
      <w:tr>
        <w:trPr/>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859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right"/>
              <w:rPr/>
            </w:pPr>
            <w:r>
              <w:rPr/>
              <w:t> </w:t>
            </w:r>
          </w:p>
        </w:tc>
      </w:tr>
      <w:tr>
        <w:trPr/>
        <w:tc>
          <w:tcPr>
            <w:tcW w:w="781" w:type="dxa"/>
            <w:tcBorders/>
            <w:shd w:fill="CCEEFF" w:val="clear"/>
            <w:vAlign w:val="center"/>
          </w:tcPr>
          <w:p>
            <w:pPr>
              <w:pStyle w:val="TableContents"/>
              <w:bidi w:val="0"/>
              <w:spacing w:before="0" w:after="283"/>
              <w:jc w:val="left"/>
              <w:rPr/>
            </w:pPr>
            <w:hyperlink w:anchor="item_1a_risk_factors">
              <w:r>
                <w:rPr>
                  <w:rStyle w:val="InternetLink"/>
                  <w:rFonts w:ascii="Times New Roman" w:hAnsi="Times New Roman"/>
                  <w:color w:val="0000FF"/>
                  <w:sz w:val="16"/>
                  <w:u w:val="single"/>
                </w:rPr>
                <w:t>Item 1A.</w:t>
              </w:r>
            </w:hyperlink>
          </w:p>
        </w:tc>
        <w:tc>
          <w:tcPr>
            <w:tcW w:w="8596" w:type="dxa"/>
            <w:tcBorders/>
            <w:shd w:fill="CCEEFF" w:val="clear"/>
            <w:vAlign w:val="center"/>
          </w:tcPr>
          <w:p>
            <w:pPr>
              <w:pStyle w:val="TableContents"/>
              <w:bidi w:val="0"/>
              <w:spacing w:before="0" w:after="283"/>
              <w:jc w:val="left"/>
              <w:rPr/>
            </w:pPr>
            <w:hyperlink w:anchor="item_1a_risk_factors">
              <w:r>
                <w:rPr>
                  <w:rStyle w:val="InternetLink"/>
                  <w:rFonts w:ascii="Times New Roman" w:hAnsi="Times New Roman"/>
                  <w:color w:val="0000FF"/>
                  <w:sz w:val="16"/>
                  <w:u w:val="single"/>
                </w:rPr>
                <w:t>Risk Factors</w:t>
              </w:r>
            </w:hyperlink>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r>
      <w:tr>
        <w:trPr/>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859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right"/>
              <w:rPr/>
            </w:pPr>
            <w:r>
              <w:rPr/>
              <w:t> </w:t>
            </w:r>
          </w:p>
        </w:tc>
      </w:tr>
      <w:tr>
        <w:trPr/>
        <w:tc>
          <w:tcPr>
            <w:tcW w:w="781" w:type="dxa"/>
            <w:tcBorders/>
            <w:shd w:fill="CCEEFF" w:val="cle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16"/>
                  <w:u w:val="single"/>
                </w:rPr>
                <w:t>Item 2.</w:t>
              </w:r>
            </w:hyperlink>
          </w:p>
        </w:tc>
        <w:tc>
          <w:tcPr>
            <w:tcW w:w="8596" w:type="dxa"/>
            <w:tcBorders/>
            <w:shd w:fill="CCEEFF" w:val="cle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16"/>
                  <w:u w:val="single"/>
                </w:rPr>
                <w:t>Unregistered Sales of Equity Securities and Use of Proceeds</w:t>
              </w:r>
            </w:hyperlink>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r>
      <w:tr>
        <w:trPr/>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859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right"/>
              <w:rPr/>
            </w:pPr>
            <w:r>
              <w:rPr/>
              <w:t> </w:t>
            </w:r>
          </w:p>
        </w:tc>
      </w:tr>
      <w:tr>
        <w:trPr/>
        <w:tc>
          <w:tcPr>
            <w:tcW w:w="781" w:type="dxa"/>
            <w:tcBorders/>
            <w:shd w:fill="CCEEFF" w:val="cle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16"/>
                  <w:u w:val="single"/>
                </w:rPr>
                <w:t>Item 3.</w:t>
              </w:r>
            </w:hyperlink>
          </w:p>
        </w:tc>
        <w:tc>
          <w:tcPr>
            <w:tcW w:w="8596" w:type="dxa"/>
            <w:tcBorders/>
            <w:shd w:fill="CCEEFF" w:val="cle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16"/>
                  <w:u w:val="single"/>
                </w:rPr>
                <w:t>Defaults Upon Senior Securities</w:t>
              </w:r>
            </w:hyperlink>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r>
      <w:tr>
        <w:trPr/>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859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right"/>
              <w:rPr/>
            </w:pPr>
            <w:r>
              <w:rPr/>
              <w:t> </w:t>
            </w:r>
          </w:p>
        </w:tc>
      </w:tr>
      <w:tr>
        <w:trPr/>
        <w:tc>
          <w:tcPr>
            <w:tcW w:w="781" w:type="dxa"/>
            <w:tcBorders/>
            <w:shd w:fill="CCEEFF" w:val="cle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16"/>
                  <w:u w:val="single"/>
                </w:rPr>
                <w:t>Item 4.</w:t>
              </w:r>
            </w:hyperlink>
          </w:p>
        </w:tc>
        <w:tc>
          <w:tcPr>
            <w:tcW w:w="8596" w:type="dxa"/>
            <w:tcBorders/>
            <w:shd w:fill="CCEEFF" w:val="cle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16"/>
                  <w:u w:val="single"/>
                </w:rPr>
                <w:t>Mine Safety Disclosures</w:t>
              </w:r>
            </w:hyperlink>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r>
      <w:tr>
        <w:trPr/>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859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right"/>
              <w:rPr/>
            </w:pPr>
            <w:r>
              <w:rPr/>
              <w:t> </w:t>
            </w:r>
          </w:p>
        </w:tc>
      </w:tr>
      <w:tr>
        <w:trPr/>
        <w:tc>
          <w:tcPr>
            <w:tcW w:w="781" w:type="dxa"/>
            <w:tcBorders/>
            <w:shd w:fill="CCEEFF" w:val="clear"/>
            <w:vAlign w:val="center"/>
          </w:tcPr>
          <w:p>
            <w:pPr>
              <w:pStyle w:val="TableContents"/>
              <w:bidi w:val="0"/>
              <w:spacing w:before="0" w:after="283"/>
              <w:jc w:val="left"/>
              <w:rPr/>
            </w:pPr>
            <w:hyperlink w:anchor="item_5_other_information">
              <w:r>
                <w:rPr>
                  <w:rStyle w:val="InternetLink"/>
                  <w:rFonts w:ascii="Times New Roman" w:hAnsi="Times New Roman"/>
                  <w:color w:val="0000FF"/>
                  <w:sz w:val="16"/>
                  <w:u w:val="single"/>
                </w:rPr>
                <w:t>Item 5.</w:t>
              </w:r>
            </w:hyperlink>
          </w:p>
        </w:tc>
        <w:tc>
          <w:tcPr>
            <w:tcW w:w="8596" w:type="dxa"/>
            <w:tcBorders/>
            <w:shd w:fill="CCEEFF" w:val="clear"/>
            <w:vAlign w:val="center"/>
          </w:tcPr>
          <w:p>
            <w:pPr>
              <w:pStyle w:val="TableContents"/>
              <w:bidi w:val="0"/>
              <w:spacing w:before="0" w:after="283"/>
              <w:jc w:val="left"/>
              <w:rPr/>
            </w:pPr>
            <w:hyperlink w:anchor="item_5_other_information">
              <w:r>
                <w:rPr>
                  <w:rStyle w:val="InternetLink"/>
                  <w:rFonts w:ascii="Times New Roman" w:hAnsi="Times New Roman"/>
                  <w:color w:val="0000FF"/>
                  <w:sz w:val="16"/>
                  <w:u w:val="single"/>
                </w:rPr>
                <w:t>Other Information</w:t>
              </w:r>
            </w:hyperlink>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r>
      <w:tr>
        <w:trPr/>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859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right"/>
              <w:rPr/>
            </w:pPr>
            <w:r>
              <w:rPr/>
              <w:t> </w:t>
            </w:r>
          </w:p>
        </w:tc>
      </w:tr>
      <w:tr>
        <w:trPr/>
        <w:tc>
          <w:tcPr>
            <w:tcW w:w="781" w:type="dxa"/>
            <w:tcBorders/>
            <w:shd w:fill="CCEEFF" w:val="clear"/>
            <w:vAlign w:val="center"/>
          </w:tcPr>
          <w:p>
            <w:pPr>
              <w:pStyle w:val="TableContents"/>
              <w:bidi w:val="0"/>
              <w:spacing w:before="0" w:after="283"/>
              <w:jc w:val="left"/>
              <w:rPr/>
            </w:pPr>
            <w:hyperlink w:anchor="item_6_exhibits">
              <w:r>
                <w:rPr>
                  <w:rStyle w:val="InternetLink"/>
                  <w:rFonts w:ascii="Times New Roman" w:hAnsi="Times New Roman"/>
                  <w:color w:val="0000FF"/>
                  <w:sz w:val="16"/>
                  <w:u w:val="single"/>
                </w:rPr>
                <w:t>Item 6.</w:t>
              </w:r>
            </w:hyperlink>
          </w:p>
        </w:tc>
        <w:tc>
          <w:tcPr>
            <w:tcW w:w="8596" w:type="dxa"/>
            <w:tcBorders/>
            <w:shd w:fill="CCEEFF" w:val="clear"/>
            <w:vAlign w:val="center"/>
          </w:tcPr>
          <w:p>
            <w:pPr>
              <w:pStyle w:val="TableContents"/>
              <w:bidi w:val="0"/>
              <w:spacing w:before="0" w:after="283"/>
              <w:jc w:val="left"/>
              <w:rPr/>
            </w:pPr>
            <w:hyperlink w:anchor="item_6_exhibits">
              <w:r>
                <w:rPr>
                  <w:rStyle w:val="InternetLink"/>
                  <w:rFonts w:ascii="Times New Roman" w:hAnsi="Times New Roman"/>
                  <w:color w:val="0000FF"/>
                  <w:sz w:val="16"/>
                  <w:u w:val="single"/>
                </w:rPr>
                <w:t>Exhibits</w:t>
              </w:r>
            </w:hyperlink>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r>
      <w:tr>
        <w:trPr/>
        <w:tc>
          <w:tcPr>
            <w:tcW w:w="9377" w:type="dxa"/>
            <w:gridSpan w:val="2"/>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right"/>
              <w:rPr/>
            </w:pPr>
            <w:r>
              <w:rPr/>
              <w:t> </w:t>
            </w:r>
          </w:p>
        </w:tc>
      </w:tr>
      <w:tr>
        <w:trPr/>
        <w:tc>
          <w:tcPr>
            <w:tcW w:w="9377" w:type="dxa"/>
            <w:gridSpan w:val="2"/>
            <w:tcBorders/>
            <w:shd w:fill="CCEEFF" w:val="clear"/>
            <w:vAlign w:val="center"/>
          </w:tcPr>
          <w:p>
            <w:pPr>
              <w:pStyle w:val="TableContents"/>
              <w:bidi w:val="0"/>
              <w:spacing w:before="0" w:after="283"/>
              <w:jc w:val="left"/>
              <w:rPr/>
            </w:pPr>
            <w:hyperlink w:anchor="signatures">
              <w:r>
                <w:rPr>
                  <w:rStyle w:val="InternetLink"/>
                  <w:rFonts w:ascii="Times New Roman" w:hAnsi="Times New Roman"/>
                  <w:color w:val="0000FF"/>
                  <w:sz w:val="16"/>
                  <w:u w:val="single"/>
                </w:rPr>
                <w:t>Signatures</w:t>
              </w:r>
            </w:hyperlink>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bookmarkStart w:id="2" w:name="part_i_financial_information"/>
      <w:bookmarkEnd w:id="2"/>
      <w:r>
        <w:rPr>
          <w:rFonts w:ascii="Times New Roman" w:hAnsi="Times New Roman"/>
          <w:b/>
          <w:color w:val="000000"/>
          <w:sz w:val="16"/>
        </w:rPr>
        <w:t>PART I. FINANCIAL INFORMATION</w:t>
      </w:r>
    </w:p>
    <w:p>
      <w:pPr>
        <w:pStyle w:val="TextBody"/>
        <w:bidi w:val="0"/>
        <w:jc w:val="center"/>
        <w:rPr>
          <w:rFonts w:ascii="Times New Roman" w:hAnsi="Times New Roman"/>
          <w:b/>
          <w:color w:val="000000"/>
          <w:sz w:val="16"/>
        </w:rPr>
      </w:pPr>
      <w:r>
        <w:rPr>
          <w:rFonts w:ascii="Times New Roman" w:hAnsi="Times New Roman"/>
          <w:b/>
          <w:color w:val="000000"/>
          <w:sz w:val="16"/>
        </w:rPr>
        <w:t>Item 1. Financial Statements</w:t>
      </w:r>
    </w:p>
    <w:p>
      <w:pPr>
        <w:pStyle w:val="TextBody"/>
        <w:bidi w:val="0"/>
        <w:jc w:val="left"/>
        <w:rPr/>
      </w:pPr>
      <w:r>
        <w:rPr/>
        <w:t> </w:t>
      </w:r>
    </w:p>
    <w:p>
      <w:pPr>
        <w:pStyle w:val="TextBody"/>
        <w:bidi w:val="0"/>
        <w:jc w:val="center"/>
        <w:rPr>
          <w:rFonts w:ascii="Times New Roman" w:hAnsi="Times New Roman"/>
          <w:b/>
          <w:color w:val="000000"/>
          <w:sz w:val="16"/>
        </w:rPr>
      </w:pPr>
      <w:bookmarkStart w:id="3" w:name="consolidated_financial_statements"/>
      <w:bookmarkEnd w:id="3"/>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bookmarkStart w:id="4" w:name="statements_of_assets_and_liabilities"/>
      <w:bookmarkEnd w:id="4"/>
      <w:r>
        <w:rPr>
          <w:rFonts w:ascii="Times New Roman" w:hAnsi="Times New Roman"/>
          <w:b/>
          <w:color w:val="000000"/>
          <w:sz w:val="16"/>
        </w:rPr>
        <w:t>CONSOLIDATED STATEMENTS OF ASSETS AND LIABILITIES</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92"/>
        <w:gridCol w:w="146"/>
        <w:gridCol w:w="225"/>
        <w:gridCol w:w="796"/>
        <w:gridCol w:w="166"/>
        <w:gridCol w:w="146"/>
        <w:gridCol w:w="269"/>
        <w:gridCol w:w="952"/>
        <w:gridCol w:w="413"/>
      </w:tblGrid>
      <w:tr>
        <w:trPr/>
        <w:tc>
          <w:tcPr>
            <w:tcW w:w="7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709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br/>
              <w:t>2023</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9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21" w:type="dxa"/>
            <w:gridSpan w:val="2"/>
            <w:tcBorders/>
            <w:shd w:fill="FFFFFF" w:val="clear"/>
            <w:vAlign w:val="center"/>
          </w:tcPr>
          <w:p>
            <w:pPr>
              <w:pStyle w:val="TableContents"/>
              <w:bidi w:val="0"/>
              <w:spacing w:before="0" w:after="283"/>
              <w:jc w:val="center"/>
              <w:rPr/>
            </w:pPr>
            <w:r>
              <w:rPr/>
              <w:t> </w:t>
            </w:r>
          </w:p>
        </w:tc>
        <w:tc>
          <w:tcPr>
            <w:tcW w:w="413" w:type="dxa"/>
            <w:tcBorders/>
            <w:shd w:fill="FFFFFF" w:val="clear"/>
            <w:vAlign w:val="center"/>
          </w:tcPr>
          <w:p>
            <w:pPr>
              <w:pStyle w:val="TableContents"/>
              <w:bidi w:val="0"/>
              <w:spacing w:before="0" w:after="283"/>
              <w:jc w:val="center"/>
              <w:rPr/>
            </w:pPr>
            <w:r>
              <w:rPr/>
              <w:t> </w:t>
            </w:r>
          </w:p>
        </w:tc>
      </w:tr>
      <w:tr>
        <w:trPr/>
        <w:tc>
          <w:tcPr>
            <w:tcW w:w="7092" w:type="dxa"/>
            <w:tcBorders/>
            <w:shd w:fill="CC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ASSETS</w:t>
            </w:r>
          </w:p>
        </w:tc>
        <w:tc>
          <w:tcPr>
            <w:tcW w:w="146" w:type="dxa"/>
            <w:tcBorders/>
            <w:shd w:fill="CCF0FC" w:val="clear"/>
            <w:vAlign w:val="center"/>
          </w:tcPr>
          <w:p>
            <w:pPr>
              <w:pStyle w:val="TableContents"/>
              <w:bidi w:val="0"/>
              <w:spacing w:before="0" w:after="283"/>
              <w:jc w:val="left"/>
              <w:rPr/>
            </w:pPr>
            <w:r>
              <w:rPr/>
              <w:t> </w:t>
            </w:r>
          </w:p>
        </w:tc>
        <w:tc>
          <w:tcPr>
            <w:tcW w:w="1021" w:type="dxa"/>
            <w:gridSpan w:val="2"/>
            <w:tcBorders/>
            <w:shd w:fill="CCF0FC" w:val="clear"/>
            <w:vAlign w:val="center"/>
          </w:tcPr>
          <w:p>
            <w:pPr>
              <w:pStyle w:val="TableContents"/>
              <w:bidi w:val="0"/>
              <w:spacing w:before="0" w:after="283"/>
              <w:jc w:val="center"/>
              <w:rPr/>
            </w:pPr>
            <w:r>
              <w:rPr/>
              <w:t> </w:t>
            </w:r>
          </w:p>
        </w:tc>
        <w:tc>
          <w:tcPr>
            <w:tcW w:w="166" w:type="dxa"/>
            <w:tcBorders/>
            <w:shd w:fill="CCF0FC" w:val="clear"/>
            <w:vAlign w:val="center"/>
          </w:tcPr>
          <w:p>
            <w:pPr>
              <w:pStyle w:val="TableContents"/>
              <w:bidi w:val="0"/>
              <w:spacing w:before="0" w:after="283"/>
              <w:jc w:val="center"/>
              <w:rPr/>
            </w:pPr>
            <w:r>
              <w:rPr/>
              <w:t> </w:t>
            </w:r>
          </w:p>
        </w:tc>
        <w:tc>
          <w:tcPr>
            <w:tcW w:w="146" w:type="dxa"/>
            <w:tcBorders/>
            <w:shd w:fill="CCF0FC" w:val="clear"/>
            <w:vAlign w:val="center"/>
          </w:tcPr>
          <w:p>
            <w:pPr>
              <w:pStyle w:val="TableContents"/>
              <w:bidi w:val="0"/>
              <w:spacing w:before="0" w:after="283"/>
              <w:jc w:val="center"/>
              <w:rPr/>
            </w:pPr>
            <w:r>
              <w:rPr/>
              <w:t> </w:t>
            </w:r>
          </w:p>
        </w:tc>
        <w:tc>
          <w:tcPr>
            <w:tcW w:w="1221" w:type="dxa"/>
            <w:gridSpan w:val="2"/>
            <w:tcBorders/>
            <w:shd w:fill="CCF0FC" w:val="clear"/>
            <w:vAlign w:val="center"/>
          </w:tcPr>
          <w:p>
            <w:pPr>
              <w:pStyle w:val="TableContents"/>
              <w:bidi w:val="0"/>
              <w:spacing w:before="0" w:after="283"/>
              <w:jc w:val="center"/>
              <w:rPr/>
            </w:pPr>
            <w:r>
              <w:rPr/>
              <w:t> </w:t>
            </w:r>
          </w:p>
        </w:tc>
        <w:tc>
          <w:tcPr>
            <w:tcW w:w="413" w:type="dxa"/>
            <w:tcBorders/>
            <w:shd w:fill="CCF0FC" w:val="clear"/>
            <w:vAlign w:val="center"/>
          </w:tcPr>
          <w:p>
            <w:pPr>
              <w:pStyle w:val="TableContents"/>
              <w:bidi w:val="0"/>
              <w:spacing w:before="0" w:after="283"/>
              <w:jc w:val="center"/>
              <w:rPr/>
            </w:pPr>
            <w:r>
              <w:rPr/>
              <w:t> </w:t>
            </w:r>
          </w:p>
        </w:tc>
      </w:tr>
      <w:tr>
        <w:trPr/>
        <w:tc>
          <w:tcPr>
            <w:tcW w:w="709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at fair value:</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1" w:type="dxa"/>
            <w:gridSpan w:val="2"/>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7092" w:type="dxa"/>
            <w:tcBorders/>
            <w:shd w:fill="CC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Non-control/non-affiliate investments (amortized cost of $172,733</w:t>
            </w:r>
            <w:r>
              <w:rPr>
                <w:rFonts w:ascii="Times New Roman" w:hAnsi="Times New Roman"/>
                <w:color w:val="000000"/>
                <w:sz w:val="20"/>
              </w:rPr>
              <w:t> </w:t>
            </w:r>
            <w:r>
              <w:rPr>
                <w:rFonts w:ascii="Times New Roman" w:hAnsi="Times New Roman"/>
                <w:color w:val="000000"/>
                <w:sz w:val="16"/>
              </w:rPr>
              <w:t>and $170,972, respectively)</w:t>
            </w:r>
          </w:p>
        </w:tc>
        <w:tc>
          <w:tcPr>
            <w:tcW w:w="146" w:type="dxa"/>
            <w:tcBorders/>
            <w:shd w:fill="CCF0FC" w:val="clear"/>
            <w:vAlign w:val="center"/>
          </w:tcPr>
          <w:p>
            <w:pPr>
              <w:pStyle w:val="TableContents"/>
              <w:bidi w:val="0"/>
              <w:spacing w:before="0" w:after="283"/>
              <w:jc w:val="left"/>
              <w:rPr/>
            </w:pPr>
            <w:r>
              <w:rPr/>
              <w:t> </w:t>
            </w:r>
          </w:p>
        </w:tc>
        <w:tc>
          <w:tcPr>
            <w:tcW w:w="225" w:type="dxa"/>
            <w:tcBorders/>
            <w:shd w:fill="CC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6" w:type="dxa"/>
            <w:tcBorders/>
            <w:shd w:fill="CC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157,181</w:t>
            </w:r>
          </w:p>
        </w:tc>
        <w:tc>
          <w:tcPr>
            <w:tcW w:w="166" w:type="dxa"/>
            <w:tcBorders/>
            <w:shd w:fill="CCF0FC" w:val="clear"/>
            <w:vAlign w:val="center"/>
          </w:tcPr>
          <w:p>
            <w:pPr>
              <w:pStyle w:val="TableContents"/>
              <w:bidi w:val="0"/>
              <w:spacing w:before="0" w:after="283"/>
              <w:jc w:val="left"/>
              <w:rPr/>
            </w:pPr>
            <w:r>
              <w:rPr/>
              <w:t> </w:t>
            </w:r>
          </w:p>
        </w:tc>
        <w:tc>
          <w:tcPr>
            <w:tcW w:w="146" w:type="dxa"/>
            <w:tcBorders/>
            <w:shd w:fill="CCF0FC" w:val="clear"/>
            <w:vAlign w:val="center"/>
          </w:tcPr>
          <w:p>
            <w:pPr>
              <w:pStyle w:val="TableContents"/>
              <w:bidi w:val="0"/>
              <w:spacing w:before="0" w:after="283"/>
              <w:jc w:val="left"/>
              <w:rPr/>
            </w:pPr>
            <w:r>
              <w:rPr/>
              <w:t> </w:t>
            </w:r>
          </w:p>
        </w:tc>
        <w:tc>
          <w:tcPr>
            <w:tcW w:w="269" w:type="dxa"/>
            <w:tcBorders/>
            <w:shd w:fill="CC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52" w:type="dxa"/>
            <w:tcBorders/>
            <w:shd w:fill="CC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161,880</w:t>
            </w:r>
          </w:p>
        </w:tc>
        <w:tc>
          <w:tcPr>
            <w:tcW w:w="413" w:type="dxa"/>
            <w:tcBorders/>
            <w:shd w:fill="CCF0FC" w:val="clear"/>
            <w:vAlign w:val="center"/>
          </w:tcPr>
          <w:p>
            <w:pPr>
              <w:pStyle w:val="TableContents"/>
              <w:bidi w:val="0"/>
              <w:spacing w:before="0" w:after="283"/>
              <w:ind w:left="0" w:right="0" w:firstLine="200"/>
              <w:jc w:val="left"/>
              <w:rPr/>
            </w:pPr>
            <w:r>
              <w:rPr/>
              <w:t> </w:t>
            </w:r>
          </w:p>
        </w:tc>
      </w:tr>
      <w:tr>
        <w:trPr/>
        <w:tc>
          <w:tcPr>
            <w:tcW w:w="7092"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Affiliate investments (amortized cost of $30,097</w:t>
            </w:r>
            <w:r>
              <w:rPr>
                <w:rFonts w:ascii="Times New Roman" w:hAnsi="Times New Roman"/>
                <w:color w:val="000000"/>
                <w:sz w:val="20"/>
              </w:rPr>
              <w:t> </w:t>
            </w:r>
            <w:r>
              <w:rPr>
                <w:rFonts w:ascii="Times New Roman" w:hAnsi="Times New Roman"/>
                <w:color w:val="000000"/>
                <w:sz w:val="16"/>
              </w:rPr>
              <w:t>and $25,546, respectively)</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27,778</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CC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Total investments at fair value (amortized cost of $202,830</w:t>
            </w:r>
            <w:r>
              <w:rPr>
                <w:rFonts w:ascii="Times New Roman" w:hAnsi="Times New Roman"/>
                <w:color w:val="000000"/>
                <w:sz w:val="20"/>
              </w:rPr>
              <w:t> </w:t>
            </w:r>
            <w:r>
              <w:rPr>
                <w:rFonts w:ascii="Times New Roman" w:hAnsi="Times New Roman"/>
                <w:color w:val="000000"/>
                <w:sz w:val="16"/>
              </w:rPr>
              <w:t>and $196,518, respectively)</w:t>
            </w:r>
          </w:p>
        </w:tc>
        <w:tc>
          <w:tcPr>
            <w:tcW w:w="146" w:type="dxa"/>
            <w:tcBorders/>
            <w:shd w:fill="CCF0FC" w:val="clear"/>
            <w:vAlign w:val="center"/>
          </w:tcPr>
          <w:p>
            <w:pPr>
              <w:pStyle w:val="TableContents"/>
              <w:bidi w:val="0"/>
              <w:spacing w:before="0" w:after="283"/>
              <w:jc w:val="left"/>
              <w:rPr/>
            </w:pPr>
            <w:r>
              <w:rPr/>
              <w:t> </w:t>
            </w:r>
          </w:p>
        </w:tc>
        <w:tc>
          <w:tcPr>
            <w:tcW w:w="225" w:type="dxa"/>
            <w:tcBorders/>
            <w:shd w:fill="CCF0FC" w:val="clear"/>
            <w:vAlign w:val="center"/>
          </w:tcPr>
          <w:p>
            <w:pPr>
              <w:pStyle w:val="TableContents"/>
              <w:bidi w:val="0"/>
              <w:spacing w:before="0" w:after="283"/>
              <w:jc w:val="left"/>
              <w:rPr/>
            </w:pPr>
            <w:r>
              <w:rPr/>
              <w:t> </w:t>
            </w:r>
          </w:p>
        </w:tc>
        <w:tc>
          <w:tcPr>
            <w:tcW w:w="796" w:type="dxa"/>
            <w:tcBorders/>
            <w:shd w:fill="CC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195,553</w:t>
            </w:r>
          </w:p>
        </w:tc>
        <w:tc>
          <w:tcPr>
            <w:tcW w:w="166" w:type="dxa"/>
            <w:tcBorders/>
            <w:shd w:fill="CCF0FC" w:val="clear"/>
            <w:vAlign w:val="center"/>
          </w:tcPr>
          <w:p>
            <w:pPr>
              <w:pStyle w:val="TableContents"/>
              <w:bidi w:val="0"/>
              <w:spacing w:before="0" w:after="283"/>
              <w:jc w:val="left"/>
              <w:rPr/>
            </w:pPr>
            <w:r>
              <w:rPr/>
              <w:t> </w:t>
            </w:r>
          </w:p>
        </w:tc>
        <w:tc>
          <w:tcPr>
            <w:tcW w:w="146" w:type="dxa"/>
            <w:tcBorders/>
            <w:shd w:fill="CCF0FC" w:val="clear"/>
            <w:vAlign w:val="center"/>
          </w:tcPr>
          <w:p>
            <w:pPr>
              <w:pStyle w:val="TableContents"/>
              <w:bidi w:val="0"/>
              <w:spacing w:before="0" w:after="283"/>
              <w:jc w:val="left"/>
              <w:rPr/>
            </w:pPr>
            <w:r>
              <w:rPr/>
              <w:t> </w:t>
            </w:r>
          </w:p>
        </w:tc>
        <w:tc>
          <w:tcPr>
            <w:tcW w:w="269" w:type="dxa"/>
            <w:tcBorders/>
            <w:shd w:fill="CCF0FC" w:val="clear"/>
            <w:vAlign w:val="center"/>
          </w:tcPr>
          <w:p>
            <w:pPr>
              <w:pStyle w:val="TableContents"/>
              <w:bidi w:val="0"/>
              <w:spacing w:before="0" w:after="283"/>
              <w:jc w:val="left"/>
              <w:rPr/>
            </w:pPr>
            <w:r>
              <w:rPr/>
              <w:t> </w:t>
            </w:r>
          </w:p>
        </w:tc>
        <w:tc>
          <w:tcPr>
            <w:tcW w:w="952" w:type="dxa"/>
            <w:tcBorders/>
            <w:shd w:fill="CC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189,658</w:t>
            </w:r>
          </w:p>
        </w:tc>
        <w:tc>
          <w:tcPr>
            <w:tcW w:w="413" w:type="dxa"/>
            <w:tcBorders/>
            <w:shd w:fill="CCF0FC" w:val="clear"/>
            <w:vAlign w:val="center"/>
          </w:tcPr>
          <w:p>
            <w:pPr>
              <w:pStyle w:val="TableContents"/>
              <w:bidi w:val="0"/>
              <w:spacing w:before="0" w:after="283"/>
              <w:jc w:val="left"/>
              <w:rPr/>
            </w:pPr>
            <w:r>
              <w:rPr/>
              <w:t> </w:t>
            </w:r>
          </w:p>
        </w:tc>
      </w:tr>
      <w:tr>
        <w:trPr/>
        <w:tc>
          <w:tcPr>
            <w:tcW w:w="709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3,893</w:t>
            </w:r>
          </w:p>
        </w:tc>
        <w:tc>
          <w:tcPr>
            <w:tcW w:w="413" w:type="dxa"/>
            <w:tcBorders/>
            <w:shd w:fill="FFFFFF" w:val="clear"/>
            <w:vAlign w:val="center"/>
          </w:tcPr>
          <w:p>
            <w:pPr>
              <w:pStyle w:val="TableContents"/>
              <w:bidi w:val="0"/>
              <w:spacing w:before="0" w:after="283"/>
              <w:jc w:val="left"/>
              <w:rPr/>
            </w:pPr>
            <w:r>
              <w:rPr/>
              <w:t> </w:t>
            </w:r>
          </w:p>
        </w:tc>
      </w:tr>
      <w:tr>
        <w:trPr/>
        <w:tc>
          <w:tcPr>
            <w:tcW w:w="7092" w:type="dxa"/>
            <w:tcBorders/>
            <w:shd w:fill="CC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and dividend receivable</w:t>
            </w:r>
          </w:p>
        </w:tc>
        <w:tc>
          <w:tcPr>
            <w:tcW w:w="146" w:type="dxa"/>
            <w:tcBorders/>
            <w:shd w:fill="CCF0FC" w:val="clear"/>
            <w:vAlign w:val="center"/>
          </w:tcPr>
          <w:p>
            <w:pPr>
              <w:pStyle w:val="TableContents"/>
              <w:bidi w:val="0"/>
              <w:spacing w:before="0" w:after="283"/>
              <w:jc w:val="left"/>
              <w:rPr/>
            </w:pPr>
            <w:r>
              <w:rPr/>
              <w:t> </w:t>
            </w:r>
          </w:p>
        </w:tc>
        <w:tc>
          <w:tcPr>
            <w:tcW w:w="225" w:type="dxa"/>
            <w:tcBorders/>
            <w:shd w:fill="CCF0FC" w:val="clear"/>
            <w:vAlign w:val="center"/>
          </w:tcPr>
          <w:p>
            <w:pPr>
              <w:pStyle w:val="TableContents"/>
              <w:bidi w:val="0"/>
              <w:spacing w:before="0" w:after="283"/>
              <w:jc w:val="left"/>
              <w:rPr/>
            </w:pPr>
            <w:r>
              <w:rPr/>
              <w:t> </w:t>
            </w:r>
          </w:p>
        </w:tc>
        <w:tc>
          <w:tcPr>
            <w:tcW w:w="796" w:type="dxa"/>
            <w:tcBorders/>
            <w:shd w:fill="CC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2,017</w:t>
            </w:r>
          </w:p>
        </w:tc>
        <w:tc>
          <w:tcPr>
            <w:tcW w:w="166" w:type="dxa"/>
            <w:tcBorders/>
            <w:shd w:fill="CCF0FC" w:val="clear"/>
            <w:vAlign w:val="center"/>
          </w:tcPr>
          <w:p>
            <w:pPr>
              <w:pStyle w:val="TableContents"/>
              <w:bidi w:val="0"/>
              <w:spacing w:before="0" w:after="283"/>
              <w:jc w:val="left"/>
              <w:rPr/>
            </w:pPr>
            <w:r>
              <w:rPr/>
              <w:t> </w:t>
            </w:r>
          </w:p>
        </w:tc>
        <w:tc>
          <w:tcPr>
            <w:tcW w:w="146" w:type="dxa"/>
            <w:tcBorders/>
            <w:shd w:fill="CCF0FC" w:val="clear"/>
            <w:vAlign w:val="center"/>
          </w:tcPr>
          <w:p>
            <w:pPr>
              <w:pStyle w:val="TableContents"/>
              <w:bidi w:val="0"/>
              <w:spacing w:before="0" w:after="283"/>
              <w:jc w:val="left"/>
              <w:rPr/>
            </w:pPr>
            <w:r>
              <w:rPr/>
              <w:t> </w:t>
            </w:r>
          </w:p>
        </w:tc>
        <w:tc>
          <w:tcPr>
            <w:tcW w:w="269" w:type="dxa"/>
            <w:tcBorders/>
            <w:shd w:fill="CCF0FC" w:val="clear"/>
            <w:vAlign w:val="center"/>
          </w:tcPr>
          <w:p>
            <w:pPr>
              <w:pStyle w:val="TableContents"/>
              <w:bidi w:val="0"/>
              <w:spacing w:before="0" w:after="283"/>
              <w:jc w:val="left"/>
              <w:rPr/>
            </w:pPr>
            <w:r>
              <w:rPr/>
              <w:t> </w:t>
            </w:r>
          </w:p>
        </w:tc>
        <w:tc>
          <w:tcPr>
            <w:tcW w:w="952" w:type="dxa"/>
            <w:tcBorders/>
            <w:shd w:fill="CC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1,374</w:t>
            </w:r>
          </w:p>
        </w:tc>
        <w:tc>
          <w:tcPr>
            <w:tcW w:w="413" w:type="dxa"/>
            <w:tcBorders/>
            <w:shd w:fill="CCF0FC" w:val="clear"/>
            <w:vAlign w:val="center"/>
          </w:tcPr>
          <w:p>
            <w:pPr>
              <w:pStyle w:val="TableContents"/>
              <w:bidi w:val="0"/>
              <w:spacing w:before="0" w:after="283"/>
              <w:jc w:val="left"/>
              <w:rPr/>
            </w:pPr>
            <w:r>
              <w:rPr/>
              <w:t> </w:t>
            </w:r>
          </w:p>
        </w:tc>
      </w:tr>
      <w:tr>
        <w:trPr/>
        <w:tc>
          <w:tcPr>
            <w:tcW w:w="709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expenses</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2,163</w:t>
            </w:r>
          </w:p>
        </w:tc>
        <w:tc>
          <w:tcPr>
            <w:tcW w:w="413" w:type="dxa"/>
            <w:tcBorders/>
            <w:shd w:fill="FFFFFF" w:val="clear"/>
            <w:vAlign w:val="center"/>
          </w:tcPr>
          <w:p>
            <w:pPr>
              <w:pStyle w:val="TableContents"/>
              <w:bidi w:val="0"/>
              <w:spacing w:before="0" w:after="283"/>
              <w:jc w:val="left"/>
              <w:rPr/>
            </w:pPr>
            <w:r>
              <w:rPr/>
              <w:t> </w:t>
            </w:r>
          </w:p>
        </w:tc>
      </w:tr>
      <w:tr>
        <w:trPr/>
        <w:tc>
          <w:tcPr>
            <w:tcW w:w="7092" w:type="dxa"/>
            <w:tcBorders/>
            <w:shd w:fill="CC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CCF0FC" w:val="clear"/>
            <w:vAlign w:val="center"/>
          </w:tcPr>
          <w:p>
            <w:pPr>
              <w:pStyle w:val="TableContents"/>
              <w:bidi w:val="0"/>
              <w:spacing w:before="0" w:after="283"/>
              <w:jc w:val="left"/>
              <w:rPr/>
            </w:pPr>
            <w:r>
              <w:rPr/>
              <w:t> </w:t>
            </w:r>
          </w:p>
        </w:tc>
        <w:tc>
          <w:tcPr>
            <w:tcW w:w="225"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w:t>
            </w:r>
          </w:p>
        </w:tc>
        <w:tc>
          <w:tcPr>
            <w:tcW w:w="166"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0FC" w:val="clear"/>
            <w:vAlign w:val="center"/>
          </w:tcPr>
          <w:p>
            <w:pPr>
              <w:pStyle w:val="TableContents"/>
              <w:bidi w:val="0"/>
              <w:spacing w:before="0" w:after="283"/>
              <w:jc w:val="left"/>
              <w:rPr/>
            </w:pPr>
            <w:r>
              <w:rPr/>
              <w:t> </w:t>
            </w:r>
          </w:p>
        </w:tc>
        <w:tc>
          <w:tcPr>
            <w:tcW w:w="269"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3" w:type="dxa"/>
            <w:tcBorders>
              <w:bottom w:val="single" w:sz="4" w:space="0" w:color="000000"/>
            </w:tcBorders>
            <w:shd w:fill="CC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assets</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204,324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197,088</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2" w:type="dxa"/>
            <w:tcBorders/>
            <w:shd w:fill="CC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LIABILITIES</w:t>
            </w:r>
          </w:p>
        </w:tc>
        <w:tc>
          <w:tcPr>
            <w:tcW w:w="146" w:type="dxa"/>
            <w:tcBorders/>
            <w:shd w:fill="CCF0FC" w:val="clear"/>
            <w:vAlign w:val="center"/>
          </w:tcPr>
          <w:p>
            <w:pPr>
              <w:pStyle w:val="TableContents"/>
              <w:bidi w:val="0"/>
              <w:spacing w:before="0" w:after="283"/>
              <w:jc w:val="left"/>
              <w:rPr/>
            </w:pPr>
            <w:r>
              <w:rPr/>
              <w:t> </w:t>
            </w:r>
          </w:p>
        </w:tc>
        <w:tc>
          <w:tcPr>
            <w:tcW w:w="1021" w:type="dxa"/>
            <w:gridSpan w:val="2"/>
            <w:tcBorders/>
            <w:shd w:fill="CCF0FC" w:val="clear"/>
            <w:vAlign w:val="center"/>
          </w:tcPr>
          <w:p>
            <w:pPr>
              <w:pStyle w:val="TableContents"/>
              <w:bidi w:val="0"/>
              <w:spacing w:before="0" w:after="283"/>
              <w:jc w:val="left"/>
              <w:rPr/>
            </w:pPr>
            <w:r>
              <w:rPr/>
              <w:t> </w:t>
            </w:r>
          </w:p>
        </w:tc>
        <w:tc>
          <w:tcPr>
            <w:tcW w:w="166" w:type="dxa"/>
            <w:tcBorders/>
            <w:shd w:fill="CCF0FC" w:val="clear"/>
            <w:vAlign w:val="center"/>
          </w:tcPr>
          <w:p>
            <w:pPr>
              <w:pStyle w:val="TableContents"/>
              <w:bidi w:val="0"/>
              <w:spacing w:before="0" w:after="283"/>
              <w:jc w:val="left"/>
              <w:rPr/>
            </w:pPr>
            <w:r>
              <w:rPr/>
              <w:t> </w:t>
            </w:r>
          </w:p>
        </w:tc>
        <w:tc>
          <w:tcPr>
            <w:tcW w:w="146" w:type="dxa"/>
            <w:tcBorders/>
            <w:shd w:fill="CCF0FC" w:val="clear"/>
            <w:vAlign w:val="center"/>
          </w:tcPr>
          <w:p>
            <w:pPr>
              <w:pStyle w:val="TableContents"/>
              <w:bidi w:val="0"/>
              <w:spacing w:before="0" w:after="283"/>
              <w:jc w:val="left"/>
              <w:rPr/>
            </w:pPr>
            <w:r>
              <w:rPr/>
              <w:t> </w:t>
            </w:r>
          </w:p>
        </w:tc>
        <w:tc>
          <w:tcPr>
            <w:tcW w:w="1221" w:type="dxa"/>
            <w:gridSpan w:val="2"/>
            <w:tcBorders/>
            <w:shd w:fill="CCF0FC" w:val="clear"/>
            <w:vAlign w:val="center"/>
          </w:tcPr>
          <w:p>
            <w:pPr>
              <w:pStyle w:val="TableContents"/>
              <w:bidi w:val="0"/>
              <w:spacing w:before="0" w:after="283"/>
              <w:jc w:val="left"/>
              <w:rPr/>
            </w:pPr>
            <w:r>
              <w:rPr/>
              <w:t> </w:t>
            </w:r>
          </w:p>
        </w:tc>
        <w:tc>
          <w:tcPr>
            <w:tcW w:w="413" w:type="dxa"/>
            <w:tcBorders/>
            <w:shd w:fill="CCF0FC" w:val="clear"/>
            <w:vAlign w:val="center"/>
          </w:tcPr>
          <w:p>
            <w:pPr>
              <w:pStyle w:val="TableContents"/>
              <w:bidi w:val="0"/>
              <w:spacing w:before="0" w:after="283"/>
              <w:jc w:val="left"/>
              <w:rPr/>
            </w:pPr>
            <w:r>
              <w:rPr/>
              <w:t> </w:t>
            </w:r>
          </w:p>
        </w:tc>
      </w:tr>
      <w:tr>
        <w:trPr/>
        <w:tc>
          <w:tcPr>
            <w:tcW w:w="709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2026 Notes (net of deferred financing costs and original issue discount of $876</w:t>
            </w:r>
            <w:r>
              <w:rPr>
                <w:rFonts w:ascii="Times New Roman" w:hAnsi="Times New Roman"/>
                <w:color w:val="000000"/>
                <w:sz w:val="20"/>
              </w:rPr>
              <w:t> </w:t>
            </w:r>
            <w:r>
              <w:rPr>
                <w:rFonts w:ascii="Times New Roman" w:hAnsi="Times New Roman"/>
                <w:color w:val="000000"/>
                <w:sz w:val="16"/>
              </w:rPr>
              <w:t>and $1,057, respectively)</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5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48,943</w:t>
            </w:r>
          </w:p>
        </w:tc>
        <w:tc>
          <w:tcPr>
            <w:tcW w:w="413" w:type="dxa"/>
            <w:tcBorders/>
            <w:shd w:fill="FFFFFF" w:val="clear"/>
            <w:vAlign w:val="center"/>
          </w:tcPr>
          <w:p>
            <w:pPr>
              <w:pStyle w:val="TableContents"/>
              <w:bidi w:val="0"/>
              <w:spacing w:before="0" w:after="283"/>
              <w:jc w:val="left"/>
              <w:rPr/>
            </w:pPr>
            <w:r>
              <w:rPr/>
              <w:t> </w:t>
            </w:r>
          </w:p>
        </w:tc>
      </w:tr>
      <w:tr>
        <w:trPr/>
        <w:tc>
          <w:tcPr>
            <w:tcW w:w="7092" w:type="dxa"/>
            <w:tcBorders/>
            <w:shd w:fill="CC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2032 Convertible Notes (net of deferred financing costs and original issue discount of $751</w:t>
            </w:r>
            <w:r>
              <w:rPr>
                <w:rFonts w:ascii="Times New Roman" w:hAnsi="Times New Roman"/>
                <w:color w:val="000000"/>
                <w:sz w:val="20"/>
              </w:rPr>
              <w:t> </w:t>
            </w:r>
            <w:r>
              <w:rPr>
                <w:rFonts w:ascii="Times New Roman" w:hAnsi="Times New Roman"/>
                <w:color w:val="000000"/>
                <w:sz w:val="16"/>
              </w:rPr>
              <w:t>and $999, respectively)</w:t>
            </w:r>
          </w:p>
        </w:tc>
        <w:tc>
          <w:tcPr>
            <w:tcW w:w="146" w:type="dxa"/>
            <w:tcBorders/>
            <w:shd w:fill="CCF0FC" w:val="clear"/>
            <w:vAlign w:val="center"/>
          </w:tcPr>
          <w:p>
            <w:pPr>
              <w:pStyle w:val="TableContents"/>
              <w:bidi w:val="0"/>
              <w:spacing w:before="0" w:after="283"/>
              <w:jc w:val="left"/>
              <w:rPr/>
            </w:pPr>
            <w:r>
              <w:rPr/>
              <w:t> </w:t>
            </w:r>
          </w:p>
        </w:tc>
        <w:tc>
          <w:tcPr>
            <w:tcW w:w="225" w:type="dxa"/>
            <w:tcBorders/>
            <w:shd w:fill="CCF0FC" w:val="clear"/>
            <w:vAlign w:val="center"/>
          </w:tcPr>
          <w:p>
            <w:pPr>
              <w:pStyle w:val="TableContents"/>
              <w:bidi w:val="0"/>
              <w:spacing w:before="0" w:after="283"/>
              <w:jc w:val="left"/>
              <w:rPr/>
            </w:pPr>
            <w:r>
              <w:rPr/>
              <w:t> </w:t>
            </w:r>
          </w:p>
        </w:tc>
        <w:tc>
          <w:tcPr>
            <w:tcW w:w="796" w:type="dxa"/>
            <w:tcBorders/>
            <w:shd w:fill="CC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11,249</w:t>
            </w:r>
          </w:p>
        </w:tc>
        <w:tc>
          <w:tcPr>
            <w:tcW w:w="166" w:type="dxa"/>
            <w:tcBorders/>
            <w:shd w:fill="CCF0FC" w:val="clear"/>
            <w:vAlign w:val="center"/>
          </w:tcPr>
          <w:p>
            <w:pPr>
              <w:pStyle w:val="TableContents"/>
              <w:bidi w:val="0"/>
              <w:spacing w:before="0" w:after="283"/>
              <w:jc w:val="left"/>
              <w:rPr/>
            </w:pPr>
            <w:r>
              <w:rPr/>
              <w:t> </w:t>
            </w:r>
          </w:p>
        </w:tc>
        <w:tc>
          <w:tcPr>
            <w:tcW w:w="146" w:type="dxa"/>
            <w:tcBorders/>
            <w:shd w:fill="CCF0FC" w:val="clear"/>
            <w:vAlign w:val="center"/>
          </w:tcPr>
          <w:p>
            <w:pPr>
              <w:pStyle w:val="TableContents"/>
              <w:bidi w:val="0"/>
              <w:spacing w:before="0" w:after="283"/>
              <w:jc w:val="left"/>
              <w:rPr/>
            </w:pPr>
            <w:r>
              <w:rPr/>
              <w:t> </w:t>
            </w:r>
          </w:p>
        </w:tc>
        <w:tc>
          <w:tcPr>
            <w:tcW w:w="269" w:type="dxa"/>
            <w:tcBorders/>
            <w:shd w:fill="CCF0FC" w:val="clear"/>
            <w:vAlign w:val="center"/>
          </w:tcPr>
          <w:p>
            <w:pPr>
              <w:pStyle w:val="TableContents"/>
              <w:bidi w:val="0"/>
              <w:spacing w:before="0" w:after="283"/>
              <w:jc w:val="left"/>
              <w:rPr/>
            </w:pPr>
            <w:r>
              <w:rPr/>
              <w:t> </w:t>
            </w:r>
          </w:p>
        </w:tc>
        <w:tc>
          <w:tcPr>
            <w:tcW w:w="952" w:type="dxa"/>
            <w:tcBorders/>
            <w:shd w:fill="CC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14,001</w:t>
            </w:r>
          </w:p>
        </w:tc>
        <w:tc>
          <w:tcPr>
            <w:tcW w:w="413" w:type="dxa"/>
            <w:tcBorders/>
            <w:shd w:fill="CCF0FC" w:val="clear"/>
            <w:vAlign w:val="center"/>
          </w:tcPr>
          <w:p>
            <w:pPr>
              <w:pStyle w:val="TableContents"/>
              <w:bidi w:val="0"/>
              <w:spacing w:before="0" w:after="283"/>
              <w:jc w:val="left"/>
              <w:rPr/>
            </w:pPr>
            <w:r>
              <w:rPr/>
              <w:t> </w:t>
            </w:r>
          </w:p>
        </w:tc>
      </w:tr>
      <w:tr>
        <w:trPr/>
        <w:tc>
          <w:tcPr>
            <w:tcW w:w="709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KeyBank Credit Facility (net of deferred financing costs of $812</w:t>
            </w:r>
            <w:r>
              <w:rPr>
                <w:rFonts w:ascii="Times New Roman" w:hAnsi="Times New Roman"/>
                <w:color w:val="000000"/>
                <w:sz w:val="20"/>
              </w:rPr>
              <w:t> </w:t>
            </w:r>
            <w:r>
              <w:rPr>
                <w:rFonts w:ascii="Times New Roman" w:hAnsi="Times New Roman"/>
                <w:color w:val="000000"/>
                <w:sz w:val="16"/>
              </w:rPr>
              <w:t>and $982, respectively)</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38,571</w:t>
            </w:r>
          </w:p>
        </w:tc>
        <w:tc>
          <w:tcPr>
            <w:tcW w:w="413" w:type="dxa"/>
            <w:tcBorders/>
            <w:shd w:fill="FFFFFF" w:val="clear"/>
            <w:vAlign w:val="center"/>
          </w:tcPr>
          <w:p>
            <w:pPr>
              <w:pStyle w:val="TableContents"/>
              <w:bidi w:val="0"/>
              <w:spacing w:before="0" w:after="283"/>
              <w:jc w:val="left"/>
              <w:rPr/>
            </w:pPr>
            <w:r>
              <w:rPr/>
              <w:t> </w:t>
            </w:r>
          </w:p>
        </w:tc>
      </w:tr>
      <w:tr>
        <w:trPr/>
        <w:tc>
          <w:tcPr>
            <w:tcW w:w="7092" w:type="dxa"/>
            <w:tcBorders/>
            <w:shd w:fill="CC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Management and incentive fees payable</w:t>
            </w:r>
          </w:p>
        </w:tc>
        <w:tc>
          <w:tcPr>
            <w:tcW w:w="146" w:type="dxa"/>
            <w:tcBorders/>
            <w:shd w:fill="CCF0FC" w:val="clear"/>
            <w:vAlign w:val="center"/>
          </w:tcPr>
          <w:p>
            <w:pPr>
              <w:pStyle w:val="TableContents"/>
              <w:bidi w:val="0"/>
              <w:spacing w:before="0" w:after="283"/>
              <w:jc w:val="left"/>
              <w:rPr/>
            </w:pPr>
            <w:r>
              <w:rPr/>
              <w:t> </w:t>
            </w:r>
          </w:p>
        </w:tc>
        <w:tc>
          <w:tcPr>
            <w:tcW w:w="225" w:type="dxa"/>
            <w:tcBorders/>
            <w:shd w:fill="CCF0FC" w:val="clear"/>
            <w:vAlign w:val="center"/>
          </w:tcPr>
          <w:p>
            <w:pPr>
              <w:pStyle w:val="TableContents"/>
              <w:bidi w:val="0"/>
              <w:spacing w:before="0" w:after="283"/>
              <w:jc w:val="left"/>
              <w:rPr/>
            </w:pPr>
            <w:r>
              <w:rPr/>
              <w:t> </w:t>
            </w:r>
          </w:p>
        </w:tc>
        <w:tc>
          <w:tcPr>
            <w:tcW w:w="796" w:type="dxa"/>
            <w:tcBorders/>
            <w:shd w:fill="CC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909</w:t>
            </w:r>
          </w:p>
        </w:tc>
        <w:tc>
          <w:tcPr>
            <w:tcW w:w="166" w:type="dxa"/>
            <w:tcBorders/>
            <w:shd w:fill="CCF0FC" w:val="clear"/>
            <w:vAlign w:val="center"/>
          </w:tcPr>
          <w:p>
            <w:pPr>
              <w:pStyle w:val="TableContents"/>
              <w:bidi w:val="0"/>
              <w:spacing w:before="0" w:after="283"/>
              <w:jc w:val="left"/>
              <w:rPr/>
            </w:pPr>
            <w:r>
              <w:rPr/>
              <w:t> </w:t>
            </w:r>
          </w:p>
        </w:tc>
        <w:tc>
          <w:tcPr>
            <w:tcW w:w="146" w:type="dxa"/>
            <w:tcBorders/>
            <w:shd w:fill="CCF0FC" w:val="clear"/>
            <w:vAlign w:val="center"/>
          </w:tcPr>
          <w:p>
            <w:pPr>
              <w:pStyle w:val="TableContents"/>
              <w:bidi w:val="0"/>
              <w:spacing w:before="0" w:after="283"/>
              <w:jc w:val="left"/>
              <w:rPr/>
            </w:pPr>
            <w:r>
              <w:rPr/>
              <w:t> </w:t>
            </w:r>
          </w:p>
        </w:tc>
        <w:tc>
          <w:tcPr>
            <w:tcW w:w="269" w:type="dxa"/>
            <w:tcBorders/>
            <w:shd w:fill="CCF0FC" w:val="clear"/>
            <w:vAlign w:val="center"/>
          </w:tcPr>
          <w:p>
            <w:pPr>
              <w:pStyle w:val="TableContents"/>
              <w:bidi w:val="0"/>
              <w:spacing w:before="0" w:after="283"/>
              <w:jc w:val="left"/>
              <w:rPr/>
            </w:pPr>
            <w:r>
              <w:rPr/>
              <w:t> </w:t>
            </w:r>
          </w:p>
        </w:tc>
        <w:tc>
          <w:tcPr>
            <w:tcW w:w="952" w:type="dxa"/>
            <w:tcBorders/>
            <w:shd w:fill="CC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869</w:t>
            </w:r>
          </w:p>
        </w:tc>
        <w:tc>
          <w:tcPr>
            <w:tcW w:w="413" w:type="dxa"/>
            <w:tcBorders/>
            <w:shd w:fill="CCF0FC" w:val="clear"/>
            <w:vAlign w:val="center"/>
          </w:tcPr>
          <w:p>
            <w:pPr>
              <w:pStyle w:val="TableContents"/>
              <w:bidi w:val="0"/>
              <w:spacing w:before="0" w:after="283"/>
              <w:jc w:val="left"/>
              <w:rPr/>
            </w:pPr>
            <w:r>
              <w:rPr/>
              <w:t> </w:t>
            </w:r>
          </w:p>
        </w:tc>
      </w:tr>
      <w:tr>
        <w:trPr/>
        <w:tc>
          <w:tcPr>
            <w:tcW w:w="709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and financing fees payable</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949</w:t>
            </w:r>
          </w:p>
        </w:tc>
        <w:tc>
          <w:tcPr>
            <w:tcW w:w="413" w:type="dxa"/>
            <w:tcBorders/>
            <w:shd w:fill="FFFFFF" w:val="clear"/>
            <w:vAlign w:val="center"/>
          </w:tcPr>
          <w:p>
            <w:pPr>
              <w:pStyle w:val="TableContents"/>
              <w:bidi w:val="0"/>
              <w:spacing w:before="0" w:after="283"/>
              <w:jc w:val="left"/>
              <w:rPr/>
            </w:pPr>
            <w:r>
              <w:rPr/>
              <w:t> </w:t>
            </w:r>
          </w:p>
        </w:tc>
      </w:tr>
      <w:tr>
        <w:trPr/>
        <w:tc>
          <w:tcPr>
            <w:tcW w:w="7092" w:type="dxa"/>
            <w:tcBorders/>
            <w:shd w:fill="CC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Accounts payable and accrued expenses</w:t>
            </w:r>
          </w:p>
        </w:tc>
        <w:tc>
          <w:tcPr>
            <w:tcW w:w="146" w:type="dxa"/>
            <w:tcBorders/>
            <w:shd w:fill="CCF0FC" w:val="clear"/>
            <w:vAlign w:val="center"/>
          </w:tcPr>
          <w:p>
            <w:pPr>
              <w:pStyle w:val="TableContents"/>
              <w:bidi w:val="0"/>
              <w:spacing w:before="0" w:after="283"/>
              <w:jc w:val="left"/>
              <w:rPr/>
            </w:pPr>
            <w:r>
              <w:rPr/>
              <w:t> </w:t>
            </w:r>
          </w:p>
        </w:tc>
        <w:tc>
          <w:tcPr>
            <w:tcW w:w="225" w:type="dxa"/>
            <w:tcBorders/>
            <w:shd w:fill="CCF0FC" w:val="clear"/>
            <w:vAlign w:val="center"/>
          </w:tcPr>
          <w:p>
            <w:pPr>
              <w:pStyle w:val="TableContents"/>
              <w:bidi w:val="0"/>
              <w:spacing w:before="0" w:after="283"/>
              <w:jc w:val="left"/>
              <w:rPr/>
            </w:pPr>
            <w:r>
              <w:rPr/>
              <w:t> </w:t>
            </w:r>
          </w:p>
        </w:tc>
        <w:tc>
          <w:tcPr>
            <w:tcW w:w="796" w:type="dxa"/>
            <w:tcBorders/>
            <w:shd w:fill="CC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996</w:t>
            </w:r>
          </w:p>
        </w:tc>
        <w:tc>
          <w:tcPr>
            <w:tcW w:w="166" w:type="dxa"/>
            <w:tcBorders/>
            <w:shd w:fill="CCF0FC" w:val="clear"/>
            <w:vAlign w:val="center"/>
          </w:tcPr>
          <w:p>
            <w:pPr>
              <w:pStyle w:val="TableContents"/>
              <w:bidi w:val="0"/>
              <w:spacing w:before="0" w:after="283"/>
              <w:jc w:val="left"/>
              <w:rPr/>
            </w:pPr>
            <w:r>
              <w:rPr/>
              <w:t> </w:t>
            </w:r>
          </w:p>
        </w:tc>
        <w:tc>
          <w:tcPr>
            <w:tcW w:w="146" w:type="dxa"/>
            <w:tcBorders/>
            <w:shd w:fill="CCF0FC" w:val="clear"/>
            <w:vAlign w:val="center"/>
          </w:tcPr>
          <w:p>
            <w:pPr>
              <w:pStyle w:val="TableContents"/>
              <w:bidi w:val="0"/>
              <w:spacing w:before="0" w:after="283"/>
              <w:jc w:val="left"/>
              <w:rPr/>
            </w:pPr>
            <w:r>
              <w:rPr/>
              <w:t> </w:t>
            </w:r>
          </w:p>
        </w:tc>
        <w:tc>
          <w:tcPr>
            <w:tcW w:w="269" w:type="dxa"/>
            <w:tcBorders/>
            <w:shd w:fill="CCF0FC" w:val="clear"/>
            <w:vAlign w:val="center"/>
          </w:tcPr>
          <w:p>
            <w:pPr>
              <w:pStyle w:val="TableContents"/>
              <w:bidi w:val="0"/>
              <w:spacing w:before="0" w:after="283"/>
              <w:jc w:val="left"/>
              <w:rPr/>
            </w:pPr>
            <w:r>
              <w:rPr/>
              <w:t> </w:t>
            </w:r>
          </w:p>
        </w:tc>
        <w:tc>
          <w:tcPr>
            <w:tcW w:w="952" w:type="dxa"/>
            <w:tcBorders/>
            <w:shd w:fill="CC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833</w:t>
            </w:r>
          </w:p>
        </w:tc>
        <w:tc>
          <w:tcPr>
            <w:tcW w:w="413" w:type="dxa"/>
            <w:tcBorders/>
            <w:shd w:fill="CCF0FC" w:val="clear"/>
            <w:vAlign w:val="center"/>
          </w:tcPr>
          <w:p>
            <w:pPr>
              <w:pStyle w:val="TableContents"/>
              <w:bidi w:val="0"/>
              <w:spacing w:before="0" w:after="283"/>
              <w:jc w:val="left"/>
              <w:rPr/>
            </w:pPr>
            <w:r>
              <w:rPr/>
              <w:t> </w:t>
            </w:r>
          </w:p>
        </w:tc>
      </w:tr>
      <w:tr>
        <w:trPr/>
        <w:tc>
          <w:tcPr>
            <w:tcW w:w="709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Payable for unsettled trades</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3,747</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CC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liabilities</w:t>
            </w:r>
          </w:p>
        </w:tc>
        <w:tc>
          <w:tcPr>
            <w:tcW w:w="146" w:type="dxa"/>
            <w:tcBorders/>
            <w:shd w:fill="CCF0FC" w:val="clear"/>
            <w:vAlign w:val="center"/>
          </w:tcPr>
          <w:p>
            <w:pPr>
              <w:pStyle w:val="TableContents"/>
              <w:bidi w:val="0"/>
              <w:spacing w:before="0" w:after="283"/>
              <w:jc w:val="left"/>
              <w:rPr/>
            </w:pPr>
            <w:r>
              <w:rPr/>
              <w:t> </w:t>
            </w:r>
          </w:p>
        </w:tc>
        <w:tc>
          <w:tcPr>
            <w:tcW w:w="225"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6"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115,663</w:t>
            </w:r>
          </w:p>
        </w:tc>
        <w:tc>
          <w:tcPr>
            <w:tcW w:w="166"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0FC" w:val="clear"/>
            <w:vAlign w:val="center"/>
          </w:tcPr>
          <w:p>
            <w:pPr>
              <w:pStyle w:val="TableContents"/>
              <w:bidi w:val="0"/>
              <w:spacing w:before="0" w:after="283"/>
              <w:jc w:val="left"/>
              <w:rPr/>
            </w:pPr>
            <w:r>
              <w:rPr/>
              <w:t> </w:t>
            </w:r>
          </w:p>
        </w:tc>
        <w:tc>
          <w:tcPr>
            <w:tcW w:w="269"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52"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107,913</w:t>
            </w:r>
          </w:p>
        </w:tc>
        <w:tc>
          <w:tcPr>
            <w:tcW w:w="413"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r>
      <w:tr>
        <w:trPr/>
        <w:tc>
          <w:tcPr>
            <w:tcW w:w="709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Commitments and contingencies</w:t>
            </w:r>
            <w:r>
              <w:rPr>
                <w:rFonts w:ascii="Times New Roman" w:hAnsi="Times New Roman"/>
                <w:color w:val="000000"/>
                <w:sz w:val="20"/>
              </w:rPr>
              <w:t> </w:t>
            </w:r>
            <w:r>
              <w:rPr>
                <w:rFonts w:ascii="Times New Roman" w:hAnsi="Times New Roman"/>
                <w:color w:val="000000"/>
                <w:sz w:val="16"/>
              </w:rPr>
              <w:t>(Note 2)</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1" w:type="dxa"/>
            <w:gridSpan w:val="2"/>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left"/>
              <w:rPr/>
            </w:pPr>
            <w:r>
              <w:rPr/>
              <w:t> </w:t>
            </w:r>
          </w:p>
        </w:tc>
      </w:tr>
      <w:tr>
        <w:trPr/>
        <w:tc>
          <w:tcPr>
            <w:tcW w:w="7092" w:type="dxa"/>
            <w:tcBorders/>
            <w:shd w:fill="CC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ASSETS</w:t>
            </w:r>
          </w:p>
        </w:tc>
        <w:tc>
          <w:tcPr>
            <w:tcW w:w="146" w:type="dxa"/>
            <w:tcBorders/>
            <w:shd w:fill="CCF0FC" w:val="clear"/>
            <w:vAlign w:val="center"/>
          </w:tcPr>
          <w:p>
            <w:pPr>
              <w:pStyle w:val="TableContents"/>
              <w:bidi w:val="0"/>
              <w:spacing w:before="0" w:after="283"/>
              <w:jc w:val="left"/>
              <w:rPr/>
            </w:pPr>
            <w:r>
              <w:rPr/>
              <w:t> </w:t>
            </w:r>
          </w:p>
        </w:tc>
        <w:tc>
          <w:tcPr>
            <w:tcW w:w="1021" w:type="dxa"/>
            <w:gridSpan w:val="2"/>
            <w:tcBorders/>
            <w:shd w:fill="CCF0FC" w:val="clear"/>
            <w:vAlign w:val="center"/>
          </w:tcPr>
          <w:p>
            <w:pPr>
              <w:pStyle w:val="TableContents"/>
              <w:bidi w:val="0"/>
              <w:spacing w:before="0" w:after="283"/>
              <w:jc w:val="left"/>
              <w:rPr/>
            </w:pPr>
            <w:r>
              <w:rPr/>
              <w:t> </w:t>
            </w:r>
          </w:p>
        </w:tc>
        <w:tc>
          <w:tcPr>
            <w:tcW w:w="166" w:type="dxa"/>
            <w:tcBorders/>
            <w:shd w:fill="CCF0FC" w:val="clear"/>
            <w:vAlign w:val="center"/>
          </w:tcPr>
          <w:p>
            <w:pPr>
              <w:pStyle w:val="TableContents"/>
              <w:bidi w:val="0"/>
              <w:spacing w:before="0" w:after="283"/>
              <w:jc w:val="left"/>
              <w:rPr/>
            </w:pPr>
            <w:r>
              <w:rPr/>
              <w:t> </w:t>
            </w:r>
          </w:p>
        </w:tc>
        <w:tc>
          <w:tcPr>
            <w:tcW w:w="146" w:type="dxa"/>
            <w:tcBorders/>
            <w:shd w:fill="CCF0FC" w:val="clear"/>
            <w:vAlign w:val="center"/>
          </w:tcPr>
          <w:p>
            <w:pPr>
              <w:pStyle w:val="TableContents"/>
              <w:bidi w:val="0"/>
              <w:spacing w:before="0" w:after="283"/>
              <w:jc w:val="left"/>
              <w:rPr/>
            </w:pPr>
            <w:r>
              <w:rPr/>
              <w:t> </w:t>
            </w:r>
          </w:p>
        </w:tc>
        <w:tc>
          <w:tcPr>
            <w:tcW w:w="1221" w:type="dxa"/>
            <w:gridSpan w:val="2"/>
            <w:tcBorders/>
            <w:shd w:fill="CCF0FC" w:val="clear"/>
            <w:vAlign w:val="center"/>
          </w:tcPr>
          <w:p>
            <w:pPr>
              <w:pStyle w:val="TableContents"/>
              <w:bidi w:val="0"/>
              <w:spacing w:before="0" w:after="283"/>
              <w:jc w:val="left"/>
              <w:rPr/>
            </w:pPr>
            <w:r>
              <w:rPr/>
              <w:t> </w:t>
            </w:r>
          </w:p>
        </w:tc>
        <w:tc>
          <w:tcPr>
            <w:tcW w:w="413" w:type="dxa"/>
            <w:tcBorders/>
            <w:shd w:fill="CCF0FC" w:val="clear"/>
            <w:vAlign w:val="center"/>
          </w:tcPr>
          <w:p>
            <w:pPr>
              <w:pStyle w:val="TableContents"/>
              <w:bidi w:val="0"/>
              <w:spacing w:before="0" w:after="283"/>
              <w:jc w:val="left"/>
              <w:rPr/>
            </w:pPr>
            <w:r>
              <w:rPr/>
              <w:t> </w:t>
            </w:r>
          </w:p>
        </w:tc>
      </w:tr>
      <w:tr>
        <w:trPr/>
        <w:tc>
          <w:tcPr>
            <w:tcW w:w="709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stock, par value $0.01, 100,000,000</w:t>
            </w:r>
            <w:r>
              <w:rPr>
                <w:rFonts w:ascii="Times New Roman" w:hAnsi="Times New Roman"/>
                <w:color w:val="000000"/>
                <w:sz w:val="20"/>
              </w:rPr>
              <w:t> </w:t>
            </w:r>
            <w:r>
              <w:rPr>
                <w:rFonts w:ascii="Times New Roman" w:hAnsi="Times New Roman"/>
                <w:color w:val="000000"/>
                <w:sz w:val="16"/>
              </w:rPr>
              <w:t>shares of common stock authorized, 2,676,062</w:t>
            </w:r>
            <w:r>
              <w:rPr>
                <w:rFonts w:ascii="Times New Roman" w:hAnsi="Times New Roman"/>
                <w:color w:val="000000"/>
                <w:sz w:val="20"/>
              </w:rPr>
              <w:t> </w:t>
            </w:r>
            <w:r>
              <w:rPr>
                <w:rFonts w:ascii="Times New Roman" w:hAnsi="Times New Roman"/>
                <w:color w:val="000000"/>
                <w:sz w:val="16"/>
              </w:rPr>
              <w:t>and 2,674,698</w:t>
            </w:r>
            <w:r>
              <w:rPr>
                <w:rFonts w:ascii="Times New Roman" w:hAnsi="Times New Roman"/>
                <w:color w:val="000000"/>
                <w:sz w:val="20"/>
              </w:rPr>
              <w:t> </w:t>
            </w:r>
            <w:r>
              <w:rPr>
                <w:rFonts w:ascii="Times New Roman" w:hAnsi="Times New Roman"/>
                <w:color w:val="000000"/>
                <w:sz w:val="16"/>
              </w:rPr>
              <w:t>shares of common stock issued and outstanding, respectively</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5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413" w:type="dxa"/>
            <w:tcBorders/>
            <w:shd w:fill="FFFFFF" w:val="clear"/>
            <w:vAlign w:val="center"/>
          </w:tcPr>
          <w:p>
            <w:pPr>
              <w:pStyle w:val="TableContents"/>
              <w:bidi w:val="0"/>
              <w:spacing w:before="0" w:after="283"/>
              <w:jc w:val="left"/>
              <w:rPr/>
            </w:pPr>
            <w:r>
              <w:rPr/>
              <w:t> </w:t>
            </w:r>
          </w:p>
        </w:tc>
      </w:tr>
      <w:tr>
        <w:trPr/>
        <w:tc>
          <w:tcPr>
            <w:tcW w:w="7092" w:type="dxa"/>
            <w:tcBorders/>
            <w:shd w:fill="CC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 in excess of par value</w:t>
            </w:r>
          </w:p>
        </w:tc>
        <w:tc>
          <w:tcPr>
            <w:tcW w:w="146" w:type="dxa"/>
            <w:tcBorders/>
            <w:shd w:fill="CCF0FC" w:val="clear"/>
            <w:vAlign w:val="center"/>
          </w:tcPr>
          <w:p>
            <w:pPr>
              <w:pStyle w:val="TableContents"/>
              <w:bidi w:val="0"/>
              <w:spacing w:before="0" w:after="283"/>
              <w:jc w:val="left"/>
              <w:rPr/>
            </w:pPr>
            <w:r>
              <w:rPr/>
              <w:t> </w:t>
            </w:r>
          </w:p>
        </w:tc>
        <w:tc>
          <w:tcPr>
            <w:tcW w:w="225" w:type="dxa"/>
            <w:tcBorders/>
            <w:shd w:fill="CCF0FC" w:val="clear"/>
            <w:vAlign w:val="center"/>
          </w:tcPr>
          <w:p>
            <w:pPr>
              <w:pStyle w:val="TableContents"/>
              <w:bidi w:val="0"/>
              <w:spacing w:before="0" w:after="283"/>
              <w:jc w:val="left"/>
              <w:rPr/>
            </w:pPr>
            <w:r>
              <w:rPr/>
              <w:t> </w:t>
            </w:r>
          </w:p>
        </w:tc>
        <w:tc>
          <w:tcPr>
            <w:tcW w:w="796" w:type="dxa"/>
            <w:tcBorders/>
            <w:shd w:fill="CC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188,437</w:t>
            </w:r>
          </w:p>
        </w:tc>
        <w:tc>
          <w:tcPr>
            <w:tcW w:w="166" w:type="dxa"/>
            <w:tcBorders/>
            <w:shd w:fill="CCF0FC" w:val="clear"/>
            <w:vAlign w:val="center"/>
          </w:tcPr>
          <w:p>
            <w:pPr>
              <w:pStyle w:val="TableContents"/>
              <w:bidi w:val="0"/>
              <w:spacing w:before="0" w:after="283"/>
              <w:jc w:val="left"/>
              <w:rPr/>
            </w:pPr>
            <w:r>
              <w:rPr/>
              <w:t> </w:t>
            </w:r>
          </w:p>
        </w:tc>
        <w:tc>
          <w:tcPr>
            <w:tcW w:w="146" w:type="dxa"/>
            <w:tcBorders/>
            <w:shd w:fill="CCF0FC" w:val="clear"/>
            <w:vAlign w:val="center"/>
          </w:tcPr>
          <w:p>
            <w:pPr>
              <w:pStyle w:val="TableContents"/>
              <w:bidi w:val="0"/>
              <w:spacing w:before="0" w:after="283"/>
              <w:jc w:val="left"/>
              <w:rPr/>
            </w:pPr>
            <w:r>
              <w:rPr/>
              <w:t> </w:t>
            </w:r>
          </w:p>
        </w:tc>
        <w:tc>
          <w:tcPr>
            <w:tcW w:w="269" w:type="dxa"/>
            <w:tcBorders/>
            <w:shd w:fill="CCF0FC" w:val="clear"/>
            <w:vAlign w:val="center"/>
          </w:tcPr>
          <w:p>
            <w:pPr>
              <w:pStyle w:val="TableContents"/>
              <w:bidi w:val="0"/>
              <w:spacing w:before="0" w:after="283"/>
              <w:jc w:val="left"/>
              <w:rPr/>
            </w:pPr>
            <w:r>
              <w:rPr/>
              <w:t> </w:t>
            </w:r>
          </w:p>
        </w:tc>
        <w:tc>
          <w:tcPr>
            <w:tcW w:w="952" w:type="dxa"/>
            <w:tcBorders/>
            <w:shd w:fill="CC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188,405</w:t>
            </w:r>
          </w:p>
        </w:tc>
        <w:tc>
          <w:tcPr>
            <w:tcW w:w="413" w:type="dxa"/>
            <w:tcBorders/>
            <w:shd w:fill="CCF0FC" w:val="clear"/>
            <w:vAlign w:val="center"/>
          </w:tcPr>
          <w:p>
            <w:pPr>
              <w:pStyle w:val="TableContents"/>
              <w:bidi w:val="0"/>
              <w:spacing w:before="0" w:after="283"/>
              <w:jc w:val="left"/>
              <w:rPr/>
            </w:pPr>
            <w:r>
              <w:rPr/>
              <w:t> </w:t>
            </w:r>
          </w:p>
        </w:tc>
      </w:tr>
      <w:tr>
        <w:trPr/>
        <w:tc>
          <w:tcPr>
            <w:tcW w:w="709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distributable loss</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(99,803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(99,257</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092" w:type="dxa"/>
            <w:tcBorders/>
            <w:shd w:fill="CC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net assets</w:t>
            </w:r>
          </w:p>
        </w:tc>
        <w:tc>
          <w:tcPr>
            <w:tcW w:w="146" w:type="dxa"/>
            <w:tcBorders/>
            <w:shd w:fill="CCF0FC" w:val="clear"/>
            <w:vAlign w:val="center"/>
          </w:tcPr>
          <w:p>
            <w:pPr>
              <w:pStyle w:val="TableContents"/>
              <w:bidi w:val="0"/>
              <w:spacing w:before="0" w:after="283"/>
              <w:jc w:val="left"/>
              <w:rPr/>
            </w:pPr>
            <w:r>
              <w:rPr/>
              <w:t> </w:t>
            </w:r>
          </w:p>
        </w:tc>
        <w:tc>
          <w:tcPr>
            <w:tcW w:w="225"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6"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88,661</w:t>
            </w:r>
          </w:p>
        </w:tc>
        <w:tc>
          <w:tcPr>
            <w:tcW w:w="166"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0FC" w:val="clear"/>
            <w:vAlign w:val="center"/>
          </w:tcPr>
          <w:p>
            <w:pPr>
              <w:pStyle w:val="TableContents"/>
              <w:bidi w:val="0"/>
              <w:spacing w:before="0" w:after="283"/>
              <w:jc w:val="left"/>
              <w:rPr/>
            </w:pPr>
            <w:r>
              <w:rPr/>
              <w:t> </w:t>
            </w:r>
          </w:p>
        </w:tc>
        <w:tc>
          <w:tcPr>
            <w:tcW w:w="269"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52"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89,175</w:t>
            </w:r>
          </w:p>
        </w:tc>
        <w:tc>
          <w:tcPr>
            <w:tcW w:w="413"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r>
      <w:tr>
        <w:trPr/>
        <w:tc>
          <w:tcPr>
            <w:tcW w:w="709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liabilities and net assets</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204,324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197,088</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2" w:type="dxa"/>
            <w:tcBorders/>
            <w:shd w:fill="CC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asset value per share</w:t>
            </w:r>
          </w:p>
        </w:tc>
        <w:tc>
          <w:tcPr>
            <w:tcW w:w="146" w:type="dxa"/>
            <w:tcBorders/>
            <w:shd w:fill="CCF0FC" w:val="clear"/>
            <w:vAlign w:val="center"/>
          </w:tcPr>
          <w:p>
            <w:pPr>
              <w:pStyle w:val="TableContents"/>
              <w:bidi w:val="0"/>
              <w:spacing w:before="0" w:after="283"/>
              <w:jc w:val="left"/>
              <w:rPr/>
            </w:pPr>
            <w:r>
              <w:rPr/>
              <w:t> </w:t>
            </w:r>
          </w:p>
        </w:tc>
        <w:tc>
          <w:tcPr>
            <w:tcW w:w="225" w:type="dxa"/>
            <w:tcBorders/>
            <w:shd w:fill="CC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6" w:type="dxa"/>
            <w:tcBorders/>
            <w:shd w:fill="CC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33.13</w:t>
            </w:r>
          </w:p>
        </w:tc>
        <w:tc>
          <w:tcPr>
            <w:tcW w:w="166" w:type="dxa"/>
            <w:tcBorders/>
            <w:shd w:fill="CCF0FC" w:val="clear"/>
            <w:vAlign w:val="center"/>
          </w:tcPr>
          <w:p>
            <w:pPr>
              <w:pStyle w:val="TableContents"/>
              <w:bidi w:val="0"/>
              <w:spacing w:before="0" w:after="283"/>
              <w:jc w:val="left"/>
              <w:rPr/>
            </w:pPr>
            <w:r>
              <w:rPr/>
              <w:t> </w:t>
            </w:r>
          </w:p>
        </w:tc>
        <w:tc>
          <w:tcPr>
            <w:tcW w:w="146" w:type="dxa"/>
            <w:tcBorders/>
            <w:shd w:fill="CCF0FC" w:val="clear"/>
            <w:vAlign w:val="center"/>
          </w:tcPr>
          <w:p>
            <w:pPr>
              <w:pStyle w:val="TableContents"/>
              <w:bidi w:val="0"/>
              <w:spacing w:before="0" w:after="283"/>
              <w:jc w:val="left"/>
              <w:rPr/>
            </w:pPr>
            <w:r>
              <w:rPr/>
              <w:t> </w:t>
            </w:r>
          </w:p>
        </w:tc>
        <w:tc>
          <w:tcPr>
            <w:tcW w:w="269" w:type="dxa"/>
            <w:tcBorders/>
            <w:shd w:fill="CC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52" w:type="dxa"/>
            <w:tcBorders/>
            <w:shd w:fill="CC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33.34</w:t>
            </w:r>
          </w:p>
        </w:tc>
        <w:tc>
          <w:tcPr>
            <w:tcW w:w="413" w:type="dxa"/>
            <w:tcBorders/>
            <w:shd w:fill="CCF0FC"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sz w:val="20"/>
        </w:rPr>
      </w:pPr>
      <w:bookmarkStart w:id="5" w:name="statements_of_operations"/>
      <w:bookmarkEnd w:id="5"/>
      <w:r>
        <w:rPr>
          <w:rFonts w:ascii="Times New Roman" w:hAnsi="Times New Roman"/>
          <w:b/>
          <w:color w:val="000000"/>
          <w:sz w:val="16"/>
        </w:rPr>
        <w:t>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987"/>
        <w:gridCol w:w="146"/>
        <w:gridCol w:w="218"/>
        <w:gridCol w:w="918"/>
        <w:gridCol w:w="184"/>
        <w:gridCol w:w="162"/>
        <w:gridCol w:w="218"/>
        <w:gridCol w:w="918"/>
        <w:gridCol w:w="166"/>
        <w:gridCol w:w="146"/>
        <w:gridCol w:w="208"/>
        <w:gridCol w:w="882"/>
        <w:gridCol w:w="177"/>
        <w:gridCol w:w="155"/>
        <w:gridCol w:w="208"/>
        <w:gridCol w:w="882"/>
        <w:gridCol w:w="166"/>
        <w:gridCol w:w="464"/>
      </w:tblGrid>
      <w:tr>
        <w:trPr/>
        <w:tc>
          <w:tcPr>
            <w:tcW w:w="3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398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4" w:type="dxa"/>
            <w:tcBorders/>
            <w:shd w:fill="FFFFFF" w:val="clear"/>
            <w:vAlign w:val="center"/>
          </w:tcPr>
          <w:p>
            <w:pPr>
              <w:pStyle w:val="TableContents"/>
              <w:bidi w:val="0"/>
              <w:spacing w:before="0" w:after="283"/>
              <w:jc w:val="center"/>
              <w:rPr/>
            </w:pPr>
            <w:r>
              <w:rPr/>
              <w:t> </w:t>
            </w:r>
          </w:p>
        </w:tc>
      </w:tr>
      <w:tr>
        <w:trPr/>
        <w:tc>
          <w:tcPr>
            <w:tcW w:w="398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vAlign w:val="center"/>
          </w:tcPr>
          <w:p>
            <w:pPr>
              <w:pStyle w:val="TableContents"/>
              <w:bidi w:val="0"/>
              <w:spacing w:before="0" w:after="283"/>
              <w:jc w:val="center"/>
              <w:rPr/>
            </w:pPr>
            <w:r>
              <w:rPr/>
              <w:t> </w:t>
            </w:r>
          </w:p>
        </w:tc>
        <w:tc>
          <w:tcPr>
            <w:tcW w:w="11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center"/>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4" w:type="dxa"/>
            <w:tcBorders/>
            <w:shd w:fill="FFFFFF" w:val="clear"/>
            <w:vAlign w:val="center"/>
          </w:tcPr>
          <w:p>
            <w:pPr>
              <w:pStyle w:val="TableContents"/>
              <w:bidi w:val="0"/>
              <w:spacing w:before="0" w:after="283"/>
              <w:jc w:val="center"/>
              <w:rPr/>
            </w:pPr>
            <w:r>
              <w:rPr/>
              <w:t> </w:t>
            </w:r>
          </w:p>
        </w:tc>
      </w:tr>
      <w:tr>
        <w:trPr/>
        <w:tc>
          <w:tcPr>
            <w:tcW w:w="398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INCOME</w:t>
            </w:r>
          </w:p>
        </w:tc>
        <w:tc>
          <w:tcPr>
            <w:tcW w:w="146" w:type="dxa"/>
            <w:tcBorders/>
            <w:shd w:fill="CFF0FC" w:val="clear"/>
            <w:vAlign w:val="center"/>
          </w:tcPr>
          <w:p>
            <w:pPr>
              <w:pStyle w:val="TableContents"/>
              <w:bidi w:val="0"/>
              <w:spacing w:before="0" w:after="283"/>
              <w:jc w:val="left"/>
              <w:rPr/>
            </w:pPr>
            <w:r>
              <w:rPr/>
              <w:t> </w:t>
            </w:r>
          </w:p>
        </w:tc>
        <w:tc>
          <w:tcPr>
            <w:tcW w:w="1136" w:type="dxa"/>
            <w:gridSpan w:val="2"/>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113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0" w:type="dxa"/>
            <w:gridSpan w:val="2"/>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09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left"/>
              <w:rPr/>
            </w:pPr>
            <w:r>
              <w:rPr/>
              <w:t> </w:t>
            </w:r>
          </w:p>
        </w:tc>
      </w:tr>
      <w:tr>
        <w:trPr/>
        <w:tc>
          <w:tcPr>
            <w:tcW w:w="398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vAlign w:val="center"/>
          </w:tcPr>
          <w:p>
            <w:pPr>
              <w:pStyle w:val="TableContents"/>
              <w:bidi w:val="0"/>
              <w:spacing w:before="0" w:after="283"/>
              <w:jc w:val="left"/>
              <w:rPr/>
            </w:pPr>
            <w:r>
              <w:rPr/>
              <w:t> </w:t>
            </w:r>
          </w:p>
        </w:tc>
        <w:tc>
          <w:tcPr>
            <w:tcW w:w="1136" w:type="dxa"/>
            <w:gridSpan w:val="2"/>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13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0" w:type="dxa"/>
            <w:gridSpan w:val="2"/>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9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ind w:left="0" w:right="0" w:firstLine="200"/>
              <w:jc w:val="left"/>
              <w:rPr/>
            </w:pPr>
            <w:r>
              <w:rPr/>
              <w:t> </w:t>
            </w:r>
          </w:p>
        </w:tc>
      </w:tr>
      <w:tr>
        <w:trPr/>
        <w:tc>
          <w:tcPr>
            <w:tcW w:w="398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4,526</w:t>
            </w:r>
          </w:p>
        </w:tc>
        <w:tc>
          <w:tcPr>
            <w:tcW w:w="184"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9,159</w:t>
            </w:r>
          </w:p>
        </w:tc>
        <w:tc>
          <w:tcPr>
            <w:tcW w:w="177"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9,377</w:t>
            </w:r>
          </w:p>
        </w:tc>
        <w:tc>
          <w:tcPr>
            <w:tcW w:w="16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ind w:left="0" w:right="0" w:firstLine="200"/>
              <w:jc w:val="left"/>
              <w:rPr/>
            </w:pPr>
            <w:r>
              <w:rPr/>
              <w:t> </w:t>
            </w:r>
          </w:p>
        </w:tc>
      </w:tr>
      <w:tr>
        <w:trPr/>
        <w:tc>
          <w:tcPr>
            <w:tcW w:w="398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177"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w:t>
            </w:r>
          </w:p>
        </w:tc>
        <w:tc>
          <w:tcPr>
            <w:tcW w:w="16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ind w:left="0" w:right="0" w:firstLine="200"/>
              <w:jc w:val="left"/>
              <w:rPr/>
            </w:pPr>
            <w:r>
              <w:rPr/>
              <w:t> </w:t>
            </w:r>
          </w:p>
        </w:tc>
      </w:tr>
      <w:tr>
        <w:trPr/>
        <w:tc>
          <w:tcPr>
            <w:tcW w:w="398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interest income</w:t>
            </w:r>
          </w:p>
        </w:tc>
        <w:tc>
          <w:tcPr>
            <w:tcW w:w="146" w:type="dxa"/>
            <w:tcBorders/>
            <w:shd w:fill="CFF0FC" w:val="clear"/>
            <w:vAlign w:val="center"/>
          </w:tcPr>
          <w:p>
            <w:pPr>
              <w:pStyle w:val="TableContents"/>
              <w:bidi w:val="0"/>
              <w:spacing w:before="0" w:after="283"/>
              <w:jc w:val="left"/>
              <w:rPr/>
            </w:pPr>
            <w:r>
              <w:rPr/>
              <w:t> </w:t>
            </w:r>
          </w:p>
        </w:tc>
        <w:tc>
          <w:tcPr>
            <w:tcW w:w="21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1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4,635</w:t>
            </w:r>
          </w:p>
        </w:tc>
        <w:tc>
          <w:tcPr>
            <w:tcW w:w="18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1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1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8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9,268</w:t>
            </w:r>
          </w:p>
        </w:tc>
        <w:tc>
          <w:tcPr>
            <w:tcW w:w="17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0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8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9,675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left"/>
              <w:rPr/>
            </w:pPr>
            <w:r>
              <w:rPr/>
              <w:t> </w:t>
            </w:r>
          </w:p>
        </w:tc>
      </w:tr>
      <w:tr>
        <w:trPr/>
        <w:tc>
          <w:tcPr>
            <w:tcW w:w="398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Payment-in-kind interest and dividend income:</w:t>
            </w:r>
          </w:p>
        </w:tc>
        <w:tc>
          <w:tcPr>
            <w:tcW w:w="146" w:type="dxa"/>
            <w:tcBorders/>
            <w:shd w:fill="FFFFFF" w:val="clear"/>
            <w:vAlign w:val="center"/>
          </w:tcPr>
          <w:p>
            <w:pPr>
              <w:pStyle w:val="TableContents"/>
              <w:bidi w:val="0"/>
              <w:spacing w:before="0" w:after="283"/>
              <w:jc w:val="left"/>
              <w:rPr/>
            </w:pPr>
            <w:r>
              <w:rPr/>
              <w:t> </w:t>
            </w:r>
          </w:p>
        </w:tc>
        <w:tc>
          <w:tcPr>
            <w:tcW w:w="1136" w:type="dxa"/>
            <w:gridSpan w:val="2"/>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13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0" w:type="dxa"/>
            <w:gridSpan w:val="2"/>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9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ind w:left="0" w:right="0" w:firstLine="200"/>
              <w:jc w:val="left"/>
              <w:rPr/>
            </w:pPr>
            <w:r>
              <w:rPr/>
              <w:t> </w:t>
            </w:r>
          </w:p>
        </w:tc>
      </w:tr>
      <w:tr>
        <w:trPr/>
        <w:tc>
          <w:tcPr>
            <w:tcW w:w="398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w:t>
            </w:r>
          </w:p>
        </w:tc>
        <w:tc>
          <w:tcPr>
            <w:tcW w:w="184"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w:t>
            </w:r>
          </w:p>
        </w:tc>
        <w:tc>
          <w:tcPr>
            <w:tcW w:w="177"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w:t>
            </w:r>
          </w:p>
        </w:tc>
        <w:tc>
          <w:tcPr>
            <w:tcW w:w="16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ind w:left="0" w:right="0" w:firstLine="200"/>
              <w:jc w:val="left"/>
              <w:rPr>
                <w:rFonts w:ascii="Times New Roman" w:hAnsi="Times New Roman"/>
                <w:color w:val="000000"/>
                <w:sz w:val="11"/>
              </w:rPr>
            </w:pPr>
            <w:r>
              <w:rPr>
                <w:rFonts w:ascii="Times New Roman" w:hAnsi="Times New Roman"/>
                <w:color w:val="000000"/>
                <w:sz w:val="11"/>
              </w:rPr>
              <w:t>(1)</w:t>
            </w:r>
          </w:p>
        </w:tc>
      </w:tr>
      <w:tr>
        <w:trPr/>
        <w:tc>
          <w:tcPr>
            <w:tcW w:w="398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ind w:left="0" w:right="0" w:firstLine="200"/>
              <w:jc w:val="left"/>
              <w:rPr/>
            </w:pPr>
            <w:r>
              <w:rPr/>
              <w:t> </w:t>
            </w:r>
          </w:p>
        </w:tc>
      </w:tr>
      <w:tr>
        <w:trPr/>
        <w:tc>
          <w:tcPr>
            <w:tcW w:w="398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payment-in-kind interest and dividend income</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871</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left"/>
              <w:rPr/>
            </w:pPr>
            <w:r>
              <w:rPr/>
              <w:t> </w:t>
            </w:r>
          </w:p>
        </w:tc>
      </w:tr>
      <w:tr>
        <w:trPr/>
        <w:tc>
          <w:tcPr>
            <w:tcW w:w="398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 income:</w:t>
            </w:r>
          </w:p>
        </w:tc>
        <w:tc>
          <w:tcPr>
            <w:tcW w:w="146" w:type="dxa"/>
            <w:tcBorders/>
            <w:shd w:fill="FFFFFF" w:val="clear"/>
            <w:vAlign w:val="center"/>
          </w:tcPr>
          <w:p>
            <w:pPr>
              <w:pStyle w:val="TableContents"/>
              <w:bidi w:val="0"/>
              <w:spacing w:before="0" w:after="283"/>
              <w:jc w:val="left"/>
              <w:rPr/>
            </w:pPr>
            <w:r>
              <w:rPr/>
              <w:t> </w:t>
            </w:r>
          </w:p>
        </w:tc>
        <w:tc>
          <w:tcPr>
            <w:tcW w:w="1136" w:type="dxa"/>
            <w:gridSpan w:val="2"/>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13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0" w:type="dxa"/>
            <w:gridSpan w:val="2"/>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9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ind w:left="0" w:right="0" w:firstLine="200"/>
              <w:jc w:val="left"/>
              <w:rPr/>
            </w:pPr>
            <w:r>
              <w:rPr/>
              <w:t> </w:t>
            </w:r>
          </w:p>
        </w:tc>
      </w:tr>
      <w:tr>
        <w:trPr/>
        <w:tc>
          <w:tcPr>
            <w:tcW w:w="398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ind w:left="0" w:right="0" w:firstLine="200"/>
              <w:jc w:val="left"/>
              <w:rPr/>
            </w:pPr>
            <w:r>
              <w:rPr/>
              <w:t> </w:t>
            </w:r>
          </w:p>
        </w:tc>
      </w:tr>
      <w:tr>
        <w:trPr/>
        <w:tc>
          <w:tcPr>
            <w:tcW w:w="398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dividend income</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r>
      <w:tr>
        <w:trPr/>
        <w:tc>
          <w:tcPr>
            <w:tcW w:w="398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w:t>
            </w:r>
          </w:p>
        </w:tc>
        <w:tc>
          <w:tcPr>
            <w:tcW w:w="146" w:type="dxa"/>
            <w:tcBorders/>
            <w:shd w:fill="CFF0FC" w:val="clear"/>
            <w:vAlign w:val="center"/>
          </w:tcPr>
          <w:p>
            <w:pPr>
              <w:pStyle w:val="TableContents"/>
              <w:bidi w:val="0"/>
              <w:spacing w:before="0" w:after="283"/>
              <w:jc w:val="left"/>
              <w:rPr/>
            </w:pPr>
            <w:r>
              <w:rPr/>
              <w:t> </w:t>
            </w:r>
          </w:p>
        </w:tc>
        <w:tc>
          <w:tcPr>
            <w:tcW w:w="1136" w:type="dxa"/>
            <w:gridSpan w:val="2"/>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113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0" w:type="dxa"/>
            <w:gridSpan w:val="2"/>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09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ind w:left="0" w:right="0" w:firstLine="200"/>
              <w:jc w:val="left"/>
              <w:rPr/>
            </w:pPr>
            <w:r>
              <w:rPr/>
              <w:t> </w:t>
            </w:r>
          </w:p>
        </w:tc>
      </w:tr>
      <w:tr>
        <w:trPr/>
        <w:tc>
          <w:tcPr>
            <w:tcW w:w="398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177"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16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ind w:left="0" w:right="0" w:firstLine="200"/>
              <w:jc w:val="left"/>
              <w:rPr/>
            </w:pPr>
            <w:r>
              <w:rPr/>
              <w:t> </w:t>
            </w:r>
          </w:p>
        </w:tc>
      </w:tr>
      <w:tr>
        <w:trPr/>
        <w:tc>
          <w:tcPr>
            <w:tcW w:w="398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ind w:left="0" w:right="0" w:firstLine="200"/>
              <w:jc w:val="left"/>
              <w:rPr/>
            </w:pPr>
            <w:r>
              <w:rPr/>
              <w:t> </w:t>
            </w:r>
          </w:p>
        </w:tc>
      </w:tr>
      <w:tr>
        <w:trPr/>
        <w:tc>
          <w:tcPr>
            <w:tcW w:w="398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other income</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ind w:left="0" w:right="0" w:firstLine="200"/>
              <w:jc w:val="left"/>
              <w:rPr/>
            </w:pPr>
            <w:r>
              <w:rPr/>
              <w:t> </w:t>
            </w:r>
          </w:p>
        </w:tc>
      </w:tr>
      <w:tr>
        <w:trPr/>
        <w:tc>
          <w:tcPr>
            <w:tcW w:w="398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investment income</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5,370</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10,373</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left"/>
              <w:rPr/>
            </w:pPr>
            <w:r>
              <w:rPr/>
              <w:t> </w:t>
            </w:r>
          </w:p>
        </w:tc>
      </w:tr>
      <w:tr>
        <w:trPr/>
        <w:tc>
          <w:tcPr>
            <w:tcW w:w="398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EXPENSES</w:t>
            </w:r>
          </w:p>
        </w:tc>
        <w:tc>
          <w:tcPr>
            <w:tcW w:w="146" w:type="dxa"/>
            <w:tcBorders/>
            <w:shd w:fill="FFFFFF" w:val="clear"/>
            <w:vAlign w:val="center"/>
          </w:tcPr>
          <w:p>
            <w:pPr>
              <w:pStyle w:val="TableContents"/>
              <w:bidi w:val="0"/>
              <w:spacing w:before="0" w:after="283"/>
              <w:jc w:val="left"/>
              <w:rPr/>
            </w:pPr>
            <w:r>
              <w:rPr/>
              <w:t> </w:t>
            </w:r>
          </w:p>
        </w:tc>
        <w:tc>
          <w:tcPr>
            <w:tcW w:w="1136" w:type="dxa"/>
            <w:gridSpan w:val="2"/>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13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0" w:type="dxa"/>
            <w:gridSpan w:val="2"/>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9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r>
      <w:tr>
        <w:trPr/>
        <w:tc>
          <w:tcPr>
            <w:tcW w:w="398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and financing expenses</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2,303</w:t>
            </w:r>
          </w:p>
        </w:tc>
        <w:tc>
          <w:tcPr>
            <w:tcW w:w="184"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4,310</w:t>
            </w:r>
          </w:p>
        </w:tc>
        <w:tc>
          <w:tcPr>
            <w:tcW w:w="177"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4,305</w:t>
            </w:r>
          </w:p>
        </w:tc>
        <w:tc>
          <w:tcPr>
            <w:tcW w:w="16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left"/>
              <w:rPr/>
            </w:pPr>
            <w:r>
              <w:rPr/>
              <w:t> </w:t>
            </w:r>
          </w:p>
        </w:tc>
      </w:tr>
      <w:tr>
        <w:trPr/>
        <w:tc>
          <w:tcPr>
            <w:tcW w:w="398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Base management fee</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909</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1,802</w:t>
            </w:r>
          </w:p>
        </w:tc>
        <w:tc>
          <w:tcPr>
            <w:tcW w:w="177"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1,876</w:t>
            </w:r>
          </w:p>
        </w:tc>
        <w:tc>
          <w:tcPr>
            <w:tcW w:w="16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r>
      <w:tr>
        <w:trPr/>
        <w:tc>
          <w:tcPr>
            <w:tcW w:w="398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Directors' expense</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w:t>
            </w:r>
          </w:p>
        </w:tc>
        <w:tc>
          <w:tcPr>
            <w:tcW w:w="184"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w:t>
            </w:r>
          </w:p>
        </w:tc>
        <w:tc>
          <w:tcPr>
            <w:tcW w:w="177"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w:t>
            </w:r>
          </w:p>
        </w:tc>
        <w:tc>
          <w:tcPr>
            <w:tcW w:w="16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left"/>
              <w:rPr/>
            </w:pPr>
            <w:r>
              <w:rPr/>
              <w:t> </w:t>
            </w:r>
          </w:p>
        </w:tc>
      </w:tr>
      <w:tr>
        <w:trPr/>
        <w:tc>
          <w:tcPr>
            <w:tcW w:w="398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Administrative service fees</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w:t>
            </w:r>
          </w:p>
        </w:tc>
        <w:tc>
          <w:tcPr>
            <w:tcW w:w="177"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w:t>
            </w:r>
          </w:p>
        </w:tc>
        <w:tc>
          <w:tcPr>
            <w:tcW w:w="16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r>
      <w:tr>
        <w:trPr/>
        <w:tc>
          <w:tcPr>
            <w:tcW w:w="398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978</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1,783</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ind w:left="0" w:right="0" w:firstLine="200"/>
              <w:jc w:val="left"/>
              <w:rPr/>
            </w:pPr>
            <w:r>
              <w:rPr/>
              <w:t> </w:t>
            </w:r>
          </w:p>
        </w:tc>
      </w:tr>
      <w:tr>
        <w:trPr/>
        <w:tc>
          <w:tcPr>
            <w:tcW w:w="398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expenses</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4,620</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8,676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ind w:left="0" w:right="0" w:firstLine="200"/>
              <w:jc w:val="left"/>
              <w:rPr/>
            </w:pPr>
            <w:r>
              <w:rPr/>
              <w:t> </w:t>
            </w:r>
          </w:p>
        </w:tc>
      </w:tr>
      <w:tr>
        <w:trPr/>
        <w:tc>
          <w:tcPr>
            <w:tcW w:w="398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1,697</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left"/>
              <w:rPr/>
            </w:pPr>
            <w:r>
              <w:rPr/>
              <w:t> </w:t>
            </w:r>
          </w:p>
        </w:tc>
      </w:tr>
      <w:tr>
        <w:trPr/>
        <w:tc>
          <w:tcPr>
            <w:tcW w:w="398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REALIZED AND UNREALIZED GAIN (LOSS) ON INVESTMENTS</w:t>
            </w:r>
          </w:p>
        </w:tc>
        <w:tc>
          <w:tcPr>
            <w:tcW w:w="146" w:type="dxa"/>
            <w:tcBorders/>
            <w:shd w:fill="FFFFFF" w:val="clear"/>
            <w:vAlign w:val="center"/>
          </w:tcPr>
          <w:p>
            <w:pPr>
              <w:pStyle w:val="TableContents"/>
              <w:bidi w:val="0"/>
              <w:spacing w:before="0" w:after="283"/>
              <w:jc w:val="left"/>
              <w:rPr/>
            </w:pPr>
            <w:r>
              <w:rPr/>
              <w:t> </w:t>
            </w:r>
          </w:p>
        </w:tc>
        <w:tc>
          <w:tcPr>
            <w:tcW w:w="1136" w:type="dxa"/>
            <w:gridSpan w:val="2"/>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13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0" w:type="dxa"/>
            <w:gridSpan w:val="2"/>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9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r>
      <w:tr>
        <w:trPr/>
        <w:tc>
          <w:tcPr>
            <w:tcW w:w="398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 investments:</w:t>
            </w:r>
          </w:p>
        </w:tc>
        <w:tc>
          <w:tcPr>
            <w:tcW w:w="146" w:type="dxa"/>
            <w:tcBorders/>
            <w:shd w:fill="CFF0FC" w:val="clear"/>
            <w:vAlign w:val="center"/>
          </w:tcPr>
          <w:p>
            <w:pPr>
              <w:pStyle w:val="TableContents"/>
              <w:bidi w:val="0"/>
              <w:spacing w:before="0" w:after="283"/>
              <w:jc w:val="left"/>
              <w:rPr/>
            </w:pPr>
            <w:r>
              <w:rPr/>
              <w:t> </w:t>
            </w:r>
          </w:p>
        </w:tc>
        <w:tc>
          <w:tcPr>
            <w:tcW w:w="1136" w:type="dxa"/>
            <w:gridSpan w:val="2"/>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113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0" w:type="dxa"/>
            <w:gridSpan w:val="2"/>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09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ind w:left="0" w:right="0" w:firstLine="200"/>
              <w:jc w:val="left"/>
              <w:rPr/>
            </w:pPr>
            <w:r>
              <w:rPr/>
              <w:t> </w:t>
            </w:r>
          </w:p>
        </w:tc>
      </w:tr>
      <w:tr>
        <w:trPr/>
        <w:tc>
          <w:tcPr>
            <w:tcW w:w="398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18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2"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177"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64" w:type="dxa"/>
            <w:tcBorders/>
            <w:shd w:fill="FFFFFF" w:val="clear"/>
            <w:vAlign w:val="center"/>
          </w:tcPr>
          <w:p>
            <w:pPr>
              <w:pStyle w:val="TableContents"/>
              <w:bidi w:val="0"/>
              <w:spacing w:before="0" w:after="283"/>
              <w:ind w:left="0" w:right="0" w:firstLine="200"/>
              <w:jc w:val="left"/>
              <w:rPr/>
            </w:pPr>
            <w:r>
              <w:rPr/>
              <w:t> </w:t>
            </w:r>
          </w:p>
        </w:tc>
      </w:tr>
      <w:tr>
        <w:trPr/>
        <w:tc>
          <w:tcPr>
            <w:tcW w:w="398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realized gain (loss) on investments</w:t>
            </w:r>
          </w:p>
        </w:tc>
        <w:tc>
          <w:tcPr>
            <w:tcW w:w="146" w:type="dxa"/>
            <w:tcBorders/>
            <w:shd w:fill="CFF0FC" w:val="clear"/>
            <w:vAlign w:val="center"/>
          </w:tcPr>
          <w:p>
            <w:pPr>
              <w:pStyle w:val="TableContents"/>
              <w:bidi w:val="0"/>
              <w:spacing w:before="0" w:after="283"/>
              <w:jc w:val="left"/>
              <w:rPr/>
            </w:pPr>
            <w:r>
              <w:rPr/>
              <w:t> </w:t>
            </w:r>
          </w:p>
        </w:tc>
        <w:tc>
          <w:tcPr>
            <w:tcW w:w="21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1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18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2" w:type="dxa"/>
            <w:tcBorders/>
            <w:shd w:fill="CFF0FC" w:val="clear"/>
            <w:vAlign w:val="center"/>
          </w:tcPr>
          <w:p>
            <w:pPr>
              <w:pStyle w:val="TableContents"/>
              <w:bidi w:val="0"/>
              <w:spacing w:before="0" w:after="283"/>
              <w:jc w:val="left"/>
              <w:rPr/>
            </w:pPr>
            <w:r>
              <w:rPr/>
              <w:t> </w:t>
            </w:r>
          </w:p>
        </w:tc>
        <w:tc>
          <w:tcPr>
            <w:tcW w:w="21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1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8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17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0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8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64" w:type="dxa"/>
            <w:tcBorders/>
            <w:shd w:fill="CFF0FC" w:val="clear"/>
            <w:vAlign w:val="center"/>
          </w:tcPr>
          <w:p>
            <w:pPr>
              <w:pStyle w:val="TableContents"/>
              <w:bidi w:val="0"/>
              <w:spacing w:before="0" w:after="283"/>
              <w:jc w:val="left"/>
              <w:rPr/>
            </w:pPr>
            <w:r>
              <w:rPr/>
              <w:t> </w:t>
            </w:r>
          </w:p>
        </w:tc>
      </w:tr>
      <w:tr>
        <w:trPr/>
        <w:tc>
          <w:tcPr>
            <w:tcW w:w="398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appreciation (depreciation) on investments:</w:t>
            </w:r>
          </w:p>
        </w:tc>
        <w:tc>
          <w:tcPr>
            <w:tcW w:w="146" w:type="dxa"/>
            <w:tcBorders/>
            <w:shd w:fill="FFFFFF" w:val="clear"/>
            <w:vAlign w:val="center"/>
          </w:tcPr>
          <w:p>
            <w:pPr>
              <w:pStyle w:val="TableContents"/>
              <w:bidi w:val="0"/>
              <w:spacing w:before="0" w:after="283"/>
              <w:jc w:val="left"/>
              <w:rPr/>
            </w:pPr>
            <w:r>
              <w:rPr/>
              <w:t> </w:t>
            </w:r>
          </w:p>
        </w:tc>
        <w:tc>
          <w:tcPr>
            <w:tcW w:w="1136" w:type="dxa"/>
            <w:gridSpan w:val="2"/>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13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0" w:type="dxa"/>
            <w:gridSpan w:val="2"/>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9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ind w:left="0" w:right="0" w:firstLine="200"/>
              <w:jc w:val="left"/>
              <w:rPr/>
            </w:pPr>
            <w:r>
              <w:rPr/>
              <w:t> </w:t>
            </w:r>
          </w:p>
        </w:tc>
      </w:tr>
      <w:tr>
        <w:trPr/>
        <w:tc>
          <w:tcPr>
            <w:tcW w:w="398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(2,556</w:t>
            </w:r>
          </w:p>
        </w:tc>
        <w:tc>
          <w:tcPr>
            <w:tcW w:w="18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2"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(6,460</w:t>
            </w:r>
          </w:p>
        </w:tc>
        <w:tc>
          <w:tcPr>
            <w:tcW w:w="17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5"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64" w:type="dxa"/>
            <w:tcBorders/>
            <w:shd w:fill="CFF0FC" w:val="clear"/>
            <w:vAlign w:val="center"/>
          </w:tcPr>
          <w:p>
            <w:pPr>
              <w:pStyle w:val="TableContents"/>
              <w:bidi w:val="0"/>
              <w:spacing w:before="0" w:after="283"/>
              <w:ind w:left="0" w:right="0" w:firstLine="200"/>
              <w:jc w:val="left"/>
              <w:rPr/>
            </w:pPr>
            <w:r>
              <w:rPr/>
              <w:t> </w:t>
            </w:r>
          </w:p>
        </w:tc>
      </w:tr>
      <w:tr>
        <w:trPr/>
        <w:tc>
          <w:tcPr>
            <w:tcW w:w="398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1,464</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6,043</w:t>
            </w:r>
          </w:p>
        </w:tc>
        <w:tc>
          <w:tcPr>
            <w:tcW w:w="177"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5,086</w:t>
            </w:r>
          </w:p>
        </w:tc>
        <w:tc>
          <w:tcPr>
            <w:tcW w:w="16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ind w:left="0" w:right="0" w:firstLine="200"/>
              <w:jc w:val="left"/>
              <w:rPr/>
            </w:pPr>
            <w:r>
              <w:rPr/>
              <w:t> </w:t>
            </w:r>
          </w:p>
        </w:tc>
      </w:tr>
      <w:tr>
        <w:trPr/>
        <w:tc>
          <w:tcPr>
            <w:tcW w:w="398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change in unrealized appreciation (depreciation) on investments</w:t>
            </w:r>
          </w:p>
        </w:tc>
        <w:tc>
          <w:tcPr>
            <w:tcW w:w="146" w:type="dxa"/>
            <w:tcBorders/>
            <w:shd w:fill="CFF0FC" w:val="clear"/>
            <w:vAlign w:val="center"/>
          </w:tcPr>
          <w:p>
            <w:pPr>
              <w:pStyle w:val="TableContents"/>
              <w:bidi w:val="0"/>
              <w:spacing w:before="0" w:after="283"/>
              <w:jc w:val="left"/>
              <w:rPr/>
            </w:pPr>
            <w:r>
              <w:rPr/>
              <w:t> </w:t>
            </w:r>
          </w:p>
        </w:tc>
        <w:tc>
          <w:tcPr>
            <w:tcW w:w="21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1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(1,092</w:t>
            </w:r>
          </w:p>
        </w:tc>
        <w:tc>
          <w:tcPr>
            <w:tcW w:w="18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2" w:type="dxa"/>
            <w:tcBorders/>
            <w:shd w:fill="CFF0FC" w:val="clear"/>
            <w:vAlign w:val="center"/>
          </w:tcPr>
          <w:p>
            <w:pPr>
              <w:pStyle w:val="TableContents"/>
              <w:bidi w:val="0"/>
              <w:spacing w:before="0" w:after="283"/>
              <w:jc w:val="left"/>
              <w:rPr/>
            </w:pPr>
            <w:r>
              <w:rPr/>
              <w:t> </w:t>
            </w:r>
          </w:p>
        </w:tc>
        <w:tc>
          <w:tcPr>
            <w:tcW w:w="21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1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8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w:t>
            </w:r>
          </w:p>
        </w:tc>
        <w:tc>
          <w:tcPr>
            <w:tcW w:w="17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5" w:type="dxa"/>
            <w:tcBorders/>
            <w:shd w:fill="CFF0FC" w:val="clear"/>
            <w:vAlign w:val="center"/>
          </w:tcPr>
          <w:p>
            <w:pPr>
              <w:pStyle w:val="TableContents"/>
              <w:bidi w:val="0"/>
              <w:spacing w:before="0" w:after="283"/>
              <w:jc w:val="left"/>
              <w:rPr/>
            </w:pPr>
            <w:r>
              <w:rPr/>
              <w:t> </w:t>
            </w:r>
          </w:p>
        </w:tc>
        <w:tc>
          <w:tcPr>
            <w:tcW w:w="20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8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ind w:left="0" w:right="0" w:firstLine="200"/>
              <w:jc w:val="left"/>
              <w:rPr/>
            </w:pPr>
            <w:r>
              <w:rPr/>
              <w:t> </w:t>
            </w:r>
          </w:p>
        </w:tc>
      </w:tr>
      <w:tr>
        <w:trPr/>
        <w:tc>
          <w:tcPr>
            <w:tcW w:w="398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net realized and change in unrealized gain (loss) on investments</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(1,292</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2"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5" w:type="dxa"/>
            <w:tcBorders/>
            <w:shd w:fill="FFFFFF" w:val="cle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r>
      <w:tr>
        <w:trPr/>
        <w:tc>
          <w:tcPr>
            <w:tcW w:w="398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loss on extinguishment of debt</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2"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5" w:type="dxa"/>
            <w:tcBorders/>
            <w:shd w:fill="CFF0FC" w:val="cle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left"/>
              <w:rPr/>
            </w:pPr>
            <w:r>
              <w:rPr/>
              <w:t> </w:t>
            </w:r>
          </w:p>
        </w:tc>
      </w:tr>
      <w:tr>
        <w:trPr/>
        <w:tc>
          <w:tcPr>
            <w:tcW w:w="398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2"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1,193</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r>
      <w:tr>
        <w:trPr/>
        <w:tc>
          <w:tcPr>
            <w:tcW w:w="398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NET INCREASE (DECREASE) IN NET ASSETS PER SHARE RESULTING </w:t>
              <w:br/>
              <w:t>   FROM OPERATIONS – BASIC (SEE NOTE 9)</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(0.25</w:t>
            </w:r>
          </w:p>
        </w:tc>
        <w:tc>
          <w:tcPr>
            <w:tcW w:w="18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2"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0.45</w:t>
            </w:r>
          </w:p>
        </w:tc>
        <w:tc>
          <w:tcPr>
            <w:tcW w:w="177"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0.96</w:t>
            </w:r>
          </w:p>
        </w:tc>
        <w:tc>
          <w:tcPr>
            <w:tcW w:w="16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left"/>
              <w:rPr/>
            </w:pPr>
            <w:r>
              <w:rPr/>
              <w:t> </w:t>
            </w:r>
          </w:p>
        </w:tc>
      </w:tr>
      <w:tr>
        <w:trPr/>
        <w:tc>
          <w:tcPr>
            <w:tcW w:w="398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WEIGHTED AVERAGE COMMON STOCK OUTSTANDING </w:t>
              <w:br/>
              <w:t>   – BASIC (SEE NOTE 9)</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2,676,018</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2,703,871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2,677,187</w:t>
            </w:r>
          </w:p>
        </w:tc>
        <w:tc>
          <w:tcPr>
            <w:tcW w:w="177"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2,707,399</w:t>
            </w:r>
          </w:p>
        </w:tc>
        <w:tc>
          <w:tcPr>
            <w:tcW w:w="16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r>
      <w:tr>
        <w:trPr/>
        <w:tc>
          <w:tcPr>
            <w:tcW w:w="398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NET INCREASE (DECREASE) IN NET ASSETS PER SHARE RESULTING </w:t>
              <w:br/>
              <w:t>   FROM OPERATIONS – DILUTED (SEE NOTE 9)</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(0.25</w:t>
            </w:r>
          </w:p>
        </w:tc>
        <w:tc>
          <w:tcPr>
            <w:tcW w:w="18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2"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0.45</w:t>
            </w:r>
          </w:p>
        </w:tc>
        <w:tc>
          <w:tcPr>
            <w:tcW w:w="177"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0.94</w:t>
            </w:r>
          </w:p>
        </w:tc>
        <w:tc>
          <w:tcPr>
            <w:tcW w:w="16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left"/>
              <w:rPr/>
            </w:pPr>
            <w:r>
              <w:rPr/>
              <w:t> </w:t>
            </w:r>
          </w:p>
        </w:tc>
      </w:tr>
      <w:tr>
        <w:trPr/>
        <w:tc>
          <w:tcPr>
            <w:tcW w:w="398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WEIGHTED AVERAGE COMMON STOCK OUTSTANDING </w:t>
              <w:br/>
              <w:t>   – DILUTED (SEE NOTE 9)</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2,676,018</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3,243,374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2,677,187</w:t>
            </w:r>
          </w:p>
        </w:tc>
        <w:tc>
          <w:tcPr>
            <w:tcW w:w="177"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3,246,902</w:t>
            </w:r>
          </w:p>
        </w:tc>
        <w:tc>
          <w:tcPr>
            <w:tcW w:w="16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r>
      <w:tr>
        <w:trPr/>
        <w:tc>
          <w:tcPr>
            <w:tcW w:w="398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DISTRIBUTIONS PAID PER SHARE</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0.33</w:t>
            </w:r>
          </w:p>
        </w:tc>
        <w:tc>
          <w:tcPr>
            <w:tcW w:w="184"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0.65</w:t>
            </w:r>
          </w:p>
        </w:tc>
        <w:tc>
          <w:tcPr>
            <w:tcW w:w="177"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0.40</w:t>
            </w:r>
          </w:p>
        </w:tc>
        <w:tc>
          <w:tcPr>
            <w:tcW w:w="16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left"/>
              <w:rPr/>
            </w:pPr>
            <w:r>
              <w:rPr/>
              <w:t> </w:t>
            </w:r>
          </w:p>
        </w:tc>
      </w:tr>
    </w:tbl>
    <w:p>
      <w:pPr>
        <w:pStyle w:val="TextBody"/>
        <w:pBdr>
          <w:top w:val="single" w:sz="6" w:space="1" w:color="000000"/>
        </w:pBdr>
        <w:bidi w:val="0"/>
        <w:spacing w:before="120" w:after="283"/>
        <w:jc w:val="both"/>
        <w:rPr/>
      </w:pPr>
      <w:r>
        <w:rPr/>
        <w:t> </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(1)</w:t>
      </w:r>
    </w:p>
    <w:p>
      <w:pPr>
        <w:pStyle w:val="TextBody"/>
        <w:bidi w:val="0"/>
        <w:jc w:val="both"/>
        <w:rPr/>
      </w:pPr>
      <w:r>
        <w:rPr>
          <w:rFonts w:ascii="Times New Roman" w:hAnsi="Times New Roman"/>
          <w:color w:val="000000"/>
          <w:sz w:val="14"/>
        </w:rPr>
        <w:t>During the six months ended June 30, 2023, the Company received $0.2</w:t>
      </w:r>
      <w:r>
        <w:rPr>
          <w:color w:val="000000"/>
        </w:rPr>
        <w:t xml:space="preserve"> </w:t>
      </w:r>
      <w:r>
        <w:rPr>
          <w:rFonts w:ascii="Times New Roman" w:hAnsi="Times New Roman"/>
          <w:color w:val="000000"/>
          <w:sz w:val="14"/>
        </w:rPr>
        <w:t>million of non-recurring fee income that was paid in-kind and included in this financial statement line item.</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bookmarkStart w:id="6" w:name="statements_of_changes_in_net_assets"/>
      <w:bookmarkEnd w:id="6"/>
      <w:r>
        <w:rPr>
          <w:rFonts w:ascii="Times New Roman" w:hAnsi="Times New Roman"/>
          <w:b/>
          <w:color w:val="000000"/>
          <w:sz w:val="16"/>
        </w:rPr>
        <w:t>CONSOLIDATED STATEMENTS OF CHANGES IN NET ASSETS</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data)</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tbl>
      <w:tblPr>
        <w:tblW w:w="10077" w:type="dxa"/>
        <w:jc w:val="left"/>
        <w:tblInd w:w="0" w:type="dxa"/>
        <w:tblLayout w:type="fixed"/>
        <w:tblCellMar>
          <w:top w:w="28" w:type="dxa"/>
          <w:left w:w="28" w:type="dxa"/>
          <w:bottom w:w="28" w:type="dxa"/>
          <w:right w:w="28" w:type="dxa"/>
        </w:tblCellMar>
      </w:tblPr>
      <w:tblGrid>
        <w:gridCol w:w="3991"/>
        <w:gridCol w:w="146"/>
        <w:gridCol w:w="826"/>
        <w:gridCol w:w="166"/>
        <w:gridCol w:w="146"/>
        <w:gridCol w:w="304"/>
        <w:gridCol w:w="536"/>
        <w:gridCol w:w="146"/>
        <w:gridCol w:w="146"/>
        <w:gridCol w:w="196"/>
        <w:gridCol w:w="691"/>
        <w:gridCol w:w="166"/>
        <w:gridCol w:w="146"/>
        <w:gridCol w:w="240"/>
        <w:gridCol w:w="811"/>
        <w:gridCol w:w="166"/>
        <w:gridCol w:w="146"/>
        <w:gridCol w:w="196"/>
        <w:gridCol w:w="601"/>
        <w:gridCol w:w="31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vAlign w:val="center"/>
          </w:tcPr>
          <w:p>
            <w:pPr>
              <w:pStyle w:val="TableContents"/>
              <w:bidi w:val="0"/>
              <w:spacing w:before="0" w:after="283"/>
              <w:jc w:val="left"/>
              <w:rPr/>
            </w:pPr>
            <w:r>
              <w:rPr/>
              <w:t> </w:t>
            </w:r>
          </w:p>
        </w:tc>
        <w:tc>
          <w:tcPr>
            <w:tcW w:w="21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shd w:fill="FFFFFF" w:val="clear"/>
            <w:vAlign w:val="center"/>
          </w:tcPr>
          <w:p>
            <w:pPr>
              <w:pStyle w:val="TableContents"/>
              <w:bidi w:val="0"/>
              <w:spacing w:before="0" w:after="283"/>
              <w:jc w:val="center"/>
              <w:rPr/>
            </w:pPr>
            <w:r>
              <w:rPr/>
              <w:t> </w:t>
            </w:r>
          </w:p>
        </w:tc>
        <w:tc>
          <w:tcPr>
            <w:tcW w:w="311" w:type="dxa"/>
            <w:tcBorders/>
            <w:shd w:fill="FFFFFF" w:val="clear"/>
            <w:vAlign w:val="center"/>
          </w:tcPr>
          <w:p>
            <w:pPr>
              <w:pStyle w:val="TableContents"/>
              <w:bidi w:val="0"/>
              <w:spacing w:before="0" w:after="283"/>
              <w:jc w:val="center"/>
              <w:rPr/>
            </w:pPr>
            <w:r>
              <w:rPr/>
              <w:t> </w:t>
            </w:r>
          </w:p>
        </w:tc>
      </w:tr>
      <w:tr>
        <w:trPr/>
        <w:tc>
          <w:tcPr>
            <w:tcW w:w="3991"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 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Distributable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shd w:fill="FFFFFF" w:val="clear"/>
            <w:vAlign w:val="center"/>
          </w:tcPr>
          <w:p>
            <w:pPr>
              <w:pStyle w:val="TableContents"/>
              <w:bidi w:val="0"/>
              <w:spacing w:before="0" w:after="283"/>
              <w:jc w:val="center"/>
              <w:rPr/>
            </w:pPr>
            <w:r>
              <w:rPr/>
              <w:t> </w:t>
            </w:r>
          </w:p>
        </w:tc>
        <w:tc>
          <w:tcPr>
            <w:tcW w:w="311" w:type="dxa"/>
            <w:tcBorders/>
            <w:shd w:fill="FFFFFF" w:val="clear"/>
            <w:vAlign w:val="center"/>
          </w:tcPr>
          <w:p>
            <w:pPr>
              <w:pStyle w:val="TableContents"/>
              <w:bidi w:val="0"/>
              <w:spacing w:before="0" w:after="283"/>
              <w:jc w:val="center"/>
              <w:rPr/>
            </w:pPr>
            <w:r>
              <w:rPr/>
              <w:t> </w:t>
            </w:r>
          </w:p>
        </w:tc>
      </w:tr>
      <w:tr>
        <w:trPr/>
        <w:tc>
          <w:tcPr>
            <w:tcW w:w="399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For the Three Months Ended June 30, 2024 and 2023</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March 31, 2024</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2,675,936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188,430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(98,262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90,195</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39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4"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399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realized loss on investments</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4" w:type="dxa"/>
            <w:tcBorders/>
            <w:shd w:fill="CFF0FC" w:val="clear"/>
            <w:vAlign w:val="center"/>
          </w:tcPr>
          <w:p>
            <w:pPr>
              <w:pStyle w:val="TableContents"/>
              <w:bidi w:val="0"/>
              <w:spacing w:before="0" w:after="283"/>
              <w:jc w:val="left"/>
              <w:rPr/>
            </w:pPr>
            <w:r>
              <w:rPr/>
              <w:t> </w:t>
            </w:r>
          </w:p>
        </w:tc>
        <w:tc>
          <w:tcPr>
            <w:tcW w:w="5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39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realized loss on extinguishment of debt</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4"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399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change in unrealized depreciation on investments</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4" w:type="dxa"/>
            <w:tcBorders/>
            <w:shd w:fill="CFF0FC" w:val="clear"/>
            <w:vAlign w:val="center"/>
          </w:tcPr>
          <w:p>
            <w:pPr>
              <w:pStyle w:val="TableContents"/>
              <w:bidi w:val="0"/>
              <w:spacing w:before="0" w:after="283"/>
              <w:jc w:val="left"/>
              <w:rPr/>
            </w:pPr>
            <w:r>
              <w:rPr/>
              <w:t> </w:t>
            </w:r>
          </w:p>
        </w:tc>
        <w:tc>
          <w:tcPr>
            <w:tcW w:w="5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(1,092</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39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Stock issued under dividend reinvestment plan</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4"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399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Distributions declared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99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June 30, 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2,676,062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188,437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(99,803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88,661</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5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jc w:val="right"/>
              <w:rPr/>
            </w:pPr>
            <w:r>
              <w:rPr/>
              <w:t> </w:t>
            </w:r>
          </w:p>
        </w:tc>
      </w:tr>
      <w:tr>
        <w:trPr/>
        <w:tc>
          <w:tcPr>
            <w:tcW w:w="399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March 31, 2023</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2,709,583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191,007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(97,201</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93,833</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399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4" w:type="dxa"/>
            <w:tcBorders/>
            <w:shd w:fill="CFF0FC" w:val="clear"/>
            <w:vAlign w:val="center"/>
          </w:tcPr>
          <w:p>
            <w:pPr>
              <w:pStyle w:val="TableContents"/>
              <w:bidi w:val="0"/>
              <w:spacing w:before="0" w:after="283"/>
              <w:jc w:val="left"/>
              <w:rPr/>
            </w:pPr>
            <w:r>
              <w:rPr/>
              <w:t> </w:t>
            </w:r>
          </w:p>
        </w:tc>
        <w:tc>
          <w:tcPr>
            <w:tcW w:w="5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1,039</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39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realized loss on investments</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4"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(2,362</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399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change in unrealized appreciation on investments</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4" w:type="dxa"/>
            <w:tcBorders/>
            <w:shd w:fill="CFF0FC" w:val="clear"/>
            <w:vAlign w:val="center"/>
          </w:tcPr>
          <w:p>
            <w:pPr>
              <w:pStyle w:val="TableContents"/>
              <w:bidi w:val="0"/>
              <w:spacing w:before="0" w:after="283"/>
              <w:jc w:val="left"/>
              <w:rPr/>
            </w:pPr>
            <w:r>
              <w:rPr/>
              <w:t> </w:t>
            </w:r>
          </w:p>
        </w:tc>
        <w:tc>
          <w:tcPr>
            <w:tcW w:w="5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4,563</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39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Repurchase of common stock</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(12,487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304"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399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Stock issued under dividend reinvestment plan</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4" w:type="dxa"/>
            <w:tcBorders/>
            <w:shd w:fill="CFF0FC" w:val="clear"/>
            <w:vAlign w:val="center"/>
          </w:tcPr>
          <w:p>
            <w:pPr>
              <w:pStyle w:val="TableContents"/>
              <w:bidi w:val="0"/>
              <w:spacing w:before="0" w:after="283"/>
              <w:jc w:val="left"/>
              <w:rPr/>
            </w:pPr>
            <w:r>
              <w:rPr/>
              <w:t> </w:t>
            </w:r>
          </w:p>
        </w:tc>
        <w:tc>
          <w:tcPr>
            <w:tcW w:w="5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39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Distributions declared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99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June 30, 2023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2,697,143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190,752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(94,553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96,226</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012" w:type="dxa"/>
        <w:jc w:val="left"/>
        <w:tblInd w:w="0" w:type="dxa"/>
        <w:tblLayout w:type="fixed"/>
        <w:tblCellMar>
          <w:top w:w="28" w:type="dxa"/>
          <w:left w:w="28" w:type="dxa"/>
          <w:bottom w:w="28" w:type="dxa"/>
          <w:right w:w="28" w:type="dxa"/>
        </w:tblCellMar>
      </w:tblPr>
      <w:tblGrid>
        <w:gridCol w:w="3926"/>
        <w:gridCol w:w="146"/>
        <w:gridCol w:w="826"/>
        <w:gridCol w:w="166"/>
        <w:gridCol w:w="146"/>
        <w:gridCol w:w="304"/>
        <w:gridCol w:w="536"/>
        <w:gridCol w:w="146"/>
        <w:gridCol w:w="146"/>
        <w:gridCol w:w="196"/>
        <w:gridCol w:w="691"/>
        <w:gridCol w:w="166"/>
        <w:gridCol w:w="146"/>
        <w:gridCol w:w="240"/>
        <w:gridCol w:w="811"/>
        <w:gridCol w:w="166"/>
        <w:gridCol w:w="146"/>
        <w:gridCol w:w="196"/>
        <w:gridCol w:w="601"/>
        <w:gridCol w:w="311"/>
      </w:tblGrid>
      <w:tr>
        <w:trPr/>
        <w:tc>
          <w:tcPr>
            <w:tcW w:w="3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26" w:type="dxa"/>
            <w:tcBorders/>
            <w:shd w:fill="FFFFFF" w:val="clear"/>
            <w:vAlign w:val="center"/>
          </w:tcPr>
          <w:p>
            <w:pPr>
              <w:pStyle w:val="TableContents"/>
              <w:bidi w:val="0"/>
              <w:spacing w:before="0" w:after="283"/>
              <w:jc w:val="left"/>
              <w:rPr/>
            </w:pPr>
            <w:r>
              <w:rPr/>
              <w:t> </w:t>
            </w:r>
          </w:p>
        </w:tc>
        <w:tc>
          <w:tcPr>
            <w:tcW w:w="21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shd w:fill="FFFFFF" w:val="clear"/>
            <w:vAlign w:val="center"/>
          </w:tcPr>
          <w:p>
            <w:pPr>
              <w:pStyle w:val="TableContents"/>
              <w:bidi w:val="0"/>
              <w:spacing w:before="0" w:after="283"/>
              <w:jc w:val="center"/>
              <w:rPr/>
            </w:pPr>
            <w:r>
              <w:rPr/>
              <w:t> </w:t>
            </w:r>
          </w:p>
        </w:tc>
        <w:tc>
          <w:tcPr>
            <w:tcW w:w="311" w:type="dxa"/>
            <w:tcBorders/>
            <w:shd w:fill="FFFFFF" w:val="clear"/>
            <w:vAlign w:val="center"/>
          </w:tcPr>
          <w:p>
            <w:pPr>
              <w:pStyle w:val="TableContents"/>
              <w:bidi w:val="0"/>
              <w:spacing w:before="0" w:after="283"/>
              <w:jc w:val="center"/>
              <w:rPr/>
            </w:pPr>
            <w:r>
              <w:rPr/>
              <w:t> </w:t>
            </w:r>
          </w:p>
        </w:tc>
      </w:tr>
      <w:tr>
        <w:trPr/>
        <w:tc>
          <w:tcPr>
            <w:tcW w:w="392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 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Distributable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shd w:fill="FFFFFF" w:val="clear"/>
            <w:vAlign w:val="center"/>
          </w:tcPr>
          <w:p>
            <w:pPr>
              <w:pStyle w:val="TableContents"/>
              <w:bidi w:val="0"/>
              <w:spacing w:before="0" w:after="283"/>
              <w:jc w:val="center"/>
              <w:rPr/>
            </w:pPr>
            <w:r>
              <w:rPr/>
              <w:t> </w:t>
            </w:r>
          </w:p>
        </w:tc>
        <w:tc>
          <w:tcPr>
            <w:tcW w:w="311" w:type="dxa"/>
            <w:tcBorders/>
            <w:shd w:fill="FFFFFF" w:val="clear"/>
            <w:vAlign w:val="center"/>
          </w:tcPr>
          <w:p>
            <w:pPr>
              <w:pStyle w:val="TableContents"/>
              <w:bidi w:val="0"/>
              <w:spacing w:before="0" w:after="283"/>
              <w:jc w:val="center"/>
              <w:rPr/>
            </w:pPr>
            <w:r>
              <w:rPr/>
              <w:t> </w:t>
            </w:r>
          </w:p>
        </w:tc>
      </w:tr>
      <w:tr>
        <w:trPr/>
        <w:tc>
          <w:tcPr>
            <w:tcW w:w="392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For the Six Months Ended June 30, 2024 and 2023</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December 31, 2023</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2,674,698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188,405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(99,257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89,175</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392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4"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1,697</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392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realized gain on investments</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4" w:type="dxa"/>
            <w:tcBorders/>
            <w:shd w:fill="CFF0FC" w:val="clear"/>
            <w:vAlign w:val="center"/>
          </w:tcPr>
          <w:p>
            <w:pPr>
              <w:pStyle w:val="TableContents"/>
              <w:bidi w:val="0"/>
              <w:spacing w:before="0" w:after="283"/>
              <w:jc w:val="left"/>
              <w:rPr/>
            </w:pPr>
            <w:r>
              <w:rPr/>
              <w:t> </w:t>
            </w:r>
          </w:p>
        </w:tc>
        <w:tc>
          <w:tcPr>
            <w:tcW w:w="5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392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realized loss on extinguishment of debt</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4"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392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change in unrealized depreciation on investments</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4" w:type="dxa"/>
            <w:tcBorders/>
            <w:shd w:fill="CFF0FC" w:val="clear"/>
            <w:vAlign w:val="center"/>
          </w:tcPr>
          <w:p>
            <w:pPr>
              <w:pStyle w:val="TableContents"/>
              <w:bidi w:val="0"/>
              <w:spacing w:before="0" w:after="283"/>
              <w:jc w:val="left"/>
              <w:rPr/>
            </w:pPr>
            <w:r>
              <w:rPr/>
              <w:t> </w:t>
            </w:r>
          </w:p>
        </w:tc>
        <w:tc>
          <w:tcPr>
            <w:tcW w:w="5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392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Issuance of common stock in debt conversion</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4"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392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Repurchase of common stock</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(20,867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304" w:type="dxa"/>
            <w:tcBorders/>
            <w:shd w:fill="CFF0FC" w:val="clear"/>
            <w:vAlign w:val="center"/>
          </w:tcPr>
          <w:p>
            <w:pPr>
              <w:pStyle w:val="TableContents"/>
              <w:bidi w:val="0"/>
              <w:spacing w:before="0" w:after="283"/>
              <w:jc w:val="left"/>
              <w:rPr/>
            </w:pPr>
            <w:r>
              <w:rPr/>
              <w:t> </w:t>
            </w:r>
          </w:p>
        </w:tc>
        <w:tc>
          <w:tcPr>
            <w:tcW w:w="5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392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Stock issued under dividend reinvestment plan</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4"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392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Distributions declared</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4" w:type="dxa"/>
            <w:tcBorders/>
            <w:shd w:fill="CFF0FC" w:val="clear"/>
            <w:vAlign w:val="center"/>
          </w:tcPr>
          <w:p>
            <w:pPr>
              <w:pStyle w:val="TableContents"/>
              <w:bidi w:val="0"/>
              <w:spacing w:before="0" w:after="283"/>
              <w:jc w:val="left"/>
              <w:rPr/>
            </w:pPr>
            <w:r>
              <w:rPr/>
              <w:t> </w:t>
            </w:r>
          </w:p>
        </w:tc>
        <w:tc>
          <w:tcPr>
            <w:tcW w:w="5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(1,739</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(1,739</w:t>
            </w:r>
          </w:p>
        </w:tc>
        <w:tc>
          <w:tcPr>
            <w:tcW w:w="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9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June 30, 2024</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2,676,062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188,437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(99,803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88,661</w:t>
            </w:r>
          </w:p>
        </w:tc>
        <w:tc>
          <w:tcPr>
            <w:tcW w:w="3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926" w:type="dxa"/>
            <w:tcBorders/>
            <w:shd w:fill="CFF0FC" w:val="clear"/>
            <w:vAlign w:val="center"/>
          </w:tcPr>
          <w:p>
            <w:pPr>
              <w:pStyle w:val="TableContents"/>
              <w:bidi w:val="0"/>
              <w:spacing w:before="0" w:after="283"/>
              <w:jc w:val="righ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5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jc w:val="right"/>
              <w:rPr/>
            </w:pPr>
            <w:r>
              <w:rPr/>
              <w:t> </w:t>
            </w:r>
          </w:p>
        </w:tc>
      </w:tr>
      <w:tr>
        <w:trPr/>
        <w:tc>
          <w:tcPr>
            <w:tcW w:w="39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December 31, 2022</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2,711,068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191,038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(96,060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95,005</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392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4" w:type="dxa"/>
            <w:tcBorders/>
            <w:shd w:fill="CFF0FC" w:val="clear"/>
            <w:vAlign w:val="center"/>
          </w:tcPr>
          <w:p>
            <w:pPr>
              <w:pStyle w:val="TableContents"/>
              <w:bidi w:val="0"/>
              <w:spacing w:before="0" w:after="283"/>
              <w:jc w:val="left"/>
              <w:rPr/>
            </w:pPr>
            <w:r>
              <w:rPr/>
              <w:t> </w:t>
            </w:r>
          </w:p>
        </w:tc>
        <w:tc>
          <w:tcPr>
            <w:tcW w:w="5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2,112</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392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realized loss on investments</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4"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(3,868</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392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change in unrealized appreciation on investments</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4" w:type="dxa"/>
            <w:tcBorders/>
            <w:shd w:fill="CFF0FC" w:val="clear"/>
            <w:vAlign w:val="center"/>
          </w:tcPr>
          <w:p>
            <w:pPr>
              <w:pStyle w:val="TableContents"/>
              <w:bidi w:val="0"/>
              <w:spacing w:before="0" w:after="283"/>
              <w:jc w:val="left"/>
              <w:rPr/>
            </w:pPr>
            <w:r>
              <w:rPr/>
              <w:t> </w:t>
            </w:r>
          </w:p>
        </w:tc>
        <w:tc>
          <w:tcPr>
            <w:tcW w:w="5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4,346</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392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Repurchase of common stock</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(14,112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304"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392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Stock issued under dividend reinvestment plan</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4" w:type="dxa"/>
            <w:tcBorders/>
            <w:shd w:fill="CFF0FC" w:val="clear"/>
            <w:vAlign w:val="center"/>
          </w:tcPr>
          <w:p>
            <w:pPr>
              <w:pStyle w:val="TableContents"/>
              <w:bidi w:val="0"/>
              <w:spacing w:before="0" w:after="283"/>
              <w:jc w:val="left"/>
              <w:rPr/>
            </w:pPr>
            <w:r>
              <w:rPr/>
              <w:t> </w:t>
            </w:r>
          </w:p>
        </w:tc>
        <w:tc>
          <w:tcPr>
            <w:tcW w:w="5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392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Distributions declared</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4"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(1,083</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(1,083</w:t>
            </w:r>
          </w:p>
        </w:tc>
        <w:tc>
          <w:tcPr>
            <w:tcW w:w="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9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June 30, 2023</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2,697,143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190,752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(94,553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96,226</w:t>
            </w:r>
          </w:p>
        </w:tc>
        <w:tc>
          <w:tcPr>
            <w:tcW w:w="3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See accompanying notes to consolidated financial statements.</w:t>
      </w:r>
    </w:p>
    <w:p>
      <w:pPr>
        <w:pStyle w:val="TextBody"/>
        <w:bidi w:val="0"/>
        <w:jc w:val="center"/>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sz w:val="20"/>
        </w:rPr>
      </w:pPr>
      <w:bookmarkStart w:id="7" w:name="statements_of_cash_flows"/>
      <w:bookmarkEnd w:id="7"/>
      <w:r>
        <w:rPr>
          <w:rFonts w:ascii="Times New Roman" w:hAnsi="Times New Roman"/>
          <w:b/>
          <w:color w:val="000000"/>
          <w:sz w:val="16"/>
        </w:rPr>
        <w:t>CONSOLIDATED STATEMENTS</w:t>
      </w:r>
      <w:r>
        <w:rPr>
          <w:rFonts w:ascii="Times New Roman" w:hAnsi="Times New Roman"/>
          <w:color w:val="000000"/>
          <w:sz w:val="20"/>
        </w:rPr>
        <w:t xml:space="preserve"> </w:t>
      </w:r>
      <w:r>
        <w:rPr>
          <w:rFonts w:ascii="Times New Roman" w:hAnsi="Times New Roman"/>
          <w:b/>
          <w:color w:val="000000"/>
          <w:sz w:val="16"/>
        </w:rPr>
        <w:t>OF CASH FLOWS</w:t>
      </w:r>
    </w:p>
    <w:p>
      <w:pPr>
        <w:pStyle w:val="TextBody"/>
        <w:bidi w:val="0"/>
        <w:jc w:val="center"/>
        <w:rPr>
          <w:rFonts w:ascii="Times New Roman" w:hAnsi="Times New Roman"/>
          <w:b/>
          <w:color w:val="000000"/>
          <w:sz w:val="16"/>
        </w:rPr>
      </w:pPr>
      <w:r>
        <w:rPr>
          <w:rFonts w:ascii="Times New Roman" w:hAnsi="Times New Roman"/>
          <w:b/>
          <w:color w:val="000000"/>
          <w:sz w:val="16"/>
        </w:rPr>
        <w:t>(in thousands)</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105"/>
        <w:gridCol w:w="146"/>
        <w:gridCol w:w="235"/>
        <w:gridCol w:w="797"/>
        <w:gridCol w:w="199"/>
        <w:gridCol w:w="175"/>
        <w:gridCol w:w="235"/>
        <w:gridCol w:w="797"/>
        <w:gridCol w:w="516"/>
      </w:tblGrid>
      <w:tr>
        <w:trPr/>
        <w:tc>
          <w:tcPr>
            <w:tcW w:w="71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71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0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05"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vAlign w:val="center"/>
          </w:tcPr>
          <w:p>
            <w:pPr>
              <w:pStyle w:val="TableContents"/>
              <w:bidi w:val="0"/>
              <w:spacing w:before="0" w:after="283"/>
              <w:jc w:val="right"/>
              <w:rPr/>
            </w:pPr>
            <w:r>
              <w:rPr/>
              <w:t> </w:t>
            </w:r>
          </w:p>
        </w:tc>
        <w:tc>
          <w:tcPr>
            <w:tcW w:w="1032" w:type="dxa"/>
            <w:gridSpan w:val="2"/>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right"/>
              <w:rPr/>
            </w:pPr>
            <w:r>
              <w:rPr/>
              <w:t> </w:t>
            </w:r>
          </w:p>
        </w:tc>
        <w:tc>
          <w:tcPr>
            <w:tcW w:w="175" w:type="dxa"/>
            <w:tcBorders/>
            <w:shd w:fill="CFF0FC" w:val="clear"/>
            <w:vAlign w:val="center"/>
          </w:tcPr>
          <w:p>
            <w:pPr>
              <w:pStyle w:val="TableContents"/>
              <w:bidi w:val="0"/>
              <w:spacing w:before="0" w:after="283"/>
              <w:jc w:val="right"/>
              <w:rPr/>
            </w:pPr>
            <w:r>
              <w:rPr/>
              <w:t> </w:t>
            </w:r>
          </w:p>
        </w:tc>
        <w:tc>
          <w:tcPr>
            <w:tcW w:w="1032" w:type="dxa"/>
            <w:gridSpan w:val="2"/>
            <w:tcBorders/>
            <w:shd w:fill="CFF0FC" w:val="clear"/>
            <w:vAlign w:val="center"/>
          </w:tcPr>
          <w:p>
            <w:pPr>
              <w:pStyle w:val="TableContents"/>
              <w:bidi w:val="0"/>
              <w:spacing w:before="0" w:after="283"/>
              <w:jc w:val="right"/>
              <w:rPr/>
            </w:pPr>
            <w:r>
              <w:rPr/>
              <w:t> </w:t>
            </w:r>
          </w:p>
        </w:tc>
        <w:tc>
          <w:tcPr>
            <w:tcW w:w="516" w:type="dxa"/>
            <w:tcBorders/>
            <w:shd w:fill="CFF0FC" w:val="clear"/>
            <w:vAlign w:val="center"/>
          </w:tcPr>
          <w:p>
            <w:pPr>
              <w:pStyle w:val="TableContents"/>
              <w:bidi w:val="0"/>
              <w:spacing w:before="0" w:after="283"/>
              <w:ind w:left="0" w:right="0" w:firstLine="100"/>
              <w:jc w:val="right"/>
              <w:rPr/>
            </w:pPr>
            <w:r>
              <w:rPr/>
              <w:t> </w:t>
            </w:r>
          </w:p>
        </w:tc>
      </w:tr>
      <w:tr>
        <w:trPr/>
        <w:tc>
          <w:tcPr>
            <w:tcW w:w="7105"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1,193</w:t>
            </w:r>
          </w:p>
        </w:tc>
        <w:tc>
          <w:tcPr>
            <w:tcW w:w="199"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2,590</w:t>
            </w:r>
          </w:p>
        </w:tc>
        <w:tc>
          <w:tcPr>
            <w:tcW w:w="516" w:type="dxa"/>
            <w:tcBorders/>
            <w:shd w:fill="FFFFFF" w:val="clear"/>
            <w:vAlign w:val="center"/>
          </w:tcPr>
          <w:p>
            <w:pPr>
              <w:pStyle w:val="TableContents"/>
              <w:bidi w:val="0"/>
              <w:spacing w:before="0" w:after="283"/>
              <w:ind w:left="0" w:right="0" w:firstLine="100"/>
              <w:jc w:val="left"/>
              <w:rPr/>
            </w:pPr>
            <w:r>
              <w:rPr/>
              <w:t> </w:t>
            </w:r>
          </w:p>
        </w:tc>
      </w:tr>
      <w:tr>
        <w:trPr/>
        <w:tc>
          <w:tcPr>
            <w:tcW w:w="7105"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Adjustments to reconcile net increase (decrease) in net assets resulting from operations to net cash (used in) provided by operating activities:</w:t>
            </w:r>
          </w:p>
        </w:tc>
        <w:tc>
          <w:tcPr>
            <w:tcW w:w="146" w:type="dxa"/>
            <w:tcBorders/>
            <w:shd w:fill="CFF0FC" w:val="clear"/>
            <w:vAlign w:val="center"/>
          </w:tcPr>
          <w:p>
            <w:pPr>
              <w:pStyle w:val="TableContents"/>
              <w:bidi w:val="0"/>
              <w:spacing w:before="0" w:after="283"/>
              <w:jc w:val="right"/>
              <w:rPr/>
            </w:pPr>
            <w:r>
              <w:rPr/>
              <w:t> </w:t>
            </w:r>
          </w:p>
        </w:tc>
        <w:tc>
          <w:tcPr>
            <w:tcW w:w="1032" w:type="dxa"/>
            <w:gridSpan w:val="2"/>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right"/>
              <w:rPr/>
            </w:pPr>
            <w:r>
              <w:rPr/>
              <w:t> </w:t>
            </w:r>
          </w:p>
        </w:tc>
        <w:tc>
          <w:tcPr>
            <w:tcW w:w="175" w:type="dxa"/>
            <w:tcBorders/>
            <w:shd w:fill="CFF0FC" w:val="clear"/>
            <w:vAlign w:val="center"/>
          </w:tcPr>
          <w:p>
            <w:pPr>
              <w:pStyle w:val="TableContents"/>
              <w:bidi w:val="0"/>
              <w:spacing w:before="0" w:after="283"/>
              <w:jc w:val="right"/>
              <w:rPr/>
            </w:pPr>
            <w:r>
              <w:rPr/>
              <w:t> </w:t>
            </w:r>
          </w:p>
        </w:tc>
        <w:tc>
          <w:tcPr>
            <w:tcW w:w="1032" w:type="dxa"/>
            <w:gridSpan w:val="2"/>
            <w:tcBorders/>
            <w:shd w:fill="CFF0FC" w:val="clear"/>
            <w:vAlign w:val="center"/>
          </w:tcPr>
          <w:p>
            <w:pPr>
              <w:pStyle w:val="TableContents"/>
              <w:bidi w:val="0"/>
              <w:spacing w:before="0" w:after="283"/>
              <w:jc w:val="right"/>
              <w:rPr/>
            </w:pPr>
            <w:r>
              <w:rPr/>
              <w:t> </w:t>
            </w:r>
          </w:p>
        </w:tc>
        <w:tc>
          <w:tcPr>
            <w:tcW w:w="516" w:type="dxa"/>
            <w:tcBorders/>
            <w:shd w:fill="CFF0FC" w:val="clear"/>
            <w:vAlign w:val="center"/>
          </w:tcPr>
          <w:p>
            <w:pPr>
              <w:pStyle w:val="TableContents"/>
              <w:bidi w:val="0"/>
              <w:spacing w:before="0" w:after="283"/>
              <w:ind w:left="0" w:right="0" w:firstLine="200"/>
              <w:jc w:val="right"/>
              <w:rPr/>
            </w:pPr>
            <w:r>
              <w:rPr/>
              <w:t> </w:t>
            </w:r>
          </w:p>
        </w:tc>
      </w:tr>
      <w:tr>
        <w:trPr/>
        <w:tc>
          <w:tcPr>
            <w:tcW w:w="710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 of investments</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(11,335</w:t>
            </w:r>
          </w:p>
        </w:tc>
        <w:tc>
          <w:tcPr>
            <w:tcW w:w="19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5"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(12,242</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10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Repayments and sales of investments</w:t>
            </w:r>
          </w:p>
        </w:tc>
        <w:tc>
          <w:tcPr>
            <w:tcW w:w="146"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6,495</w:t>
            </w:r>
          </w:p>
        </w:tc>
        <w:tc>
          <w:tcPr>
            <w:tcW w:w="199"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11,242</w:t>
            </w:r>
          </w:p>
        </w:tc>
        <w:tc>
          <w:tcPr>
            <w:tcW w:w="516" w:type="dxa"/>
            <w:tcBorders/>
            <w:shd w:fill="CFF0FC" w:val="clear"/>
            <w:vAlign w:val="center"/>
          </w:tcPr>
          <w:p>
            <w:pPr>
              <w:pStyle w:val="TableContents"/>
              <w:bidi w:val="0"/>
              <w:spacing w:before="0" w:after="283"/>
              <w:ind w:left="0" w:right="0" w:firstLine="200"/>
              <w:jc w:val="left"/>
              <w:rPr/>
            </w:pPr>
            <w:r>
              <w:rPr/>
              <w:t> </w:t>
            </w:r>
          </w:p>
        </w:tc>
      </w:tr>
      <w:tr>
        <w:trPr/>
        <w:tc>
          <w:tcPr>
            <w:tcW w:w="710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realized (gain) loss on investments</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19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5"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3,868</w:t>
            </w:r>
          </w:p>
        </w:tc>
        <w:tc>
          <w:tcPr>
            <w:tcW w:w="516" w:type="dxa"/>
            <w:tcBorders/>
            <w:shd w:fill="FFFFFF" w:val="clear"/>
            <w:vAlign w:val="center"/>
          </w:tcPr>
          <w:p>
            <w:pPr>
              <w:pStyle w:val="TableContents"/>
              <w:bidi w:val="0"/>
              <w:spacing w:before="0" w:after="283"/>
              <w:ind w:left="0" w:right="0" w:firstLine="200"/>
              <w:jc w:val="left"/>
              <w:rPr/>
            </w:pPr>
            <w:r>
              <w:rPr/>
              <w:t> </w:t>
            </w:r>
          </w:p>
        </w:tc>
      </w:tr>
      <w:tr>
        <w:trPr/>
        <w:tc>
          <w:tcPr>
            <w:tcW w:w="710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realized loss on extinguishment of debt</w:t>
            </w:r>
          </w:p>
        </w:tc>
        <w:tc>
          <w:tcPr>
            <w:tcW w:w="146"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199"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jc w:val="right"/>
              <w:rPr>
                <w:color w:val="000000"/>
              </w:rPr>
            </w:pPr>
            <w:r>
              <w:rPr>
                <w:color w:val="000000"/>
              </w:rPr>
              <w:t>—</w:t>
            </w:r>
          </w:p>
        </w:tc>
        <w:tc>
          <w:tcPr>
            <w:tcW w:w="516" w:type="dxa"/>
            <w:tcBorders/>
            <w:shd w:fill="CFF0FC" w:val="clear"/>
            <w:vAlign w:val="center"/>
          </w:tcPr>
          <w:p>
            <w:pPr>
              <w:pStyle w:val="TableContents"/>
              <w:bidi w:val="0"/>
              <w:spacing w:before="0" w:after="283"/>
              <w:ind w:left="0" w:right="0" w:firstLine="200"/>
              <w:jc w:val="left"/>
              <w:rPr/>
            </w:pPr>
            <w:r>
              <w:rPr/>
              <w:t> </w:t>
            </w:r>
          </w:p>
        </w:tc>
      </w:tr>
      <w:tr>
        <w:trPr/>
        <w:tc>
          <w:tcPr>
            <w:tcW w:w="710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change in unrealized (appreciation) depreciation on investments</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w:t>
            </w:r>
          </w:p>
        </w:tc>
        <w:tc>
          <w:tcPr>
            <w:tcW w:w="199"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(4,346</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10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Payment-in-kind interest and dividends</w:t>
            </w:r>
          </w:p>
        </w:tc>
        <w:tc>
          <w:tcPr>
            <w:tcW w:w="146"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(871</w:t>
            </w:r>
          </w:p>
        </w:tc>
        <w:tc>
          <w:tcPr>
            <w:tcW w:w="19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5"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(783</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10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Accretion of original issue discount on investments</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w:t>
            </w:r>
          </w:p>
        </w:tc>
        <w:tc>
          <w:tcPr>
            <w:tcW w:w="19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5"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(736</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10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Amortization of deferred financing fees and original issue discount</w:t>
            </w:r>
          </w:p>
        </w:tc>
        <w:tc>
          <w:tcPr>
            <w:tcW w:w="146"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w:t>
            </w:r>
          </w:p>
        </w:tc>
        <w:tc>
          <w:tcPr>
            <w:tcW w:w="199"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w:t>
            </w:r>
          </w:p>
        </w:tc>
        <w:tc>
          <w:tcPr>
            <w:tcW w:w="516" w:type="dxa"/>
            <w:tcBorders/>
            <w:shd w:fill="CFF0FC" w:val="clear"/>
            <w:vAlign w:val="center"/>
          </w:tcPr>
          <w:p>
            <w:pPr>
              <w:pStyle w:val="TableContents"/>
              <w:bidi w:val="0"/>
              <w:spacing w:before="0" w:after="283"/>
              <w:ind w:left="0" w:right="0" w:firstLine="200"/>
              <w:jc w:val="left"/>
              <w:rPr/>
            </w:pPr>
            <w:r>
              <w:rPr/>
              <w:t> </w:t>
            </w:r>
          </w:p>
        </w:tc>
      </w:tr>
      <w:tr>
        <w:trPr/>
        <w:tc>
          <w:tcPr>
            <w:tcW w:w="710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Changes in assets and liabilities:</w:t>
            </w:r>
          </w:p>
        </w:tc>
        <w:tc>
          <w:tcPr>
            <w:tcW w:w="146" w:type="dxa"/>
            <w:tcBorders/>
            <w:shd w:fill="FFFFFF" w:val="clear"/>
            <w:vAlign w:val="center"/>
          </w:tcPr>
          <w:p>
            <w:pPr>
              <w:pStyle w:val="TableContents"/>
              <w:bidi w:val="0"/>
              <w:spacing w:before="0" w:after="283"/>
              <w:jc w:val="right"/>
              <w:rPr/>
            </w:pPr>
            <w:r>
              <w:rPr/>
              <w:t> </w:t>
            </w:r>
          </w:p>
        </w:tc>
        <w:tc>
          <w:tcPr>
            <w:tcW w:w="1032" w:type="dxa"/>
            <w:gridSpan w:val="2"/>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right"/>
              <w:rPr/>
            </w:pPr>
            <w:r>
              <w:rPr/>
              <w:t> </w:t>
            </w:r>
          </w:p>
        </w:tc>
        <w:tc>
          <w:tcPr>
            <w:tcW w:w="1032" w:type="dxa"/>
            <w:gridSpan w:val="2"/>
            <w:tcBorders/>
            <w:shd w:fill="FFFFFF" w:val="clear"/>
            <w:vAlign w:val="center"/>
          </w:tcPr>
          <w:p>
            <w:pPr>
              <w:pStyle w:val="TableContents"/>
              <w:bidi w:val="0"/>
              <w:spacing w:before="0" w:after="283"/>
              <w:jc w:val="right"/>
              <w:rPr/>
            </w:pPr>
            <w:r>
              <w:rPr/>
              <w:t> </w:t>
            </w:r>
          </w:p>
        </w:tc>
        <w:tc>
          <w:tcPr>
            <w:tcW w:w="516" w:type="dxa"/>
            <w:tcBorders/>
            <w:shd w:fill="FFFFFF" w:val="clear"/>
            <w:vAlign w:val="center"/>
          </w:tcPr>
          <w:p>
            <w:pPr>
              <w:pStyle w:val="TableContents"/>
              <w:bidi w:val="0"/>
              <w:spacing w:before="0" w:after="283"/>
              <w:ind w:left="0" w:right="0" w:firstLine="300"/>
              <w:jc w:val="right"/>
              <w:rPr/>
            </w:pPr>
            <w:r>
              <w:rPr/>
              <w:t> </w:t>
            </w:r>
          </w:p>
        </w:tc>
      </w:tr>
      <w:tr>
        <w:trPr/>
        <w:tc>
          <w:tcPr>
            <w:tcW w:w="7105"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6"/>
              </w:rPr>
            </w:pPr>
            <w:r>
              <w:rPr>
                <w:rFonts w:ascii="Times New Roman" w:hAnsi="Times New Roman"/>
                <w:color w:val="000000"/>
                <w:sz w:val="16"/>
              </w:rPr>
              <w:t>Interest and dividend receivable</w:t>
            </w:r>
          </w:p>
        </w:tc>
        <w:tc>
          <w:tcPr>
            <w:tcW w:w="146"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w:t>
            </w:r>
          </w:p>
        </w:tc>
        <w:tc>
          <w:tcPr>
            <w:tcW w:w="19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5"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w:t>
            </w:r>
          </w:p>
        </w:tc>
        <w:tc>
          <w:tcPr>
            <w:tcW w:w="516" w:type="dxa"/>
            <w:tcBorders/>
            <w:shd w:fill="CFF0FC" w:val="cle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7105"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6"/>
              </w:rPr>
            </w:pPr>
            <w:r>
              <w:rPr>
                <w:rFonts w:ascii="Times New Roman" w:hAnsi="Times New Roman"/>
                <w:color w:val="000000"/>
                <w:sz w:val="16"/>
              </w:rPr>
              <w:t>Prepaid expenses</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w:t>
            </w:r>
          </w:p>
        </w:tc>
        <w:tc>
          <w:tcPr>
            <w:tcW w:w="199"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w:t>
            </w:r>
          </w:p>
        </w:tc>
        <w:tc>
          <w:tcPr>
            <w:tcW w:w="516" w:type="dxa"/>
            <w:tcBorders/>
            <w:shd w:fill="FFFFFF" w:val="clear"/>
            <w:vAlign w:val="center"/>
          </w:tcPr>
          <w:p>
            <w:pPr>
              <w:pStyle w:val="TableContents"/>
              <w:bidi w:val="0"/>
              <w:spacing w:before="0" w:after="283"/>
              <w:ind w:left="0" w:right="0" w:firstLine="300"/>
              <w:jc w:val="left"/>
              <w:rPr/>
            </w:pPr>
            <w:r>
              <w:rPr/>
              <w:t> </w:t>
            </w:r>
          </w:p>
        </w:tc>
      </w:tr>
      <w:tr>
        <w:trPr/>
        <w:tc>
          <w:tcPr>
            <w:tcW w:w="7105"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w:t>
            </w:r>
          </w:p>
        </w:tc>
        <w:tc>
          <w:tcPr>
            <w:tcW w:w="19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5"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516" w:type="dxa"/>
            <w:tcBorders/>
            <w:shd w:fill="CFF0FC" w:val="clear"/>
            <w:vAlign w:val="center"/>
          </w:tcPr>
          <w:p>
            <w:pPr>
              <w:pStyle w:val="TableContents"/>
              <w:bidi w:val="0"/>
              <w:spacing w:before="0" w:after="283"/>
              <w:ind w:left="0" w:right="0" w:firstLine="300"/>
              <w:jc w:val="left"/>
              <w:rPr/>
            </w:pPr>
            <w:r>
              <w:rPr/>
              <w:t> </w:t>
            </w:r>
          </w:p>
        </w:tc>
      </w:tr>
      <w:tr>
        <w:trPr/>
        <w:tc>
          <w:tcPr>
            <w:tcW w:w="7105"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6"/>
              </w:rPr>
            </w:pPr>
            <w:r>
              <w:rPr>
                <w:rFonts w:ascii="Times New Roman" w:hAnsi="Times New Roman"/>
                <w:color w:val="000000"/>
                <w:sz w:val="16"/>
              </w:rPr>
              <w:t>Management and incentive fees payable</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99"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516" w:type="dxa"/>
            <w:tcBorders/>
            <w:shd w:fill="FFFFFF" w:val="clear"/>
            <w:vAlign w:val="center"/>
          </w:tcPr>
          <w:p>
            <w:pPr>
              <w:pStyle w:val="TableContents"/>
              <w:bidi w:val="0"/>
              <w:spacing w:before="0" w:after="283"/>
              <w:ind w:left="0" w:right="0" w:firstLine="300"/>
              <w:jc w:val="left"/>
              <w:rPr/>
            </w:pPr>
            <w:r>
              <w:rPr/>
              <w:t> </w:t>
            </w:r>
          </w:p>
        </w:tc>
      </w:tr>
      <w:tr>
        <w:trPr/>
        <w:tc>
          <w:tcPr>
            <w:tcW w:w="7105"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6"/>
              </w:rPr>
            </w:pPr>
            <w:r>
              <w:rPr>
                <w:rFonts w:ascii="Times New Roman" w:hAnsi="Times New Roman"/>
                <w:color w:val="000000"/>
                <w:sz w:val="16"/>
              </w:rPr>
              <w:t>Interest and financing fees payable</w:t>
            </w:r>
          </w:p>
        </w:tc>
        <w:tc>
          <w:tcPr>
            <w:tcW w:w="146"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w:t>
            </w:r>
          </w:p>
        </w:tc>
        <w:tc>
          <w:tcPr>
            <w:tcW w:w="199"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516" w:type="dxa"/>
            <w:tcBorders/>
            <w:shd w:fill="CFF0FC" w:val="clear"/>
            <w:vAlign w:val="center"/>
          </w:tcPr>
          <w:p>
            <w:pPr>
              <w:pStyle w:val="TableContents"/>
              <w:bidi w:val="0"/>
              <w:spacing w:before="0" w:after="283"/>
              <w:ind w:left="0" w:right="0" w:firstLine="300"/>
              <w:jc w:val="left"/>
              <w:rPr/>
            </w:pPr>
            <w:r>
              <w:rPr/>
              <w:t> </w:t>
            </w:r>
          </w:p>
        </w:tc>
      </w:tr>
      <w:tr>
        <w:trPr/>
        <w:tc>
          <w:tcPr>
            <w:tcW w:w="7105"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6"/>
              </w:rPr>
            </w:pPr>
            <w:r>
              <w:rPr>
                <w:rFonts w:ascii="Times New Roman" w:hAnsi="Times New Roman"/>
                <w:color w:val="000000"/>
                <w:sz w:val="16"/>
              </w:rPr>
              <w:t>Payable for unsettled trades</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(3,747</w:t>
            </w:r>
          </w:p>
        </w:tc>
        <w:tc>
          <w:tcPr>
            <w:tcW w:w="19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5"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color w:val="000000"/>
              </w:rPr>
            </w:pPr>
            <w:r>
              <w:rPr>
                <w:color w:val="000000"/>
              </w:rPr>
              <w:t>—</w:t>
            </w:r>
          </w:p>
        </w:tc>
        <w:tc>
          <w:tcPr>
            <w:tcW w:w="516" w:type="dxa"/>
            <w:tcBorders/>
            <w:shd w:fill="FFFFFF" w:val="clear"/>
            <w:vAlign w:val="center"/>
          </w:tcPr>
          <w:p>
            <w:pPr>
              <w:pStyle w:val="TableContents"/>
              <w:bidi w:val="0"/>
              <w:spacing w:before="0" w:after="283"/>
              <w:ind w:left="0" w:right="0" w:firstLine="300"/>
              <w:jc w:val="left"/>
              <w:rPr/>
            </w:pPr>
            <w:r>
              <w:rPr/>
              <w:t> </w:t>
            </w:r>
          </w:p>
        </w:tc>
      </w:tr>
      <w:tr>
        <w:trPr/>
        <w:tc>
          <w:tcPr>
            <w:tcW w:w="7105"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6"/>
              </w:rPr>
            </w:pPr>
            <w:r>
              <w:rPr>
                <w:rFonts w:ascii="Times New Roman" w:hAnsi="Times New Roman"/>
                <w:color w:val="000000"/>
                <w:sz w:val="16"/>
              </w:rPr>
              <w:t>Accounts payable and accrued expenses</w:t>
            </w:r>
          </w:p>
        </w:tc>
        <w:tc>
          <w:tcPr>
            <w:tcW w:w="146" w:type="dxa"/>
            <w:tcBorders/>
            <w:shd w:fill="CFF0FC" w:val="clear"/>
            <w:vAlign w:val="center"/>
          </w:tcPr>
          <w:p>
            <w:pPr>
              <w:pStyle w:val="TableContents"/>
              <w:bidi w:val="0"/>
              <w:spacing w:before="0" w:after="283"/>
              <w:jc w:val="righ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righ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0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PROVIDED BY (USED IN) OPERATING ACTIVITIES</w:t>
            </w:r>
          </w:p>
        </w:tc>
        <w:tc>
          <w:tcPr>
            <w:tcW w:w="146" w:type="dxa"/>
            <w:tcBorders/>
            <w:shd w:fill="FFFFFF" w:val="cle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(8,459</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5" w:type="dxa"/>
            <w:tcBorders/>
            <w:shd w:fill="FFFFFF" w:val="cle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05"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CFF0FC" w:val="clear"/>
            <w:vAlign w:val="center"/>
          </w:tcPr>
          <w:p>
            <w:pPr>
              <w:pStyle w:val="TableContents"/>
              <w:bidi w:val="0"/>
              <w:spacing w:before="0" w:after="283"/>
              <w:jc w:val="right"/>
              <w:rPr/>
            </w:pPr>
            <w:r>
              <w:rPr/>
              <w:t> </w:t>
            </w:r>
          </w:p>
        </w:tc>
        <w:tc>
          <w:tcPr>
            <w:tcW w:w="1032" w:type="dxa"/>
            <w:gridSpan w:val="2"/>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right"/>
              <w:rPr/>
            </w:pPr>
            <w:r>
              <w:rPr/>
              <w:t> </w:t>
            </w:r>
          </w:p>
        </w:tc>
        <w:tc>
          <w:tcPr>
            <w:tcW w:w="175" w:type="dxa"/>
            <w:tcBorders/>
            <w:shd w:fill="CFF0FC" w:val="clear"/>
            <w:vAlign w:val="center"/>
          </w:tcPr>
          <w:p>
            <w:pPr>
              <w:pStyle w:val="TableContents"/>
              <w:bidi w:val="0"/>
              <w:spacing w:before="0" w:after="283"/>
              <w:jc w:val="right"/>
              <w:rPr/>
            </w:pPr>
            <w:r>
              <w:rPr/>
              <w:t> </w:t>
            </w:r>
          </w:p>
        </w:tc>
        <w:tc>
          <w:tcPr>
            <w:tcW w:w="1032" w:type="dxa"/>
            <w:gridSpan w:val="2"/>
            <w:tcBorders/>
            <w:shd w:fill="CFF0FC" w:val="clear"/>
            <w:vAlign w:val="center"/>
          </w:tcPr>
          <w:p>
            <w:pPr>
              <w:pStyle w:val="TableContents"/>
              <w:bidi w:val="0"/>
              <w:spacing w:before="0" w:after="283"/>
              <w:jc w:val="right"/>
              <w:rPr/>
            </w:pPr>
            <w:r>
              <w:rPr/>
              <w:t> </w:t>
            </w:r>
          </w:p>
        </w:tc>
        <w:tc>
          <w:tcPr>
            <w:tcW w:w="516" w:type="dxa"/>
            <w:tcBorders/>
            <w:shd w:fill="CFF0FC" w:val="clear"/>
            <w:vAlign w:val="center"/>
          </w:tcPr>
          <w:p>
            <w:pPr>
              <w:pStyle w:val="TableContents"/>
              <w:bidi w:val="0"/>
              <w:spacing w:before="0" w:after="283"/>
              <w:ind w:left="0" w:right="0" w:firstLine="100"/>
              <w:jc w:val="right"/>
              <w:rPr/>
            </w:pPr>
            <w:r>
              <w:rPr/>
              <w:t> </w:t>
            </w:r>
          </w:p>
        </w:tc>
      </w:tr>
      <w:tr>
        <w:trPr/>
        <w:tc>
          <w:tcPr>
            <w:tcW w:w="7105"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Repayment of 2032 Convertible Notes</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w:t>
            </w:r>
          </w:p>
        </w:tc>
        <w:tc>
          <w:tcPr>
            <w:tcW w:w="19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5"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color w:val="000000"/>
              </w:rPr>
            </w:pPr>
            <w:r>
              <w:rPr>
                <w:color w:val="000000"/>
              </w:rPr>
              <w:t>—</w:t>
            </w:r>
          </w:p>
        </w:tc>
        <w:tc>
          <w:tcPr>
            <w:tcW w:w="516" w:type="dxa"/>
            <w:tcBorders/>
            <w:shd w:fill="FFFFFF" w:val="clear"/>
            <w:vAlign w:val="center"/>
          </w:tcPr>
          <w:p>
            <w:pPr>
              <w:pStyle w:val="TableContents"/>
              <w:bidi w:val="0"/>
              <w:spacing w:before="0" w:after="283"/>
              <w:ind w:left="0" w:right="0" w:firstLine="100"/>
              <w:jc w:val="left"/>
              <w:rPr/>
            </w:pPr>
            <w:r>
              <w:rPr/>
              <w:t> </w:t>
            </w:r>
          </w:p>
        </w:tc>
      </w:tr>
      <w:tr>
        <w:trPr/>
        <w:tc>
          <w:tcPr>
            <w:tcW w:w="7105"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Borrowings under KeyBank Credit Facility</w:t>
            </w:r>
          </w:p>
        </w:tc>
        <w:tc>
          <w:tcPr>
            <w:tcW w:w="146"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16,000</w:t>
            </w:r>
          </w:p>
        </w:tc>
        <w:tc>
          <w:tcPr>
            <w:tcW w:w="199"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14,000</w:t>
            </w:r>
          </w:p>
        </w:tc>
        <w:tc>
          <w:tcPr>
            <w:tcW w:w="516" w:type="dxa"/>
            <w:tcBorders/>
            <w:shd w:fill="CFF0FC" w:val="clear"/>
            <w:vAlign w:val="center"/>
          </w:tcPr>
          <w:p>
            <w:pPr>
              <w:pStyle w:val="TableContents"/>
              <w:bidi w:val="0"/>
              <w:spacing w:before="0" w:after="283"/>
              <w:ind w:left="0" w:right="0" w:firstLine="100"/>
              <w:jc w:val="left"/>
              <w:rPr/>
            </w:pPr>
            <w:r>
              <w:rPr/>
              <w:t> </w:t>
            </w:r>
          </w:p>
        </w:tc>
      </w:tr>
      <w:tr>
        <w:trPr/>
        <w:tc>
          <w:tcPr>
            <w:tcW w:w="7105"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Repayments under KeyBank Credit Facility</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(2,447</w:t>
            </w:r>
          </w:p>
        </w:tc>
        <w:tc>
          <w:tcPr>
            <w:tcW w:w="19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5"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(13,501</w:t>
            </w:r>
          </w:p>
        </w:tc>
        <w:tc>
          <w:tcPr>
            <w:tcW w:w="516"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7105"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Distributions paid to shareholders</w:t>
            </w:r>
          </w:p>
        </w:tc>
        <w:tc>
          <w:tcPr>
            <w:tcW w:w="146"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(1,732</w:t>
            </w:r>
          </w:p>
        </w:tc>
        <w:tc>
          <w:tcPr>
            <w:tcW w:w="19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5"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(1,079</w:t>
            </w:r>
          </w:p>
        </w:tc>
        <w:tc>
          <w:tcPr>
            <w:tcW w:w="516"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7105"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Repurchase of common stock</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w:t>
            </w:r>
          </w:p>
        </w:tc>
        <w:tc>
          <w:tcPr>
            <w:tcW w:w="19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5"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w:t>
            </w:r>
          </w:p>
        </w:tc>
        <w:tc>
          <w:tcPr>
            <w:tcW w:w="5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10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PROVIDED BY (USED IN) FINANCING ACTIVITIES</w:t>
            </w:r>
          </w:p>
        </w:tc>
        <w:tc>
          <w:tcPr>
            <w:tcW w:w="146" w:type="dxa"/>
            <w:tcBorders/>
            <w:shd w:fill="CFF0FC" w:val="clear"/>
            <w:vAlign w:val="center"/>
          </w:tcPr>
          <w:p>
            <w:pPr>
              <w:pStyle w:val="TableContents"/>
              <w:bidi w:val="0"/>
              <w:spacing w:before="0" w:after="283"/>
              <w:jc w:val="right"/>
              <w:rPr/>
            </w:pPr>
            <w:r>
              <w:rPr/>
              <w:t> </w:t>
            </w:r>
          </w:p>
        </w:tc>
        <w:tc>
          <w:tcPr>
            <w:tcW w:w="23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9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8,850</w:t>
            </w:r>
          </w:p>
        </w:tc>
        <w:tc>
          <w:tcPr>
            <w:tcW w:w="19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right"/>
              <w:rPr/>
            </w:pPr>
            <w:r>
              <w:rPr/>
              <w:t> </w:t>
            </w:r>
          </w:p>
        </w:tc>
        <w:tc>
          <w:tcPr>
            <w:tcW w:w="23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9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(870</w:t>
            </w:r>
          </w:p>
        </w:tc>
        <w:tc>
          <w:tcPr>
            <w:tcW w:w="51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10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(DECREASE)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w:t>
            </w:r>
          </w:p>
        </w:tc>
        <w:tc>
          <w:tcPr>
            <w:tcW w:w="199"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w:t>
            </w:r>
          </w:p>
        </w:tc>
        <w:tc>
          <w:tcPr>
            <w:tcW w:w="5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10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beginning of period</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3,893</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6,793</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0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end of period</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4,284</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6,287</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0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SUPPLEMENTAL DISCLOSURE OF CASH FLOW INFORMATION</w:t>
            </w:r>
          </w:p>
        </w:tc>
        <w:tc>
          <w:tcPr>
            <w:tcW w:w="146" w:type="dxa"/>
            <w:tcBorders/>
            <w:shd w:fill="CFF0FC" w:val="clear"/>
            <w:vAlign w:val="center"/>
          </w:tcPr>
          <w:p>
            <w:pPr>
              <w:pStyle w:val="TableContents"/>
              <w:bidi w:val="0"/>
              <w:spacing w:before="0" w:after="283"/>
              <w:jc w:val="right"/>
              <w:rPr/>
            </w:pPr>
            <w:r>
              <w:rPr/>
              <w:t> </w:t>
            </w:r>
          </w:p>
        </w:tc>
        <w:tc>
          <w:tcPr>
            <w:tcW w:w="1032" w:type="dxa"/>
            <w:gridSpan w:val="2"/>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right"/>
              <w:rPr/>
            </w:pPr>
            <w:r>
              <w:rPr/>
              <w:t> </w:t>
            </w:r>
          </w:p>
        </w:tc>
        <w:tc>
          <w:tcPr>
            <w:tcW w:w="175" w:type="dxa"/>
            <w:tcBorders/>
            <w:shd w:fill="CFF0FC" w:val="clear"/>
            <w:vAlign w:val="center"/>
          </w:tcPr>
          <w:p>
            <w:pPr>
              <w:pStyle w:val="TableContents"/>
              <w:bidi w:val="0"/>
              <w:spacing w:before="0" w:after="283"/>
              <w:jc w:val="right"/>
              <w:rPr/>
            </w:pPr>
            <w:r>
              <w:rPr/>
              <w:t> </w:t>
            </w:r>
          </w:p>
        </w:tc>
        <w:tc>
          <w:tcPr>
            <w:tcW w:w="1032" w:type="dxa"/>
            <w:gridSpan w:val="2"/>
            <w:tcBorders/>
            <w:shd w:fill="CFF0FC" w:val="clear"/>
            <w:vAlign w:val="center"/>
          </w:tcPr>
          <w:p>
            <w:pPr>
              <w:pStyle w:val="TableContents"/>
              <w:bidi w:val="0"/>
              <w:spacing w:before="0" w:after="283"/>
              <w:jc w:val="right"/>
              <w:rPr/>
            </w:pPr>
            <w:r>
              <w:rPr/>
              <w:t> </w:t>
            </w:r>
          </w:p>
        </w:tc>
        <w:tc>
          <w:tcPr>
            <w:tcW w:w="516" w:type="dxa"/>
            <w:tcBorders/>
            <w:shd w:fill="CFF0FC" w:val="clear"/>
            <w:vAlign w:val="center"/>
          </w:tcPr>
          <w:p>
            <w:pPr>
              <w:pStyle w:val="TableContents"/>
              <w:bidi w:val="0"/>
              <w:spacing w:before="0" w:after="283"/>
              <w:ind w:left="0" w:right="0" w:firstLine="100"/>
              <w:jc w:val="right"/>
              <w:rPr/>
            </w:pPr>
            <w:r>
              <w:rPr/>
              <w:t> </w:t>
            </w:r>
          </w:p>
        </w:tc>
      </w:tr>
      <w:tr>
        <w:trPr/>
        <w:tc>
          <w:tcPr>
            <w:tcW w:w="7105"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Cash paid for interest</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3,724</w:t>
            </w:r>
          </w:p>
        </w:tc>
        <w:tc>
          <w:tcPr>
            <w:tcW w:w="199"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3,809</w:t>
            </w:r>
          </w:p>
        </w:tc>
        <w:tc>
          <w:tcPr>
            <w:tcW w:w="516" w:type="dxa"/>
            <w:tcBorders/>
            <w:shd w:fill="FFFFFF" w:val="clear"/>
            <w:vAlign w:val="center"/>
          </w:tcPr>
          <w:p>
            <w:pPr>
              <w:pStyle w:val="TableContents"/>
              <w:bidi w:val="0"/>
              <w:spacing w:before="0" w:after="283"/>
              <w:jc w:val="left"/>
              <w:rPr/>
            </w:pPr>
            <w:r>
              <w:rPr/>
              <w:t> </w:t>
            </w:r>
          </w:p>
        </w:tc>
      </w:tr>
      <w:tr>
        <w:trPr/>
        <w:tc>
          <w:tcPr>
            <w:tcW w:w="710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SUPPLEMENTAL DISCLOSURE OF NON-CASH INVESTING AND</w:t>
              <w:br/>
              <w:t>   FINANCING TRANSACTIONS</w:t>
            </w:r>
          </w:p>
        </w:tc>
        <w:tc>
          <w:tcPr>
            <w:tcW w:w="146" w:type="dxa"/>
            <w:tcBorders/>
            <w:shd w:fill="CFF0FC" w:val="clear"/>
            <w:vAlign w:val="center"/>
          </w:tcPr>
          <w:p>
            <w:pPr>
              <w:pStyle w:val="TableContents"/>
              <w:bidi w:val="0"/>
              <w:spacing w:before="0" w:after="283"/>
              <w:jc w:val="right"/>
              <w:rPr/>
            </w:pPr>
            <w:r>
              <w:rPr/>
              <w:t> </w:t>
            </w:r>
          </w:p>
        </w:tc>
        <w:tc>
          <w:tcPr>
            <w:tcW w:w="1032" w:type="dxa"/>
            <w:gridSpan w:val="2"/>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right"/>
              <w:rPr/>
            </w:pPr>
            <w:r>
              <w:rPr/>
              <w:t> </w:t>
            </w:r>
          </w:p>
        </w:tc>
        <w:tc>
          <w:tcPr>
            <w:tcW w:w="175" w:type="dxa"/>
            <w:tcBorders/>
            <w:shd w:fill="CFF0FC" w:val="clear"/>
            <w:vAlign w:val="center"/>
          </w:tcPr>
          <w:p>
            <w:pPr>
              <w:pStyle w:val="TableContents"/>
              <w:bidi w:val="0"/>
              <w:spacing w:before="0" w:after="283"/>
              <w:jc w:val="right"/>
              <w:rPr/>
            </w:pPr>
            <w:r>
              <w:rPr/>
              <w:t> </w:t>
            </w:r>
          </w:p>
        </w:tc>
        <w:tc>
          <w:tcPr>
            <w:tcW w:w="1032" w:type="dxa"/>
            <w:gridSpan w:val="2"/>
            <w:tcBorders/>
            <w:shd w:fill="CFF0FC" w:val="clear"/>
            <w:vAlign w:val="center"/>
          </w:tcPr>
          <w:p>
            <w:pPr>
              <w:pStyle w:val="TableContents"/>
              <w:bidi w:val="0"/>
              <w:spacing w:before="0" w:after="283"/>
              <w:jc w:val="right"/>
              <w:rPr/>
            </w:pPr>
            <w:r>
              <w:rPr/>
              <w:t> </w:t>
            </w:r>
          </w:p>
        </w:tc>
        <w:tc>
          <w:tcPr>
            <w:tcW w:w="516" w:type="dxa"/>
            <w:tcBorders/>
            <w:shd w:fill="CFF0FC" w:val="clear"/>
            <w:vAlign w:val="center"/>
          </w:tcPr>
          <w:p>
            <w:pPr>
              <w:pStyle w:val="TableContents"/>
              <w:bidi w:val="0"/>
              <w:spacing w:before="0" w:after="283"/>
              <w:ind w:left="0" w:right="0" w:firstLine="100"/>
              <w:jc w:val="right"/>
              <w:rPr/>
            </w:pPr>
            <w:r>
              <w:rPr/>
              <w:t> </w:t>
            </w:r>
          </w:p>
        </w:tc>
      </w:tr>
      <w:tr>
        <w:trPr/>
        <w:tc>
          <w:tcPr>
            <w:tcW w:w="7105"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Issuance of common stock on our convertible debt</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99"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7" w:type="dxa"/>
            <w:tcBorders/>
            <w:shd w:fill="FFFFFF" w:val="clear"/>
            <w:vAlign w:val="center"/>
          </w:tcPr>
          <w:p>
            <w:pPr>
              <w:pStyle w:val="TableContents"/>
              <w:bidi w:val="0"/>
              <w:spacing w:before="0" w:after="283"/>
              <w:jc w:val="right"/>
              <w:rPr>
                <w:color w:val="000000"/>
              </w:rPr>
            </w:pPr>
            <w:r>
              <w:rPr>
                <w:color w:val="000000"/>
              </w:rPr>
              <w:t>—</w:t>
            </w:r>
          </w:p>
        </w:tc>
        <w:tc>
          <w:tcPr>
            <w:tcW w:w="516" w:type="dxa"/>
            <w:tcBorders/>
            <w:shd w:fill="FFFFFF" w:val="clear"/>
            <w:vAlign w:val="center"/>
          </w:tcPr>
          <w:p>
            <w:pPr>
              <w:pStyle w:val="TableContents"/>
              <w:bidi w:val="0"/>
              <w:spacing w:before="0" w:after="283"/>
              <w:ind w:left="0" w:right="0" w:firstLine="100"/>
              <w:jc w:val="left"/>
              <w:rPr/>
            </w:pPr>
            <w:r>
              <w:rPr/>
              <w:t> </w:t>
            </w:r>
          </w:p>
        </w:tc>
      </w:tr>
      <w:tr>
        <w:trPr/>
        <w:tc>
          <w:tcPr>
            <w:tcW w:w="7105"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Distributions paid through dividend reinvestment plan share issuances</w:t>
            </w:r>
          </w:p>
        </w:tc>
        <w:tc>
          <w:tcPr>
            <w:tcW w:w="146"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99"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516" w:type="dxa"/>
            <w:tcBorders/>
            <w:shd w:fill="CFF0FC"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bookmarkStart w:id="8" w:name="schedule_of_investments"/>
      <w:bookmarkEnd w:id="8"/>
      <w:r>
        <w:rPr>
          <w:rFonts w:ascii="Times New Roman" w:hAnsi="Times New Roman"/>
          <w:b/>
          <w:color w:val="000000"/>
          <w:sz w:val="16"/>
        </w:rPr>
        <w:t>CONSOLIDATED SCHEDULE OF INVESTMENTS</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for units/shares)</w:t>
      </w:r>
    </w:p>
    <w:p>
      <w:pPr>
        <w:pStyle w:val="TextBody"/>
        <w:bidi w:val="0"/>
        <w:jc w:val="center"/>
        <w:rPr>
          <w:rFonts w:ascii="Times New Roman" w:hAnsi="Times New Roman"/>
          <w:b/>
          <w:color w:val="000000"/>
          <w:sz w:val="16"/>
        </w:rPr>
      </w:pPr>
      <w:r>
        <w:rPr>
          <w:rFonts w:ascii="Times New Roman" w:hAnsi="Times New Roman"/>
          <w:b/>
          <w:color w:val="000000"/>
          <w:sz w:val="16"/>
        </w:rPr>
        <w:t>June 30, 2024</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tbl>
      <w:tblPr>
        <w:tblW w:w="10205" w:type="dxa"/>
        <w:jc w:val="left"/>
        <w:tblInd w:w="0" w:type="dxa"/>
        <w:tblLayout w:type="fixed"/>
        <w:tblCellMar>
          <w:top w:w="28" w:type="dxa"/>
          <w:left w:w="28" w:type="dxa"/>
          <w:bottom w:w="28" w:type="dxa"/>
          <w:right w:w="28" w:type="dxa"/>
        </w:tblCellMar>
      </w:tblPr>
      <w:tblGrid>
        <w:gridCol w:w="1737"/>
        <w:gridCol w:w="146"/>
        <w:gridCol w:w="1205"/>
        <w:gridCol w:w="146"/>
        <w:gridCol w:w="707"/>
        <w:gridCol w:w="146"/>
        <w:gridCol w:w="978"/>
        <w:gridCol w:w="146"/>
        <w:gridCol w:w="464"/>
        <w:gridCol w:w="146"/>
        <w:gridCol w:w="608"/>
        <w:gridCol w:w="146"/>
        <w:gridCol w:w="172"/>
        <w:gridCol w:w="584"/>
        <w:gridCol w:w="146"/>
        <w:gridCol w:w="146"/>
        <w:gridCol w:w="166"/>
        <w:gridCol w:w="496"/>
        <w:gridCol w:w="151"/>
        <w:gridCol w:w="146"/>
        <w:gridCol w:w="166"/>
        <w:gridCol w:w="496"/>
        <w:gridCol w:w="151"/>
        <w:gridCol w:w="146"/>
        <w:gridCol w:w="664"/>
      </w:tblGrid>
      <w:tr>
        <w:trPr/>
        <w:tc>
          <w:tcPr>
            <w:tcW w:w="17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1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 (1), (2), (3), (4), (5)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 Rate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Reference Rate </w:t>
              <w:br/>
              <w:t>and Spread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Floor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Par/Shares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Footnotes</w:t>
            </w:r>
          </w:p>
        </w:tc>
      </w:tr>
      <w:tr>
        <w:trPr/>
        <w:tc>
          <w:tcPr>
            <w:tcW w:w="5675" w:type="dxa"/>
            <w:gridSpan w:val="9"/>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Investments in Non-Control, Non-Affiliate Portfolio Companies - 177.3%</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3088"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First Lien/Senior Secured Debt - 134.3%</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73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Accordion Partners LLC</w:t>
            </w:r>
          </w:p>
        </w:tc>
        <w:tc>
          <w:tcPr>
            <w:tcW w:w="146" w:type="dxa"/>
            <w:tcBorders/>
            <w:shd w:fill="CFF0FC" w:val="clear"/>
            <w:vAlign w:val="center"/>
          </w:tcPr>
          <w:p>
            <w:pPr>
              <w:pStyle w:val="TableContents"/>
              <w:bidi w:val="0"/>
              <w:spacing w:before="0" w:after="283"/>
              <w:jc w:val="left"/>
              <w:rPr/>
            </w:pPr>
            <w:r>
              <w:rPr/>
              <w:t> </w:t>
            </w:r>
          </w:p>
        </w:tc>
        <w:tc>
          <w:tcPr>
            <w:tcW w:w="12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11.35%</w:t>
            </w:r>
          </w:p>
        </w:tc>
        <w:tc>
          <w:tcPr>
            <w:tcW w:w="14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+ 6.02%</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08/29/2029</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5,294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5,370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3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Accordion Partners LLC (Revolver)</w:t>
            </w:r>
          </w:p>
        </w:tc>
        <w:tc>
          <w:tcPr>
            <w:tcW w:w="146"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11.57%</w:t>
            </w:r>
          </w:p>
        </w:tc>
        <w:tc>
          <w:tcPr>
            <w:tcW w:w="146"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+ 6.25%</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08/31/2028</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w:t>
            </w:r>
          </w:p>
        </w:tc>
      </w:tr>
      <w:tr>
        <w:trPr/>
        <w:tc>
          <w:tcPr>
            <w:tcW w:w="173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Accurate Background, LLC</w:t>
            </w:r>
          </w:p>
        </w:tc>
        <w:tc>
          <w:tcPr>
            <w:tcW w:w="146" w:type="dxa"/>
            <w:tcBorders/>
            <w:shd w:fill="CFF0FC" w:val="clear"/>
            <w:vAlign w:val="center"/>
          </w:tcPr>
          <w:p>
            <w:pPr>
              <w:pStyle w:val="TableContents"/>
              <w:bidi w:val="0"/>
              <w:spacing w:before="0" w:after="283"/>
              <w:jc w:val="left"/>
              <w:rPr/>
            </w:pPr>
            <w:r>
              <w:rPr/>
              <w:t> </w:t>
            </w:r>
          </w:p>
        </w:tc>
        <w:tc>
          <w:tcPr>
            <w:tcW w:w="12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11.60%</w:t>
            </w:r>
          </w:p>
        </w:tc>
        <w:tc>
          <w:tcPr>
            <w:tcW w:w="14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03/26/2029</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4,167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4,302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3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AIDC Intermediateco 2, LLC (Peak Technologies)</w:t>
            </w:r>
          </w:p>
        </w:tc>
        <w:tc>
          <w:tcPr>
            <w:tcW w:w="146"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11.72%</w:t>
            </w:r>
          </w:p>
        </w:tc>
        <w:tc>
          <w:tcPr>
            <w:tcW w:w="146"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+ 6.40%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07/22/2027</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4,871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4,854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3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Academy Holdings, LLC</w:t>
            </w:r>
          </w:p>
        </w:tc>
        <w:tc>
          <w:tcPr>
            <w:tcW w:w="146" w:type="dxa"/>
            <w:tcBorders/>
            <w:shd w:fill="CFF0FC" w:val="clear"/>
            <w:vAlign w:val="center"/>
          </w:tcPr>
          <w:p>
            <w:pPr>
              <w:pStyle w:val="TableContents"/>
              <w:bidi w:val="0"/>
              <w:spacing w:before="0" w:after="283"/>
              <w:jc w:val="left"/>
              <w:rPr/>
            </w:pPr>
            <w:r>
              <w:rPr/>
              <w:t> </w:t>
            </w:r>
          </w:p>
        </w:tc>
        <w:tc>
          <w:tcPr>
            <w:tcW w:w="12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15.21%</w:t>
            </w:r>
          </w:p>
        </w:tc>
        <w:tc>
          <w:tcPr>
            <w:tcW w:w="14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+ 4.50%, 5.25% PIK</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3.25%</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08/01/2024</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2,670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2,699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3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Clinical Solutions</w:t>
            </w:r>
          </w:p>
        </w:tc>
        <w:tc>
          <w:tcPr>
            <w:tcW w:w="146"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12.33%</w:t>
            </w:r>
          </w:p>
        </w:tc>
        <w:tc>
          <w:tcPr>
            <w:tcW w:w="146"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+ 7.00%, 5.33% PIK</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06/30/2025</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6,179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4,823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73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 Core Holdings II, LLC</w:t>
            </w:r>
          </w:p>
        </w:tc>
        <w:tc>
          <w:tcPr>
            <w:tcW w:w="146" w:type="dxa"/>
            <w:tcBorders/>
            <w:shd w:fill="CFF0FC" w:val="clear"/>
            <w:vAlign w:val="center"/>
          </w:tcPr>
          <w:p>
            <w:pPr>
              <w:pStyle w:val="TableContents"/>
              <w:bidi w:val="0"/>
              <w:spacing w:before="0" w:after="283"/>
              <w:jc w:val="left"/>
              <w:rPr/>
            </w:pPr>
            <w:r>
              <w:rPr/>
              <w:t> </w:t>
            </w:r>
          </w:p>
        </w:tc>
        <w:tc>
          <w:tcPr>
            <w:tcW w:w="12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10.96%</w:t>
            </w:r>
          </w:p>
        </w:tc>
        <w:tc>
          <w:tcPr>
            <w:tcW w:w="14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+ 5.50%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07/21/2027</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3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 Core Holdings II, LLC</w:t>
            </w:r>
          </w:p>
        </w:tc>
        <w:tc>
          <w:tcPr>
            <w:tcW w:w="146"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10.96%</w:t>
            </w:r>
          </w:p>
        </w:tc>
        <w:tc>
          <w:tcPr>
            <w:tcW w:w="146" w:type="dxa"/>
            <w:tcBorders/>
            <w:shd w:fill="FFFFFF" w:val="clear"/>
            <w:vAlign w:val="center"/>
          </w:tcPr>
          <w:p>
            <w:pPr>
              <w:pStyle w:val="TableContents"/>
              <w:bidi w:val="0"/>
              <w:spacing w:before="0" w:after="283"/>
              <w:jc w:val="right"/>
              <w:rPr/>
            </w:pPr>
            <w:r>
              <w:rPr/>
              <w:t> </w:t>
            </w:r>
          </w:p>
        </w:tc>
        <w:tc>
          <w:tcPr>
            <w:tcW w:w="97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+ 5.50%</w:t>
            </w:r>
          </w:p>
        </w:tc>
        <w:tc>
          <w:tcPr>
            <w:tcW w:w="146" w:type="dxa"/>
            <w:tcBorders/>
            <w:shd w:fill="FFFFFF" w:val="clear"/>
            <w:vAlign w:val="center"/>
          </w:tcPr>
          <w:p>
            <w:pPr>
              <w:pStyle w:val="TableContents"/>
              <w:bidi w:val="0"/>
              <w:spacing w:before="0" w:after="283"/>
              <w:jc w:val="righ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146" w:type="dxa"/>
            <w:tcBorders/>
            <w:shd w:fill="FFFFFF" w:val="clear"/>
            <w:vAlign w:val="center"/>
          </w:tcPr>
          <w:p>
            <w:pPr>
              <w:pStyle w:val="TableContents"/>
              <w:bidi w:val="0"/>
              <w:spacing w:before="0" w:after="283"/>
              <w:jc w:val="righ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07/21/2027</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3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Astro Acquisition, LLC (Cooper Machinery Services)</w:t>
            </w:r>
          </w:p>
        </w:tc>
        <w:tc>
          <w:tcPr>
            <w:tcW w:w="146" w:type="dxa"/>
            <w:tcBorders/>
            <w:shd w:fill="CFF0FC" w:val="clear"/>
            <w:vAlign w:val="center"/>
          </w:tcPr>
          <w:p>
            <w:pPr>
              <w:pStyle w:val="TableContents"/>
              <w:bidi w:val="0"/>
              <w:spacing w:before="0" w:after="283"/>
              <w:jc w:val="left"/>
              <w:rPr/>
            </w:pPr>
            <w:r>
              <w:rPr/>
              <w:t> </w:t>
            </w:r>
          </w:p>
        </w:tc>
        <w:tc>
          <w:tcPr>
            <w:tcW w:w="12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10.83%</w:t>
            </w:r>
          </w:p>
        </w:tc>
        <w:tc>
          <w:tcPr>
            <w:tcW w:w="146" w:type="dxa"/>
            <w:tcBorders/>
            <w:shd w:fill="CFF0FC" w:val="clear"/>
            <w:vAlign w:val="center"/>
          </w:tcPr>
          <w:p>
            <w:pPr>
              <w:pStyle w:val="TableContents"/>
              <w:bidi w:val="0"/>
              <w:spacing w:before="0" w:after="283"/>
              <w:jc w:val="right"/>
              <w:rPr/>
            </w:pPr>
            <w:r>
              <w:rPr/>
              <w:t> </w:t>
            </w:r>
          </w:p>
        </w:tc>
        <w:tc>
          <w:tcPr>
            <w:tcW w:w="97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+ 5.50%</w:t>
            </w:r>
          </w:p>
        </w:tc>
        <w:tc>
          <w:tcPr>
            <w:tcW w:w="146" w:type="dxa"/>
            <w:tcBorders/>
            <w:shd w:fill="CFF0FC" w:val="clear"/>
            <w:vAlign w:val="center"/>
          </w:tcPr>
          <w:p>
            <w:pPr>
              <w:pStyle w:val="TableContents"/>
              <w:bidi w:val="0"/>
              <w:spacing w:before="0" w:after="283"/>
              <w:jc w:val="righ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righ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12/13/2027</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1,980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3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BetaNXT, Inc.</w:t>
            </w:r>
          </w:p>
        </w:tc>
        <w:tc>
          <w:tcPr>
            <w:tcW w:w="146"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11.08%</w:t>
            </w:r>
          </w:p>
        </w:tc>
        <w:tc>
          <w:tcPr>
            <w:tcW w:w="146" w:type="dxa"/>
            <w:tcBorders/>
            <w:shd w:fill="FFFFFF" w:val="clear"/>
            <w:vAlign w:val="center"/>
          </w:tcPr>
          <w:p>
            <w:pPr>
              <w:pStyle w:val="TableContents"/>
              <w:bidi w:val="0"/>
              <w:spacing w:before="0" w:after="283"/>
              <w:jc w:val="right"/>
              <w:rPr/>
            </w:pPr>
            <w:r>
              <w:rPr/>
              <w:t> </w:t>
            </w:r>
          </w:p>
        </w:tc>
        <w:tc>
          <w:tcPr>
            <w:tcW w:w="97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+ 5.75%</w:t>
            </w:r>
          </w:p>
        </w:tc>
        <w:tc>
          <w:tcPr>
            <w:tcW w:w="146" w:type="dxa"/>
            <w:tcBorders/>
            <w:shd w:fill="FFFFFF" w:val="clear"/>
            <w:vAlign w:val="center"/>
          </w:tcPr>
          <w:p>
            <w:pPr>
              <w:pStyle w:val="TableContents"/>
              <w:bidi w:val="0"/>
              <w:spacing w:before="0" w:after="283"/>
              <w:jc w:val="right"/>
              <w:rPr/>
            </w:pPr>
            <w:r>
              <w:rPr/>
              <w:t> </w:t>
            </w:r>
          </w:p>
        </w:tc>
        <w:tc>
          <w:tcPr>
            <w:tcW w:w="46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07/02/2029</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3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BetaNXT, Inc. (Revolver)</w:t>
            </w:r>
          </w:p>
        </w:tc>
        <w:tc>
          <w:tcPr>
            <w:tcW w:w="146" w:type="dxa"/>
            <w:tcBorders/>
            <w:shd w:fill="CFF0FC" w:val="clear"/>
            <w:vAlign w:val="center"/>
          </w:tcPr>
          <w:p>
            <w:pPr>
              <w:pStyle w:val="TableContents"/>
              <w:bidi w:val="0"/>
              <w:spacing w:before="0" w:after="283"/>
              <w:jc w:val="left"/>
              <w:rPr/>
            </w:pPr>
            <w:r>
              <w:rPr/>
              <w:t> </w:t>
            </w:r>
          </w:p>
        </w:tc>
        <w:tc>
          <w:tcPr>
            <w:tcW w:w="12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9.84%</w:t>
            </w:r>
          </w:p>
        </w:tc>
        <w:tc>
          <w:tcPr>
            <w:tcW w:w="14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+ 4.50%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07/01/2027</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w:t>
            </w:r>
          </w:p>
        </w:tc>
      </w:tr>
      <w:tr>
        <w:trPr/>
        <w:tc>
          <w:tcPr>
            <w:tcW w:w="173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Bradshaw International, Inc.</w:t>
            </w:r>
          </w:p>
        </w:tc>
        <w:tc>
          <w:tcPr>
            <w:tcW w:w="146"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Discretionary</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11.19%</w:t>
            </w:r>
          </w:p>
        </w:tc>
        <w:tc>
          <w:tcPr>
            <w:tcW w:w="146"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+ 5.75%</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10/21/2027</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3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Bradshaw International, Inc. (Revolver)</w:t>
            </w:r>
          </w:p>
        </w:tc>
        <w:tc>
          <w:tcPr>
            <w:tcW w:w="146" w:type="dxa"/>
            <w:tcBorders/>
            <w:shd w:fill="CFF0FC" w:val="clear"/>
            <w:vAlign w:val="center"/>
          </w:tcPr>
          <w:p>
            <w:pPr>
              <w:pStyle w:val="TableContents"/>
              <w:bidi w:val="0"/>
              <w:spacing w:before="0" w:after="283"/>
              <w:jc w:val="left"/>
              <w:rPr/>
            </w:pPr>
            <w:r>
              <w:rPr/>
              <w:t> </w:t>
            </w:r>
          </w:p>
        </w:tc>
        <w:tc>
          <w:tcPr>
            <w:tcW w:w="12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Discretionary</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+ 5.75%</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10/21/2026</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(12)(17)</w:t>
            </w:r>
          </w:p>
        </w:tc>
      </w:tr>
      <w:tr>
        <w:trPr/>
        <w:tc>
          <w:tcPr>
            <w:tcW w:w="173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Critical Nurse Staffing, LLC</w:t>
            </w:r>
          </w:p>
        </w:tc>
        <w:tc>
          <w:tcPr>
            <w:tcW w:w="146"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11.99%</w:t>
            </w:r>
          </w:p>
        </w:tc>
        <w:tc>
          <w:tcPr>
            <w:tcW w:w="146"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10/30/2026</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5,317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5,361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3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Critical Nurse Staffing, LLC (Revolver)</w:t>
            </w:r>
          </w:p>
        </w:tc>
        <w:tc>
          <w:tcPr>
            <w:tcW w:w="146" w:type="dxa"/>
            <w:tcBorders/>
            <w:shd w:fill="CFF0FC" w:val="clear"/>
            <w:vAlign w:val="center"/>
          </w:tcPr>
          <w:p>
            <w:pPr>
              <w:pStyle w:val="TableContents"/>
              <w:bidi w:val="0"/>
              <w:spacing w:before="0" w:after="283"/>
              <w:jc w:val="left"/>
              <w:rPr/>
            </w:pPr>
            <w:r>
              <w:rPr/>
              <w:t> </w:t>
            </w:r>
          </w:p>
        </w:tc>
        <w:tc>
          <w:tcPr>
            <w:tcW w:w="12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+ 5.75%</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10/30/2026</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(12)(17)</w:t>
            </w:r>
          </w:p>
        </w:tc>
      </w:tr>
      <w:tr>
        <w:trPr/>
        <w:tc>
          <w:tcPr>
            <w:tcW w:w="173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Datalink, LLC</w:t>
            </w:r>
          </w:p>
        </w:tc>
        <w:tc>
          <w:tcPr>
            <w:tcW w:w="146"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12.19%</w:t>
            </w:r>
          </w:p>
        </w:tc>
        <w:tc>
          <w:tcPr>
            <w:tcW w:w="146"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+ 6.75%</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11/23/2026</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5,418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3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Dentive, LLC</w:t>
            </w:r>
          </w:p>
        </w:tc>
        <w:tc>
          <w:tcPr>
            <w:tcW w:w="146" w:type="dxa"/>
            <w:tcBorders/>
            <w:shd w:fill="CFF0FC" w:val="clear"/>
            <w:vAlign w:val="center"/>
          </w:tcPr>
          <w:p>
            <w:pPr>
              <w:pStyle w:val="TableContents"/>
              <w:bidi w:val="0"/>
              <w:spacing w:before="0" w:after="283"/>
              <w:jc w:val="left"/>
              <w:rPr/>
            </w:pPr>
            <w:r>
              <w:rPr/>
              <w:t> </w:t>
            </w:r>
          </w:p>
        </w:tc>
        <w:tc>
          <w:tcPr>
            <w:tcW w:w="12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12.08%</w:t>
            </w:r>
          </w:p>
        </w:tc>
        <w:tc>
          <w:tcPr>
            <w:tcW w:w="14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+ 6.75%</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12/26/2028</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1,753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1,760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3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Dentive, LLC (Revolver)</w:t>
            </w:r>
          </w:p>
        </w:tc>
        <w:tc>
          <w:tcPr>
            <w:tcW w:w="146"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+ 7.00%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12/23/2028</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(12)(17)</w:t>
            </w:r>
          </w:p>
        </w:tc>
      </w:tr>
      <w:tr>
        <w:trPr/>
        <w:tc>
          <w:tcPr>
            <w:tcW w:w="173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Dodge Data &amp; Analytics LLC</w:t>
            </w:r>
          </w:p>
        </w:tc>
        <w:tc>
          <w:tcPr>
            <w:tcW w:w="146" w:type="dxa"/>
            <w:tcBorders/>
            <w:shd w:fill="CFF0FC" w:val="clear"/>
            <w:vAlign w:val="center"/>
          </w:tcPr>
          <w:p>
            <w:pPr>
              <w:pStyle w:val="TableContents"/>
              <w:bidi w:val="0"/>
              <w:spacing w:before="0" w:after="283"/>
              <w:jc w:val="left"/>
              <w:rPr/>
            </w:pPr>
            <w:r>
              <w:rPr/>
              <w:t> </w:t>
            </w:r>
          </w:p>
        </w:tc>
        <w:tc>
          <w:tcPr>
            <w:tcW w:w="12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10.23%</w:t>
            </w:r>
          </w:p>
        </w:tc>
        <w:tc>
          <w:tcPr>
            <w:tcW w:w="14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+ 4.75%</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02/12/2029</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3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Epic Staffing Group</w:t>
            </w:r>
          </w:p>
        </w:tc>
        <w:tc>
          <w:tcPr>
            <w:tcW w:w="146"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11.34%</w:t>
            </w:r>
          </w:p>
        </w:tc>
        <w:tc>
          <w:tcPr>
            <w:tcW w:w="146"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06/28/2029</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4,736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4,717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3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Florida Food Products, LLC</w:t>
            </w:r>
          </w:p>
        </w:tc>
        <w:tc>
          <w:tcPr>
            <w:tcW w:w="146" w:type="dxa"/>
            <w:tcBorders/>
            <w:shd w:fill="CFF0FC" w:val="clear"/>
            <w:vAlign w:val="center"/>
          </w:tcPr>
          <w:p>
            <w:pPr>
              <w:pStyle w:val="TableContents"/>
              <w:bidi w:val="0"/>
              <w:spacing w:before="0" w:after="283"/>
              <w:jc w:val="left"/>
              <w:rPr/>
            </w:pPr>
            <w:r>
              <w:rPr/>
              <w:t> </w:t>
            </w:r>
          </w:p>
        </w:tc>
        <w:tc>
          <w:tcPr>
            <w:tcW w:w="12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Staples</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10.34%</w:t>
            </w:r>
          </w:p>
        </w:tc>
        <w:tc>
          <w:tcPr>
            <w:tcW w:w="14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+ 5.00%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10/18/2028</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1,718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3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Fortis Payment Systems, LLC</w:t>
            </w:r>
          </w:p>
        </w:tc>
        <w:tc>
          <w:tcPr>
            <w:tcW w:w="146"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11.18%</w:t>
            </w:r>
          </w:p>
        </w:tc>
        <w:tc>
          <w:tcPr>
            <w:tcW w:w="146"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+ 5.75%</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02/13/2026</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1,561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w:t>
            </w:r>
          </w:p>
        </w:tc>
      </w:tr>
      <w:tr>
        <w:trPr/>
        <w:tc>
          <w:tcPr>
            <w:tcW w:w="173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Hudson Hospital OpCo, LLC</w:t>
            </w:r>
          </w:p>
        </w:tc>
        <w:tc>
          <w:tcPr>
            <w:tcW w:w="146" w:type="dxa"/>
            <w:tcBorders/>
            <w:shd w:fill="CFF0FC" w:val="clear"/>
            <w:vAlign w:val="center"/>
          </w:tcPr>
          <w:p>
            <w:pPr>
              <w:pStyle w:val="TableContents"/>
              <w:bidi w:val="0"/>
              <w:spacing w:before="0" w:after="283"/>
              <w:jc w:val="left"/>
              <w:rPr/>
            </w:pPr>
            <w:r>
              <w:rPr/>
              <w:t> </w:t>
            </w:r>
          </w:p>
        </w:tc>
        <w:tc>
          <w:tcPr>
            <w:tcW w:w="12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13.43%</w:t>
            </w:r>
          </w:p>
        </w:tc>
        <w:tc>
          <w:tcPr>
            <w:tcW w:w="14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11/04/2023</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3,060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3,039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3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HUMC Opco, LLC</w:t>
            </w:r>
          </w:p>
        </w:tc>
        <w:tc>
          <w:tcPr>
            <w:tcW w:w="146"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13.43%</w:t>
            </w:r>
          </w:p>
        </w:tc>
        <w:tc>
          <w:tcPr>
            <w:tcW w:w="146"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11/04/2023</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3,890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3,765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3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H.W. Lochner, Inc.</w:t>
            </w:r>
          </w:p>
        </w:tc>
        <w:tc>
          <w:tcPr>
            <w:tcW w:w="146" w:type="dxa"/>
            <w:tcBorders/>
            <w:shd w:fill="CFF0FC" w:val="clear"/>
            <w:vAlign w:val="center"/>
          </w:tcPr>
          <w:p>
            <w:pPr>
              <w:pStyle w:val="TableContents"/>
              <w:bidi w:val="0"/>
              <w:spacing w:before="0" w:after="283"/>
              <w:jc w:val="left"/>
              <w:rPr/>
            </w:pPr>
            <w:r>
              <w:rPr/>
              <w:t> </w:t>
            </w:r>
          </w:p>
        </w:tc>
        <w:tc>
          <w:tcPr>
            <w:tcW w:w="12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12.21%</w:t>
            </w:r>
          </w:p>
        </w:tc>
        <w:tc>
          <w:tcPr>
            <w:tcW w:w="14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+ 6.75%</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07/02/2027</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3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IDC Infusion Services LLC</w:t>
            </w:r>
          </w:p>
        </w:tc>
        <w:tc>
          <w:tcPr>
            <w:tcW w:w="146"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11.85%</w:t>
            </w:r>
          </w:p>
        </w:tc>
        <w:tc>
          <w:tcPr>
            <w:tcW w:w="146"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07/07/2028</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2,135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2,149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w:t>
            </w:r>
          </w:p>
        </w:tc>
      </w:tr>
      <w:tr>
        <w:trPr/>
        <w:tc>
          <w:tcPr>
            <w:tcW w:w="173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IJKG OpCo, LLC</w:t>
            </w:r>
          </w:p>
        </w:tc>
        <w:tc>
          <w:tcPr>
            <w:tcW w:w="146" w:type="dxa"/>
            <w:tcBorders/>
            <w:shd w:fill="CFF0FC" w:val="clear"/>
            <w:vAlign w:val="center"/>
          </w:tcPr>
          <w:p>
            <w:pPr>
              <w:pStyle w:val="TableContents"/>
              <w:bidi w:val="0"/>
              <w:spacing w:before="0" w:after="283"/>
              <w:jc w:val="left"/>
              <w:rPr/>
            </w:pPr>
            <w:r>
              <w:rPr/>
              <w:t> </w:t>
            </w:r>
          </w:p>
        </w:tc>
        <w:tc>
          <w:tcPr>
            <w:tcW w:w="12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13.43%</w:t>
            </w:r>
          </w:p>
        </w:tc>
        <w:tc>
          <w:tcPr>
            <w:tcW w:w="14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11/04/2023</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2,026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3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JO ET Holdings Limited</w:t>
            </w:r>
          </w:p>
        </w:tc>
        <w:tc>
          <w:tcPr>
            <w:tcW w:w="146"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18.34%</w:t>
            </w:r>
          </w:p>
        </w:tc>
        <w:tc>
          <w:tcPr>
            <w:tcW w:w="146"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 7.00% PIK</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12/15/2026</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3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Keg Logistics LLC</w:t>
            </w:r>
          </w:p>
        </w:tc>
        <w:tc>
          <w:tcPr>
            <w:tcW w:w="146" w:type="dxa"/>
            <w:tcBorders/>
            <w:shd w:fill="CFF0FC" w:val="clear"/>
            <w:vAlign w:val="center"/>
          </w:tcPr>
          <w:p>
            <w:pPr>
              <w:pStyle w:val="TableContents"/>
              <w:bidi w:val="0"/>
              <w:spacing w:before="0" w:after="283"/>
              <w:jc w:val="left"/>
              <w:rPr/>
            </w:pPr>
            <w:r>
              <w:rPr/>
              <w:t> </w:t>
            </w:r>
          </w:p>
        </w:tc>
        <w:tc>
          <w:tcPr>
            <w:tcW w:w="12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Discretionary</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11.49%</w:t>
            </w:r>
          </w:p>
        </w:tc>
        <w:tc>
          <w:tcPr>
            <w:tcW w:w="14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11/23/2027</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7,285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7,235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3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Keg Logistics LLC (Revolver)</w:t>
            </w:r>
          </w:p>
        </w:tc>
        <w:tc>
          <w:tcPr>
            <w:tcW w:w="146"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Discretionary</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11.67%</w:t>
            </w:r>
          </w:p>
        </w:tc>
        <w:tc>
          <w:tcPr>
            <w:tcW w:w="146"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+ 6.19%</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11/23/2027</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73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Material Handling Systems, Inc.</w:t>
            </w:r>
          </w:p>
        </w:tc>
        <w:tc>
          <w:tcPr>
            <w:tcW w:w="146" w:type="dxa"/>
            <w:tcBorders/>
            <w:shd w:fill="CFF0FC" w:val="clear"/>
            <w:vAlign w:val="center"/>
          </w:tcPr>
          <w:p>
            <w:pPr>
              <w:pStyle w:val="TableContents"/>
              <w:bidi w:val="0"/>
              <w:spacing w:before="0" w:after="283"/>
              <w:jc w:val="left"/>
              <w:rPr/>
            </w:pPr>
            <w:r>
              <w:rPr/>
              <w:t> </w:t>
            </w:r>
          </w:p>
        </w:tc>
        <w:tc>
          <w:tcPr>
            <w:tcW w:w="12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10.80%</w:t>
            </w:r>
          </w:p>
        </w:tc>
        <w:tc>
          <w:tcPr>
            <w:tcW w:w="14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+ 5.50%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06/08/2029</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3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Money Transfer Acquisition Inc.</w:t>
            </w:r>
          </w:p>
        </w:tc>
        <w:tc>
          <w:tcPr>
            <w:tcW w:w="146"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13.69%</w:t>
            </w:r>
          </w:p>
        </w:tc>
        <w:tc>
          <w:tcPr>
            <w:tcW w:w="146" w:type="dxa"/>
            <w:tcBorders/>
            <w:shd w:fill="FFFFFF" w:val="clear"/>
            <w:vAlign w:val="center"/>
          </w:tcPr>
          <w:p>
            <w:pPr>
              <w:pStyle w:val="TableContents"/>
              <w:bidi w:val="0"/>
              <w:spacing w:before="0" w:after="283"/>
              <w:jc w:val="right"/>
              <w:rPr/>
            </w:pPr>
            <w:r>
              <w:rPr/>
              <w:t> </w:t>
            </w:r>
          </w:p>
        </w:tc>
        <w:tc>
          <w:tcPr>
            <w:tcW w:w="97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+ 8.25%</w:t>
            </w:r>
          </w:p>
        </w:tc>
        <w:tc>
          <w:tcPr>
            <w:tcW w:w="146" w:type="dxa"/>
            <w:tcBorders/>
            <w:shd w:fill="FFFFFF" w:val="clear"/>
            <w:vAlign w:val="center"/>
          </w:tcPr>
          <w:p>
            <w:pPr>
              <w:pStyle w:val="TableContents"/>
              <w:bidi w:val="0"/>
              <w:spacing w:before="0" w:after="283"/>
              <w:jc w:val="righ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righ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12/14/2027</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5,986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5,946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3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Morae Global Corporation</w:t>
            </w:r>
          </w:p>
        </w:tc>
        <w:tc>
          <w:tcPr>
            <w:tcW w:w="146" w:type="dxa"/>
            <w:tcBorders/>
            <w:shd w:fill="CFF0FC" w:val="clear"/>
            <w:vAlign w:val="center"/>
          </w:tcPr>
          <w:p>
            <w:pPr>
              <w:pStyle w:val="TableContents"/>
              <w:bidi w:val="0"/>
              <w:spacing w:before="0" w:after="283"/>
              <w:jc w:val="left"/>
              <w:rPr/>
            </w:pPr>
            <w:r>
              <w:rPr/>
              <w:t> </w:t>
            </w:r>
          </w:p>
        </w:tc>
        <w:tc>
          <w:tcPr>
            <w:tcW w:w="12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13.47%</w:t>
            </w:r>
          </w:p>
        </w:tc>
        <w:tc>
          <w:tcPr>
            <w:tcW w:w="146" w:type="dxa"/>
            <w:tcBorders/>
            <w:shd w:fill="CFF0FC" w:val="clear"/>
            <w:vAlign w:val="center"/>
          </w:tcPr>
          <w:p>
            <w:pPr>
              <w:pStyle w:val="TableContents"/>
              <w:bidi w:val="0"/>
              <w:spacing w:before="0" w:after="283"/>
              <w:jc w:val="right"/>
              <w:rPr/>
            </w:pPr>
            <w:r>
              <w:rPr/>
              <w:t> </w:t>
            </w:r>
          </w:p>
        </w:tc>
        <w:tc>
          <w:tcPr>
            <w:tcW w:w="97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146" w:type="dxa"/>
            <w:tcBorders/>
            <w:shd w:fill="CFF0FC" w:val="clear"/>
            <w:vAlign w:val="center"/>
          </w:tcPr>
          <w:p>
            <w:pPr>
              <w:pStyle w:val="TableContents"/>
              <w:bidi w:val="0"/>
              <w:spacing w:before="0" w:after="283"/>
              <w:jc w:val="righ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146" w:type="dxa"/>
            <w:tcBorders/>
            <w:shd w:fill="CFF0FC" w:val="clear"/>
            <w:vAlign w:val="center"/>
          </w:tcPr>
          <w:p>
            <w:pPr>
              <w:pStyle w:val="TableContents"/>
              <w:bidi w:val="0"/>
              <w:spacing w:before="0" w:after="283"/>
              <w:jc w:val="righ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10/26/2026</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2,989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3,074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3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Morae Global Corporation (Revolver)</w:t>
            </w:r>
          </w:p>
        </w:tc>
        <w:tc>
          <w:tcPr>
            <w:tcW w:w="146"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97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146" w:type="dxa"/>
            <w:tcBorders/>
            <w:shd w:fill="FFFFFF" w:val="clear"/>
            <w:vAlign w:val="center"/>
          </w:tcPr>
          <w:p>
            <w:pPr>
              <w:pStyle w:val="TableContents"/>
              <w:bidi w:val="0"/>
              <w:spacing w:before="0" w:after="283"/>
              <w:jc w:val="righ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146" w:type="dxa"/>
            <w:tcBorders/>
            <w:shd w:fill="FFFFFF" w:val="clear"/>
            <w:vAlign w:val="center"/>
          </w:tcPr>
          <w:p>
            <w:pPr>
              <w:pStyle w:val="TableContents"/>
              <w:bidi w:val="0"/>
              <w:spacing w:before="0" w:after="283"/>
              <w:jc w:val="righ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10/26/2026</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(12)(17)</w:t>
            </w:r>
          </w:p>
        </w:tc>
      </w:tr>
      <w:tr>
        <w:trPr/>
        <w:tc>
          <w:tcPr>
            <w:tcW w:w="173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Neptune BidCo US Inc.</w:t>
            </w:r>
          </w:p>
        </w:tc>
        <w:tc>
          <w:tcPr>
            <w:tcW w:w="146" w:type="dxa"/>
            <w:tcBorders/>
            <w:shd w:fill="CFF0FC" w:val="clear"/>
            <w:vAlign w:val="center"/>
          </w:tcPr>
          <w:p>
            <w:pPr>
              <w:pStyle w:val="TableContents"/>
              <w:bidi w:val="0"/>
              <w:spacing w:before="0" w:after="283"/>
              <w:jc w:val="left"/>
              <w:rPr/>
            </w:pPr>
            <w:r>
              <w:rPr/>
              <w:t> </w:t>
            </w:r>
          </w:p>
        </w:tc>
        <w:tc>
          <w:tcPr>
            <w:tcW w:w="12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Communication Services</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10.41%</w:t>
            </w:r>
          </w:p>
        </w:tc>
        <w:tc>
          <w:tcPr>
            <w:tcW w:w="14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+ 5.00%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04/11/2029</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3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Orthopaedic (ITC) Buyer, LLC</w:t>
            </w:r>
          </w:p>
        </w:tc>
        <w:tc>
          <w:tcPr>
            <w:tcW w:w="146"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11.93%</w:t>
            </w:r>
          </w:p>
        </w:tc>
        <w:tc>
          <w:tcPr>
            <w:tcW w:w="146"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07/31/2028</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2,296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2,334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w:t>
            </w:r>
          </w:p>
        </w:tc>
      </w:tr>
      <w:tr>
        <w:trPr/>
        <w:tc>
          <w:tcPr>
            <w:tcW w:w="173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PhyNet Dermatology LLC</w:t>
            </w:r>
          </w:p>
        </w:tc>
        <w:tc>
          <w:tcPr>
            <w:tcW w:w="146" w:type="dxa"/>
            <w:tcBorders/>
            <w:shd w:fill="CFF0FC" w:val="clear"/>
            <w:vAlign w:val="center"/>
          </w:tcPr>
          <w:p>
            <w:pPr>
              <w:pStyle w:val="TableContents"/>
              <w:bidi w:val="0"/>
              <w:spacing w:before="0" w:after="283"/>
              <w:jc w:val="left"/>
              <w:rPr/>
            </w:pPr>
            <w:r>
              <w:rPr/>
              <w:t> </w:t>
            </w:r>
          </w:p>
        </w:tc>
        <w:tc>
          <w:tcPr>
            <w:tcW w:w="12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11.82%</w:t>
            </w:r>
          </w:p>
        </w:tc>
        <w:tc>
          <w:tcPr>
            <w:tcW w:w="14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10/20/2029</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w:t>
            </w:r>
          </w:p>
        </w:tc>
      </w:tr>
      <w:tr>
        <w:trPr/>
        <w:tc>
          <w:tcPr>
            <w:tcW w:w="173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Premier Imaging, LLC</w:t>
            </w:r>
          </w:p>
        </w:tc>
        <w:tc>
          <w:tcPr>
            <w:tcW w:w="146"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13.60%</w:t>
            </w:r>
          </w:p>
        </w:tc>
        <w:tc>
          <w:tcPr>
            <w:tcW w:w="146"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+ 7.57%, 13.60% PIK</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01/02/2025</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2,722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2,437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3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RN Enterprises, LLC</w:t>
            </w:r>
          </w:p>
        </w:tc>
        <w:tc>
          <w:tcPr>
            <w:tcW w:w="146" w:type="dxa"/>
            <w:tcBorders/>
            <w:shd w:fill="CFF0FC" w:val="clear"/>
            <w:vAlign w:val="center"/>
          </w:tcPr>
          <w:p>
            <w:pPr>
              <w:pStyle w:val="TableContents"/>
              <w:bidi w:val="0"/>
              <w:spacing w:before="0" w:after="283"/>
              <w:jc w:val="left"/>
              <w:rPr/>
            </w:pPr>
            <w:r>
              <w:rPr/>
              <w:t> </w:t>
            </w:r>
          </w:p>
        </w:tc>
        <w:tc>
          <w:tcPr>
            <w:tcW w:w="12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11.95%</w:t>
            </w:r>
          </w:p>
        </w:tc>
        <w:tc>
          <w:tcPr>
            <w:tcW w:w="14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12/23/2025</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3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Sequoia Healthcare Management LLC</w:t>
            </w:r>
          </w:p>
        </w:tc>
        <w:tc>
          <w:tcPr>
            <w:tcW w:w="146"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 Management</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11/04/2023</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11,936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6,682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r>
      <w:tr>
        <w:trPr/>
        <w:tc>
          <w:tcPr>
            <w:tcW w:w="173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South Street Securities Holdings, Inc.</w:t>
            </w:r>
          </w:p>
        </w:tc>
        <w:tc>
          <w:tcPr>
            <w:tcW w:w="146" w:type="dxa"/>
            <w:tcBorders/>
            <w:shd w:fill="CFF0FC" w:val="clear"/>
            <w:vAlign w:val="center"/>
          </w:tcPr>
          <w:p>
            <w:pPr>
              <w:pStyle w:val="TableContents"/>
              <w:bidi w:val="0"/>
              <w:spacing w:before="0" w:after="283"/>
              <w:jc w:val="left"/>
              <w:rPr/>
            </w:pPr>
            <w:r>
              <w:rPr/>
              <w:t> </w:t>
            </w:r>
          </w:p>
        </w:tc>
        <w:tc>
          <w:tcPr>
            <w:tcW w:w="12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9.00%</w:t>
            </w:r>
          </w:p>
        </w:tc>
        <w:tc>
          <w:tcPr>
            <w:tcW w:w="14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09/20/2027</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173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STG Logistics</w:t>
            </w:r>
          </w:p>
        </w:tc>
        <w:tc>
          <w:tcPr>
            <w:tcW w:w="146"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11.48%</w:t>
            </w:r>
          </w:p>
        </w:tc>
        <w:tc>
          <w:tcPr>
            <w:tcW w:w="146"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03/24/2028</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2,402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1,867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3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Synamedia Americas Holdings, Inc.</w:t>
            </w:r>
          </w:p>
        </w:tc>
        <w:tc>
          <w:tcPr>
            <w:tcW w:w="146" w:type="dxa"/>
            <w:tcBorders/>
            <w:shd w:fill="CFF0FC" w:val="clear"/>
            <w:vAlign w:val="center"/>
          </w:tcPr>
          <w:p>
            <w:pPr>
              <w:pStyle w:val="TableContents"/>
              <w:bidi w:val="0"/>
              <w:spacing w:before="0" w:after="283"/>
              <w:jc w:val="left"/>
              <w:rPr/>
            </w:pPr>
            <w:r>
              <w:rPr/>
              <w:t> </w:t>
            </w:r>
          </w:p>
        </w:tc>
        <w:tc>
          <w:tcPr>
            <w:tcW w:w="12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Communication Services</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13.08%</w:t>
            </w:r>
          </w:p>
        </w:tc>
        <w:tc>
          <w:tcPr>
            <w:tcW w:w="14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+ 7.75%</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12/05/2028</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2,596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3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Tactical Air Support, Inc.</w:t>
            </w:r>
          </w:p>
        </w:tc>
        <w:tc>
          <w:tcPr>
            <w:tcW w:w="146"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13.97%</w:t>
            </w:r>
          </w:p>
        </w:tc>
        <w:tc>
          <w:tcPr>
            <w:tcW w:w="146"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+ 8.50%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12/22/2028</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w:t>
            </w:r>
          </w:p>
        </w:tc>
      </w:tr>
      <w:tr>
        <w:trPr/>
        <w:tc>
          <w:tcPr>
            <w:tcW w:w="173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Taoglas Group Holdings Limited</w:t>
            </w:r>
          </w:p>
        </w:tc>
        <w:tc>
          <w:tcPr>
            <w:tcW w:w="146" w:type="dxa"/>
            <w:tcBorders/>
            <w:shd w:fill="CFF0FC" w:val="clear"/>
            <w:vAlign w:val="center"/>
          </w:tcPr>
          <w:p>
            <w:pPr>
              <w:pStyle w:val="TableContents"/>
              <w:bidi w:val="0"/>
              <w:spacing w:before="0" w:after="283"/>
              <w:jc w:val="left"/>
              <w:rPr/>
            </w:pPr>
            <w:r>
              <w:rPr/>
              <w:t> </w:t>
            </w:r>
          </w:p>
        </w:tc>
        <w:tc>
          <w:tcPr>
            <w:tcW w:w="12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12.58%</w:t>
            </w:r>
          </w:p>
        </w:tc>
        <w:tc>
          <w:tcPr>
            <w:tcW w:w="14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+ 7.25%</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02/28/2029</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2,272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3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Taoglas Group Holdings Limited (Revolver)</w:t>
            </w:r>
          </w:p>
        </w:tc>
        <w:tc>
          <w:tcPr>
            <w:tcW w:w="146"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12.57%</w:t>
            </w:r>
          </w:p>
        </w:tc>
        <w:tc>
          <w:tcPr>
            <w:tcW w:w="146"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+ 7.25%</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02/28/2029</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w:t>
            </w:r>
          </w:p>
        </w:tc>
      </w:tr>
      <w:tr>
        <w:trPr/>
        <w:tc>
          <w:tcPr>
            <w:tcW w:w="173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TransNetwork LLC</w:t>
            </w:r>
          </w:p>
        </w:tc>
        <w:tc>
          <w:tcPr>
            <w:tcW w:w="146" w:type="dxa"/>
            <w:tcBorders/>
            <w:shd w:fill="CFF0FC" w:val="clear"/>
            <w:vAlign w:val="center"/>
          </w:tcPr>
          <w:p>
            <w:pPr>
              <w:pStyle w:val="TableContents"/>
              <w:bidi w:val="0"/>
              <w:spacing w:before="0" w:after="283"/>
              <w:jc w:val="left"/>
              <w:rPr/>
            </w:pPr>
            <w:r>
              <w:rPr/>
              <w:t> </w:t>
            </w:r>
          </w:p>
        </w:tc>
        <w:tc>
          <w:tcPr>
            <w:tcW w:w="12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10.83%</w:t>
            </w:r>
          </w:p>
        </w:tc>
        <w:tc>
          <w:tcPr>
            <w:tcW w:w="14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+ 5.50%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12/29/2030</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3,739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3,791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3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VBC Spine Opco LLC (DxTx Pain and Spine LLC)</w:t>
            </w:r>
          </w:p>
        </w:tc>
        <w:tc>
          <w:tcPr>
            <w:tcW w:w="146"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13.47%</w:t>
            </w:r>
          </w:p>
        </w:tc>
        <w:tc>
          <w:tcPr>
            <w:tcW w:w="146"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06/14/2028</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w:t>
            </w:r>
          </w:p>
        </w:tc>
      </w:tr>
      <w:tr>
        <w:trPr/>
        <w:tc>
          <w:tcPr>
            <w:tcW w:w="173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VBC Spine Opco LLC (DxTx Pain and Spine LLC)(Revolver)</w:t>
            </w:r>
          </w:p>
        </w:tc>
        <w:tc>
          <w:tcPr>
            <w:tcW w:w="146" w:type="dxa"/>
            <w:tcBorders/>
            <w:shd w:fill="CFF0FC" w:val="clear"/>
            <w:vAlign w:val="center"/>
          </w:tcPr>
          <w:p>
            <w:pPr>
              <w:pStyle w:val="TableContents"/>
              <w:bidi w:val="0"/>
              <w:spacing w:before="0" w:after="283"/>
              <w:jc w:val="left"/>
              <w:rPr/>
            </w:pPr>
            <w:r>
              <w:rPr/>
              <w:t> </w:t>
            </w:r>
          </w:p>
        </w:tc>
        <w:tc>
          <w:tcPr>
            <w:tcW w:w="12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06/14/2028</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(12)(17)</w:t>
            </w:r>
          </w:p>
        </w:tc>
      </w:tr>
      <w:tr>
        <w:trPr/>
        <w:tc>
          <w:tcPr>
            <w:tcW w:w="173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Wealth Enhancement Group, LLC</w:t>
            </w:r>
          </w:p>
        </w:tc>
        <w:tc>
          <w:tcPr>
            <w:tcW w:w="146"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10.83%</w:t>
            </w:r>
          </w:p>
        </w:tc>
        <w:tc>
          <w:tcPr>
            <w:tcW w:w="146"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+ 5.50%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10/02/2027</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6,832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6,854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3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Wealth Enhancement Group, LLC (Revolver)</w:t>
            </w:r>
          </w:p>
        </w:tc>
        <w:tc>
          <w:tcPr>
            <w:tcW w:w="146" w:type="dxa"/>
            <w:tcBorders/>
            <w:shd w:fill="CFF0FC" w:val="clear"/>
            <w:vAlign w:val="center"/>
          </w:tcPr>
          <w:p>
            <w:pPr>
              <w:pStyle w:val="TableContents"/>
              <w:bidi w:val="0"/>
              <w:spacing w:before="0" w:after="283"/>
              <w:jc w:val="left"/>
              <w:rPr/>
            </w:pPr>
            <w:r>
              <w:rPr/>
              <w:t> </w:t>
            </w:r>
          </w:p>
        </w:tc>
        <w:tc>
          <w:tcPr>
            <w:tcW w:w="12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10/02/2027</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(12)(17)</w:t>
            </w:r>
          </w:p>
        </w:tc>
      </w:tr>
      <w:tr>
        <w:trPr/>
        <w:tc>
          <w:tcPr>
            <w:tcW w:w="3088"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First Lien/Senior Secured Debt</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127,364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119,040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3088"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Second Lien/Senior Secured Debt - 8.1%</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56"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173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Academy Holdings, LLC</w:t>
            </w:r>
          </w:p>
        </w:tc>
        <w:tc>
          <w:tcPr>
            <w:tcW w:w="146"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14.50% PIK</w:t>
            </w:r>
          </w:p>
        </w:tc>
        <w:tc>
          <w:tcPr>
            <w:tcW w:w="146"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03/01/2028</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4,378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4,159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73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BLST Operating Company, LLC</w:t>
            </w:r>
          </w:p>
        </w:tc>
        <w:tc>
          <w:tcPr>
            <w:tcW w:w="146" w:type="dxa"/>
            <w:tcBorders/>
            <w:shd w:fill="CFF0FC" w:val="clear"/>
            <w:vAlign w:val="center"/>
          </w:tcPr>
          <w:p>
            <w:pPr>
              <w:pStyle w:val="TableContents"/>
              <w:bidi w:val="0"/>
              <w:spacing w:before="0" w:after="283"/>
              <w:jc w:val="left"/>
              <w:rPr/>
            </w:pPr>
            <w:r>
              <w:rPr/>
              <w:t> </w:t>
            </w:r>
          </w:p>
        </w:tc>
        <w:tc>
          <w:tcPr>
            <w:tcW w:w="12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Online Merchandise Retailer</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14.94%</w:t>
            </w:r>
          </w:p>
        </w:tc>
        <w:tc>
          <w:tcPr>
            <w:tcW w:w="14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+ 8.50%, 13.94% PIK</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1.50%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08/28/2025</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(8)(16)</w:t>
            </w:r>
          </w:p>
        </w:tc>
      </w:tr>
      <w:tr>
        <w:trPr/>
        <w:tc>
          <w:tcPr>
            <w:tcW w:w="173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Ivanti Software, Inc.</w:t>
            </w:r>
          </w:p>
        </w:tc>
        <w:tc>
          <w:tcPr>
            <w:tcW w:w="146"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12.81%</w:t>
            </w:r>
          </w:p>
        </w:tc>
        <w:tc>
          <w:tcPr>
            <w:tcW w:w="146"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+ 7.25%</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12/01/2028</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2,990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3088"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Second Lien/Senior Secured Debt</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56"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8,462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7,139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1737"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Subordinated Debt - 26.2%</w:t>
            </w:r>
          </w:p>
        </w:tc>
        <w:tc>
          <w:tcPr>
            <w:tcW w:w="146"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73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DeltaDx Limited, LP (Money Transfer Acquisition Inc.)</w:t>
            </w:r>
          </w:p>
        </w:tc>
        <w:tc>
          <w:tcPr>
            <w:tcW w:w="146" w:type="dxa"/>
            <w:tcBorders/>
            <w:shd w:fill="CFF0FC" w:val="clear"/>
            <w:vAlign w:val="center"/>
          </w:tcPr>
          <w:p>
            <w:pPr>
              <w:pStyle w:val="TableContents"/>
              <w:bidi w:val="0"/>
              <w:spacing w:before="0" w:after="283"/>
              <w:jc w:val="left"/>
              <w:rPr/>
            </w:pPr>
            <w:r>
              <w:rPr/>
              <w:t> </w:t>
            </w:r>
          </w:p>
        </w:tc>
        <w:tc>
          <w:tcPr>
            <w:tcW w:w="12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15.00% PIK</w:t>
            </w:r>
          </w:p>
        </w:tc>
        <w:tc>
          <w:tcPr>
            <w:tcW w:w="14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06/14/2028</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173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Eastport Holdings, LLC</w:t>
            </w:r>
          </w:p>
        </w:tc>
        <w:tc>
          <w:tcPr>
            <w:tcW w:w="146"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14.11%</w:t>
            </w:r>
          </w:p>
        </w:tc>
        <w:tc>
          <w:tcPr>
            <w:tcW w:w="146"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+ 8.50%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09/29/2027</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19,248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19,250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73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Lucky Bucks, LLC</w:t>
            </w:r>
          </w:p>
        </w:tc>
        <w:tc>
          <w:tcPr>
            <w:tcW w:w="146" w:type="dxa"/>
            <w:tcBorders/>
            <w:shd w:fill="CFF0FC" w:val="clear"/>
            <w:vAlign w:val="center"/>
          </w:tcPr>
          <w:p>
            <w:pPr>
              <w:pStyle w:val="TableContents"/>
              <w:bidi w:val="0"/>
              <w:spacing w:before="0" w:after="283"/>
              <w:jc w:val="left"/>
              <w:rPr/>
            </w:pPr>
            <w:r>
              <w:rPr/>
              <w:t> </w:t>
            </w:r>
          </w:p>
        </w:tc>
        <w:tc>
          <w:tcPr>
            <w:tcW w:w="12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Discretionary</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05/29/2028</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r>
      <w:tr>
        <w:trPr/>
        <w:tc>
          <w:tcPr>
            <w:tcW w:w="173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Tubular Textile Machinery, Inc.</w:t>
            </w:r>
          </w:p>
        </w:tc>
        <w:tc>
          <w:tcPr>
            <w:tcW w:w="146"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Textile Equipment Manufacturer</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5.00%</w:t>
            </w:r>
          </w:p>
        </w:tc>
        <w:tc>
          <w:tcPr>
            <w:tcW w:w="146"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10/29/2027</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3,161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3088"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Subordinated Debt</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56"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26,893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23,218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1737"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Collateralized Loan Obligations - 1.8%</w:t>
            </w:r>
          </w:p>
        </w:tc>
        <w:tc>
          <w:tcPr>
            <w:tcW w:w="146"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73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JMP Credit Advisors CLO IV Ltd.</w:t>
            </w:r>
          </w:p>
        </w:tc>
        <w:tc>
          <w:tcPr>
            <w:tcW w:w="146" w:type="dxa"/>
            <w:tcBorders/>
            <w:shd w:fill="CFF0FC" w:val="clear"/>
            <w:vAlign w:val="center"/>
          </w:tcPr>
          <w:p>
            <w:pPr>
              <w:pStyle w:val="TableContents"/>
              <w:bidi w:val="0"/>
              <w:spacing w:before="0" w:after="283"/>
              <w:jc w:val="left"/>
              <w:rPr/>
            </w:pPr>
            <w:r>
              <w:rPr/>
              <w:t> </w:t>
            </w:r>
          </w:p>
        </w:tc>
        <w:tc>
          <w:tcPr>
            <w:tcW w:w="12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4.38%</w:t>
            </w:r>
          </w:p>
        </w:tc>
        <w:tc>
          <w:tcPr>
            <w:tcW w:w="14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07/17/2029</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(13)(15)</w:t>
            </w:r>
          </w:p>
        </w:tc>
      </w:tr>
      <w:tr>
        <w:trPr/>
        <w:tc>
          <w:tcPr>
            <w:tcW w:w="173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JMP Credit Advisors CLO V Ltd.</w:t>
            </w:r>
          </w:p>
        </w:tc>
        <w:tc>
          <w:tcPr>
            <w:tcW w:w="146"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17.60%</w:t>
            </w:r>
          </w:p>
        </w:tc>
        <w:tc>
          <w:tcPr>
            <w:tcW w:w="146"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07/17/2030</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(13)(15)</w:t>
            </w:r>
          </w:p>
        </w:tc>
      </w:tr>
      <w:tr>
        <w:trPr/>
        <w:tc>
          <w:tcPr>
            <w:tcW w:w="3088"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Collateralized Loan Obligations</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5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1,770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1,596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3088"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Preferred Stock and Units - 1.6%</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73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Academy Holdings, LLC</w:t>
            </w:r>
          </w:p>
        </w:tc>
        <w:tc>
          <w:tcPr>
            <w:tcW w:w="146" w:type="dxa"/>
            <w:tcBorders/>
            <w:shd w:fill="CFF0FC" w:val="clear"/>
            <w:vAlign w:val="center"/>
          </w:tcPr>
          <w:p>
            <w:pPr>
              <w:pStyle w:val="TableContents"/>
              <w:bidi w:val="0"/>
              <w:spacing w:before="0" w:after="283"/>
              <w:jc w:val="left"/>
              <w:rPr/>
            </w:pPr>
            <w:r>
              <w:rPr/>
              <w:t> </w:t>
            </w:r>
          </w:p>
        </w:tc>
        <w:tc>
          <w:tcPr>
            <w:tcW w:w="12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102,261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r>
      <w:tr>
        <w:trPr/>
        <w:tc>
          <w:tcPr>
            <w:tcW w:w="173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MicroHoldco, LLC</w:t>
            </w:r>
          </w:p>
        </w:tc>
        <w:tc>
          <w:tcPr>
            <w:tcW w:w="146"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General Industrial</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740,237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w:t>
            </w:r>
          </w:p>
        </w:tc>
      </w:tr>
      <w:tr>
        <w:trPr/>
        <w:tc>
          <w:tcPr>
            <w:tcW w:w="173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Taylor Precision Products, Inc.</w:t>
            </w:r>
          </w:p>
        </w:tc>
        <w:tc>
          <w:tcPr>
            <w:tcW w:w="146" w:type="dxa"/>
            <w:tcBorders/>
            <w:shd w:fill="CFF0FC" w:val="clear"/>
            <w:vAlign w:val="center"/>
          </w:tcPr>
          <w:p>
            <w:pPr>
              <w:pStyle w:val="TableContents"/>
              <w:bidi w:val="0"/>
              <w:spacing w:before="0" w:after="283"/>
              <w:jc w:val="left"/>
              <w:rPr/>
            </w:pPr>
            <w:r>
              <w:rPr/>
              <w:t> </w:t>
            </w:r>
          </w:p>
        </w:tc>
        <w:tc>
          <w:tcPr>
            <w:tcW w:w="12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Household Product Manufacturer</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3088"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Preferred Stock and Units</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center"/>
        <w:rPr>
          <w:rFonts w:ascii="Times New Roman" w:hAnsi="Times New Roman"/>
          <w:color w:val="000000"/>
          <w:sz w:val="16"/>
        </w:rPr>
      </w:pPr>
      <w:r>
        <w:rPr>
          <w:rFonts w:ascii="Times New Roman" w:hAnsi="Times New Roman"/>
          <w:color w:val="000000"/>
          <w:sz w:val="16"/>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 - CONTINUED</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for units/shares)</w:t>
      </w:r>
    </w:p>
    <w:p>
      <w:pPr>
        <w:pStyle w:val="TextBody"/>
        <w:bidi w:val="0"/>
        <w:jc w:val="center"/>
        <w:rPr>
          <w:rFonts w:ascii="Times New Roman" w:hAnsi="Times New Roman"/>
          <w:b/>
          <w:color w:val="000000"/>
          <w:sz w:val="16"/>
        </w:rPr>
      </w:pPr>
      <w:r>
        <w:rPr>
          <w:rFonts w:ascii="Times New Roman" w:hAnsi="Times New Roman"/>
          <w:b/>
          <w:color w:val="000000"/>
          <w:sz w:val="16"/>
        </w:rPr>
        <w:t>June 30, 2024</w:t>
      </w:r>
    </w:p>
    <w:p>
      <w:pPr>
        <w:pStyle w:val="TextBody"/>
        <w:bidi w:val="0"/>
        <w:spacing w:before="0" w:after="120"/>
        <w:jc w:val="center"/>
        <w:rPr>
          <w:rFonts w:ascii="Times New Roman" w:hAnsi="Times New Roman"/>
          <w:b/>
          <w:color w:val="000000"/>
          <w:sz w:val="16"/>
        </w:rPr>
      </w:pPr>
      <w:r>
        <w:rPr>
          <w:rFonts w:ascii="Times New Roman" w:hAnsi="Times New Roman"/>
          <w:b/>
          <w:color w:val="000000"/>
          <w:sz w:val="16"/>
        </w:rPr>
        <w:t>(unaudited)</w:t>
      </w:r>
    </w:p>
    <w:tbl>
      <w:tblPr>
        <w:tblW w:w="10205" w:type="dxa"/>
        <w:jc w:val="left"/>
        <w:tblInd w:w="0" w:type="dxa"/>
        <w:tblLayout w:type="fixed"/>
        <w:tblCellMar>
          <w:top w:w="28" w:type="dxa"/>
          <w:left w:w="28" w:type="dxa"/>
          <w:bottom w:w="28" w:type="dxa"/>
          <w:right w:w="28" w:type="dxa"/>
        </w:tblCellMar>
      </w:tblPr>
      <w:tblGrid>
        <w:gridCol w:w="1579"/>
        <w:gridCol w:w="146"/>
        <w:gridCol w:w="1450"/>
        <w:gridCol w:w="146"/>
        <w:gridCol w:w="718"/>
        <w:gridCol w:w="146"/>
        <w:gridCol w:w="787"/>
        <w:gridCol w:w="146"/>
        <w:gridCol w:w="469"/>
        <w:gridCol w:w="146"/>
        <w:gridCol w:w="610"/>
        <w:gridCol w:w="146"/>
        <w:gridCol w:w="157"/>
        <w:gridCol w:w="696"/>
        <w:gridCol w:w="146"/>
        <w:gridCol w:w="146"/>
        <w:gridCol w:w="166"/>
        <w:gridCol w:w="496"/>
        <w:gridCol w:w="146"/>
        <w:gridCol w:w="146"/>
        <w:gridCol w:w="166"/>
        <w:gridCol w:w="496"/>
        <w:gridCol w:w="146"/>
        <w:gridCol w:w="146"/>
        <w:gridCol w:w="663"/>
      </w:tblGrid>
      <w:tr>
        <w:trPr/>
        <w:tc>
          <w:tcPr>
            <w:tcW w:w="1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1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 (1), (2), (3), (4), (5)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 Rate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Reference Rate </w:t>
              <w:br/>
              <w:t>and Spread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Floor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Par/Shares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Footnotes</w:t>
            </w:r>
          </w:p>
        </w:tc>
      </w:tr>
      <w:tr>
        <w:trPr/>
        <w:tc>
          <w:tcPr>
            <w:tcW w:w="15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6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3"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center"/>
              <w:rPr/>
            </w:pPr>
            <w:r>
              <w:rPr/>
              <w:t> </w:t>
            </w:r>
          </w:p>
        </w:tc>
      </w:tr>
      <w:tr>
        <w:trPr/>
        <w:tc>
          <w:tcPr>
            <w:tcW w:w="3175"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Common Stock and Membership Units - 5.4%</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6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r>
      <w:tr>
        <w:trPr/>
        <w:tc>
          <w:tcPr>
            <w:tcW w:w="157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Academy Holdings, LLC</w:t>
            </w:r>
          </w:p>
        </w:tc>
        <w:tc>
          <w:tcPr>
            <w:tcW w:w="146" w:type="dxa"/>
            <w:tcBorders/>
            <w:shd w:fill="CFF0FC" w:val="clear"/>
            <w:vAlign w:val="center"/>
          </w:tcPr>
          <w:p>
            <w:pPr>
              <w:pStyle w:val="TableContents"/>
              <w:bidi w:val="0"/>
              <w:spacing w:before="0" w:after="283"/>
              <w:jc w:val="left"/>
              <w:rPr/>
            </w:pPr>
            <w:r>
              <w:rPr/>
              <w:t> </w:t>
            </w:r>
          </w:p>
        </w:tc>
        <w:tc>
          <w:tcPr>
            <w:tcW w:w="145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r>
      <w:tr>
        <w:trPr/>
        <w:tc>
          <w:tcPr>
            <w:tcW w:w="15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Clinical Solutions, LLC - Class A</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6,030,384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r>
      <w:tr>
        <w:trPr/>
        <w:tc>
          <w:tcPr>
            <w:tcW w:w="157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Aperture Dodge 18 LLC</w:t>
            </w:r>
          </w:p>
        </w:tc>
        <w:tc>
          <w:tcPr>
            <w:tcW w:w="146" w:type="dxa"/>
            <w:tcBorders/>
            <w:shd w:fill="CFF0FC" w:val="clear"/>
            <w:vAlign w:val="center"/>
          </w:tcPr>
          <w:p>
            <w:pPr>
              <w:pStyle w:val="TableContents"/>
              <w:bidi w:val="0"/>
              <w:spacing w:before="0" w:after="283"/>
              <w:jc w:val="left"/>
              <w:rPr/>
            </w:pPr>
            <w:r>
              <w:rPr/>
              <w:t> </w:t>
            </w:r>
          </w:p>
        </w:tc>
        <w:tc>
          <w:tcPr>
            <w:tcW w:w="145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2,045,271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r>
      <w:tr>
        <w:trPr/>
        <w:tc>
          <w:tcPr>
            <w:tcW w:w="15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BLST Operating Company, LLC - Class A</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Online Merchandise Retailer</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217,013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r>
      <w:tr>
        <w:trPr/>
        <w:tc>
          <w:tcPr>
            <w:tcW w:w="157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DxTx Pain and Spine LLC</w:t>
            </w:r>
          </w:p>
        </w:tc>
        <w:tc>
          <w:tcPr>
            <w:tcW w:w="146" w:type="dxa"/>
            <w:tcBorders/>
            <w:shd w:fill="CFF0FC" w:val="clear"/>
            <w:vAlign w:val="center"/>
          </w:tcPr>
          <w:p>
            <w:pPr>
              <w:pStyle w:val="TableContents"/>
              <w:bidi w:val="0"/>
              <w:spacing w:before="0" w:after="283"/>
              <w:jc w:val="left"/>
              <w:rPr/>
            </w:pPr>
            <w:r>
              <w:rPr/>
              <w:t> </w:t>
            </w:r>
          </w:p>
        </w:tc>
        <w:tc>
          <w:tcPr>
            <w:tcW w:w="145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59,312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r>
      <w:tr>
        <w:trPr/>
        <w:tc>
          <w:tcPr>
            <w:tcW w:w="15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Freedom Electronics, LLC</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Electronic Machine Repair</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181,818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r>
      <w:tr>
        <w:trPr/>
        <w:tc>
          <w:tcPr>
            <w:tcW w:w="157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Lucky Bucks, LLC</w:t>
            </w:r>
          </w:p>
        </w:tc>
        <w:tc>
          <w:tcPr>
            <w:tcW w:w="146" w:type="dxa"/>
            <w:tcBorders/>
            <w:shd w:fill="CFF0FC" w:val="clear"/>
            <w:vAlign w:val="center"/>
          </w:tcPr>
          <w:p>
            <w:pPr>
              <w:pStyle w:val="TableContents"/>
              <w:bidi w:val="0"/>
              <w:spacing w:before="0" w:after="283"/>
              <w:jc w:val="left"/>
              <w:rPr/>
            </w:pPr>
            <w:r>
              <w:rPr/>
              <w:t> </w:t>
            </w:r>
          </w:p>
        </w:tc>
        <w:tc>
          <w:tcPr>
            <w:tcW w:w="145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Discretionary</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r>
      <w:tr>
        <w:trPr/>
        <w:tc>
          <w:tcPr>
            <w:tcW w:w="15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Morae Global Corporation - Warrants</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r>
      <w:tr>
        <w:trPr/>
        <w:tc>
          <w:tcPr>
            <w:tcW w:w="157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South Street Securities Holdings, Inc. - Warrants</w:t>
            </w:r>
          </w:p>
        </w:tc>
        <w:tc>
          <w:tcPr>
            <w:tcW w:w="146" w:type="dxa"/>
            <w:tcBorders/>
            <w:shd w:fill="CFF0FC" w:val="clear"/>
            <w:vAlign w:val="center"/>
          </w:tcPr>
          <w:p>
            <w:pPr>
              <w:pStyle w:val="TableContents"/>
              <w:bidi w:val="0"/>
              <w:spacing w:before="0" w:after="283"/>
              <w:jc w:val="left"/>
              <w:rPr/>
            </w:pPr>
            <w:r>
              <w:rPr/>
              <w:t> </w:t>
            </w:r>
          </w:p>
        </w:tc>
        <w:tc>
          <w:tcPr>
            <w:tcW w:w="145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r>
      <w:tr>
        <w:trPr/>
        <w:tc>
          <w:tcPr>
            <w:tcW w:w="3175"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Common Stock and Membership Units</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left"/>
              <w:rPr/>
            </w:pPr>
            <w:r>
              <w:rPr/>
              <w:t> </w:t>
            </w:r>
          </w:p>
        </w:tc>
      </w:tr>
      <w:tr>
        <w:trPr/>
        <w:tc>
          <w:tcPr>
            <w:tcW w:w="4039" w:type="dxa"/>
            <w:gridSpan w:val="5"/>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in Non-Control, Non-Affiliate Portfolio Companies</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5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172,733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157,181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r>
      <w:tr>
        <w:trPr/>
        <w:tc>
          <w:tcPr>
            <w:tcW w:w="3175"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Investments in Affiliated Portfolio Companies - 43.3%^</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r>
      <w:tr>
        <w:trPr/>
        <w:tc>
          <w:tcPr>
            <w:tcW w:w="3175"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First Lien/Senior Secured Debt - 6.9%</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5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r>
      <w:tr>
        <w:trPr/>
        <w:tc>
          <w:tcPr>
            <w:tcW w:w="15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Medical Device Distributor</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06/28/2024</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r>
      <w:tr>
        <w:trPr/>
        <w:tc>
          <w:tcPr>
            <w:tcW w:w="157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Riddell, Inc.</w:t>
            </w:r>
          </w:p>
        </w:tc>
        <w:tc>
          <w:tcPr>
            <w:tcW w:w="146" w:type="dxa"/>
            <w:tcBorders/>
            <w:shd w:fill="CFF0FC" w:val="clear"/>
            <w:vAlign w:val="center"/>
          </w:tcPr>
          <w:p>
            <w:pPr>
              <w:pStyle w:val="TableContents"/>
              <w:bidi w:val="0"/>
              <w:spacing w:before="0" w:after="283"/>
              <w:jc w:val="left"/>
              <w:rPr/>
            </w:pPr>
            <w:r>
              <w:rPr/>
              <w:t> </w:t>
            </w:r>
          </w:p>
        </w:tc>
        <w:tc>
          <w:tcPr>
            <w:tcW w:w="145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Discretionary</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11.33%</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03/29/2029</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w:t>
            </w:r>
          </w:p>
        </w:tc>
      </w:tr>
      <w:tr>
        <w:trPr/>
        <w:tc>
          <w:tcPr>
            <w:tcW w:w="3175"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First Lien/Senior Secured Debt</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3"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left"/>
              <w:rPr/>
            </w:pPr>
            <w:r>
              <w:rPr/>
              <w:t> </w:t>
            </w:r>
          </w:p>
        </w:tc>
      </w:tr>
      <w:tr>
        <w:trPr/>
        <w:tc>
          <w:tcPr>
            <w:tcW w:w="3175"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Second Lien/Senior Secured Debt - 1.0%</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53"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left"/>
              <w:rPr/>
            </w:pPr>
            <w:r>
              <w:rPr/>
              <w:t> </w:t>
            </w:r>
          </w:p>
        </w:tc>
      </w:tr>
      <w:tr>
        <w:trPr/>
        <w:tc>
          <w:tcPr>
            <w:tcW w:w="15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Medical Device Distributor</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06/28/2024</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r>
      <w:tr>
        <w:trPr/>
        <w:tc>
          <w:tcPr>
            <w:tcW w:w="157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V12 Holdings, Inc.</w:t>
            </w:r>
          </w:p>
        </w:tc>
        <w:tc>
          <w:tcPr>
            <w:tcW w:w="146" w:type="dxa"/>
            <w:tcBorders/>
            <w:shd w:fill="CFF0FC" w:val="clear"/>
            <w:vAlign w:val="center"/>
          </w:tcPr>
          <w:p>
            <w:pPr>
              <w:pStyle w:val="TableContents"/>
              <w:bidi w:val="0"/>
              <w:spacing w:before="0" w:after="283"/>
              <w:jc w:val="left"/>
              <w:rPr/>
            </w:pPr>
            <w:r>
              <w:rPr/>
              <w:t> </w:t>
            </w:r>
          </w:p>
        </w:tc>
        <w:tc>
          <w:tcPr>
            <w:tcW w:w="145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Data Processing &amp; Digital Marketing</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w:t>
            </w:r>
          </w:p>
        </w:tc>
      </w:tr>
      <w:tr>
        <w:trPr/>
        <w:tc>
          <w:tcPr>
            <w:tcW w:w="3175"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Second Lien/Senior Secured Debt</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3"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left"/>
              <w:rPr/>
            </w:pPr>
            <w:r>
              <w:rPr/>
              <w:t> </w:t>
            </w:r>
          </w:p>
        </w:tc>
      </w:tr>
      <w:tr>
        <w:trPr/>
        <w:tc>
          <w:tcPr>
            <w:tcW w:w="3175"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Joint Ventures - 0.5%</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53"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left"/>
              <w:rPr/>
            </w:pPr>
            <w:r>
              <w:rPr/>
              <w:t> </w:t>
            </w:r>
          </w:p>
        </w:tc>
      </w:tr>
      <w:tr>
        <w:trPr/>
        <w:tc>
          <w:tcPr>
            <w:tcW w:w="15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Great Lakes Funding II LLC - Series A</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(12)(15)</w:t>
            </w:r>
          </w:p>
        </w:tc>
      </w:tr>
      <w:tr>
        <w:trPr/>
        <w:tc>
          <w:tcPr>
            <w:tcW w:w="3175"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Joint Ventures</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5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left"/>
              <w:rPr/>
            </w:pPr>
            <w:r>
              <w:rPr/>
              <w:t> </w:t>
            </w:r>
          </w:p>
        </w:tc>
      </w:tr>
      <w:tr>
        <w:trPr/>
        <w:tc>
          <w:tcPr>
            <w:tcW w:w="3175"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Preferred Stock and Units - 9.3%</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3"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left"/>
              <w:rPr/>
            </w:pPr>
            <w:r>
              <w:rPr/>
              <w:t> </w:t>
            </w:r>
          </w:p>
        </w:tc>
      </w:tr>
      <w:tr>
        <w:trPr/>
        <w:tc>
          <w:tcPr>
            <w:tcW w:w="157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EBSC Holdings LLC (Riddell, Inc.)</w:t>
            </w:r>
          </w:p>
        </w:tc>
        <w:tc>
          <w:tcPr>
            <w:tcW w:w="146" w:type="dxa"/>
            <w:tcBorders/>
            <w:shd w:fill="CFF0FC" w:val="clear"/>
            <w:vAlign w:val="center"/>
          </w:tcPr>
          <w:p>
            <w:pPr>
              <w:pStyle w:val="TableContents"/>
              <w:bidi w:val="0"/>
              <w:spacing w:before="0" w:after="283"/>
              <w:jc w:val="left"/>
              <w:rPr/>
            </w:pPr>
            <w:r>
              <w:rPr/>
              <w:t> </w:t>
            </w:r>
          </w:p>
        </w:tc>
        <w:tc>
          <w:tcPr>
            <w:tcW w:w="145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Discretionary</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10.00% PIK</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(14)</w:t>
            </w:r>
          </w:p>
        </w:tc>
      </w:tr>
      <w:tr>
        <w:trPr/>
        <w:tc>
          <w:tcPr>
            <w:tcW w:w="15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GA Communications, Inc. - Series A-1</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Advertising &amp; Marketing Services</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left"/>
              <w:rPr/>
            </w:pPr>
            <w:r>
              <w:rPr/>
              <w:t> </w:t>
            </w:r>
          </w:p>
        </w:tc>
      </w:tr>
      <w:tr>
        <w:trPr/>
        <w:tc>
          <w:tcPr>
            <w:tcW w:w="157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GreenPark Infrastructure, LLC - Series A</w:t>
            </w:r>
          </w:p>
        </w:tc>
        <w:tc>
          <w:tcPr>
            <w:tcW w:w="146" w:type="dxa"/>
            <w:tcBorders/>
            <w:shd w:fill="CFF0FC" w:val="clear"/>
            <w:vAlign w:val="center"/>
          </w:tcPr>
          <w:p>
            <w:pPr>
              <w:pStyle w:val="TableContents"/>
              <w:bidi w:val="0"/>
              <w:spacing w:before="0" w:after="283"/>
              <w:jc w:val="left"/>
              <w:rPr/>
            </w:pPr>
            <w:r>
              <w:rPr/>
              <w:t> </w:t>
            </w:r>
          </w:p>
        </w:tc>
        <w:tc>
          <w:tcPr>
            <w:tcW w:w="145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r>
      <w:tr>
        <w:trPr/>
        <w:tc>
          <w:tcPr>
            <w:tcW w:w="15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Medical Device Distributor</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r>
      <w:tr>
        <w:trPr/>
        <w:tc>
          <w:tcPr>
            <w:tcW w:w="157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RAM Payment, LLC</w:t>
            </w:r>
          </w:p>
        </w:tc>
        <w:tc>
          <w:tcPr>
            <w:tcW w:w="146" w:type="dxa"/>
            <w:tcBorders/>
            <w:shd w:fill="CFF0FC" w:val="clear"/>
            <w:vAlign w:val="center"/>
          </w:tcPr>
          <w:p>
            <w:pPr>
              <w:pStyle w:val="TableContents"/>
              <w:bidi w:val="0"/>
              <w:spacing w:before="0" w:after="283"/>
              <w:jc w:val="left"/>
              <w:rPr/>
            </w:pPr>
            <w:r>
              <w:rPr/>
              <w:t> </w:t>
            </w:r>
          </w:p>
        </w:tc>
        <w:tc>
          <w:tcPr>
            <w:tcW w:w="145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6.00% PIK</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(14)</w:t>
            </w:r>
          </w:p>
        </w:tc>
      </w:tr>
      <w:tr>
        <w:trPr/>
        <w:tc>
          <w:tcPr>
            <w:tcW w:w="3175"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Preferred Stock and Units</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3"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left"/>
              <w:rPr/>
            </w:pPr>
            <w:r>
              <w:rPr/>
              <w:t> </w:t>
            </w:r>
          </w:p>
        </w:tc>
      </w:tr>
      <w:tr>
        <w:trPr/>
        <w:tc>
          <w:tcPr>
            <w:tcW w:w="3175"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Common Stock and Membership Units - 25.7%</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5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r>
      <w:tr>
        <w:trPr/>
        <w:tc>
          <w:tcPr>
            <w:tcW w:w="15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Burgaflex Holdings, LLC</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Automobile Part Manufacturer</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1,253,198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r>
      <w:tr>
        <w:trPr/>
        <w:tc>
          <w:tcPr>
            <w:tcW w:w="157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Burgaflex Holdings, LLC</w:t>
            </w:r>
          </w:p>
        </w:tc>
        <w:tc>
          <w:tcPr>
            <w:tcW w:w="146" w:type="dxa"/>
            <w:tcBorders/>
            <w:shd w:fill="CFF0FC" w:val="clear"/>
            <w:vAlign w:val="center"/>
          </w:tcPr>
          <w:p>
            <w:pPr>
              <w:pStyle w:val="TableContents"/>
              <w:bidi w:val="0"/>
              <w:spacing w:before="0" w:after="283"/>
              <w:jc w:val="left"/>
              <w:rPr/>
            </w:pPr>
            <w:r>
              <w:rPr/>
              <w:t> </w:t>
            </w:r>
          </w:p>
        </w:tc>
        <w:tc>
          <w:tcPr>
            <w:tcW w:w="145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Automobile Part Manufacturer</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1,085,073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r>
      <w:tr>
        <w:trPr/>
        <w:tc>
          <w:tcPr>
            <w:tcW w:w="15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GA Communications, Inc. - Series B-1</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Advertising &amp; Marketing Services</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left"/>
              <w:rPr/>
            </w:pPr>
            <w:r>
              <w:rPr/>
              <w:t> </w:t>
            </w:r>
          </w:p>
        </w:tc>
      </w:tr>
      <w:tr>
        <w:trPr/>
        <w:tc>
          <w:tcPr>
            <w:tcW w:w="157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GreenPark Infrastructure, LLC - Series M-1</w:t>
            </w:r>
          </w:p>
        </w:tc>
        <w:tc>
          <w:tcPr>
            <w:tcW w:w="146" w:type="dxa"/>
            <w:tcBorders/>
            <w:shd w:fill="CFF0FC" w:val="clear"/>
            <w:vAlign w:val="center"/>
          </w:tcPr>
          <w:p>
            <w:pPr>
              <w:pStyle w:val="TableContents"/>
              <w:bidi w:val="0"/>
              <w:spacing w:before="0" w:after="283"/>
              <w:jc w:val="left"/>
              <w:rPr/>
            </w:pPr>
            <w:r>
              <w:rPr/>
              <w:t> </w:t>
            </w:r>
          </w:p>
        </w:tc>
        <w:tc>
          <w:tcPr>
            <w:tcW w:w="145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(6)(12)</w:t>
            </w:r>
          </w:p>
        </w:tc>
      </w:tr>
      <w:tr>
        <w:trPr/>
        <w:tc>
          <w:tcPr>
            <w:tcW w:w="15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Medical Device Distributor</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r>
      <w:tr>
        <w:trPr/>
        <w:tc>
          <w:tcPr>
            <w:tcW w:w="157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Nth Degree Investment Group, LLC</w:t>
            </w:r>
          </w:p>
        </w:tc>
        <w:tc>
          <w:tcPr>
            <w:tcW w:w="146" w:type="dxa"/>
            <w:tcBorders/>
            <w:shd w:fill="CFF0FC" w:val="clear"/>
            <w:vAlign w:val="center"/>
          </w:tcPr>
          <w:p>
            <w:pPr>
              <w:pStyle w:val="TableContents"/>
              <w:bidi w:val="0"/>
              <w:spacing w:before="0" w:after="283"/>
              <w:jc w:val="left"/>
              <w:rPr/>
            </w:pPr>
            <w:r>
              <w:rPr/>
              <w:t> </w:t>
            </w:r>
          </w:p>
        </w:tc>
        <w:tc>
          <w:tcPr>
            <w:tcW w:w="145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6,088,000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left"/>
              <w:rPr/>
            </w:pPr>
            <w:r>
              <w:rPr/>
              <w:t> </w:t>
            </w:r>
          </w:p>
        </w:tc>
      </w:tr>
      <w:tr>
        <w:trPr/>
        <w:tc>
          <w:tcPr>
            <w:tcW w:w="15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Sierra Hamilton Holdings Corporation</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Oil &amp; Gas Engineering and Consulting Services</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27,396,364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r>
      <w:tr>
        <w:trPr/>
        <w:tc>
          <w:tcPr>
            <w:tcW w:w="3175"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Common Stock and Membership Units</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5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22,773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r>
      <w:tr>
        <w:trPr/>
        <w:tc>
          <w:tcPr>
            <w:tcW w:w="3175"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in Affiliated Portfolio Companies^</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38,372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r>
      <w:tr>
        <w:trPr/>
        <w:tc>
          <w:tcPr>
            <w:tcW w:w="3175"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- 220.6%</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53"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202,830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195,553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 xml:space="preserve">^ </w:t>
      </w:r>
      <w:r>
        <w:rPr>
          <w:rFonts w:ascii="Times New Roman" w:hAnsi="Times New Roman"/>
          <w:color w:val="000000"/>
          <w:sz w:val="12"/>
        </w:rPr>
        <w:t>As defined in the Investment Company Act of 1940, as amended (the “1940 Act”), the investment is deemed to be an “affiliated person”</w:t>
      </w:r>
      <w:r>
        <w:rPr>
          <w:rFonts w:ascii="Times New Roman" w:hAnsi="Times New Roman"/>
          <w:color w:val="000000"/>
          <w:sz w:val="20"/>
        </w:rPr>
        <w:t xml:space="preserve"> </w:t>
      </w:r>
      <w:r>
        <w:rPr>
          <w:rFonts w:ascii="Times New Roman" w:hAnsi="Times New Roman"/>
          <w:color w:val="000000"/>
          <w:sz w:val="12"/>
        </w:rPr>
        <w:t>of the Company because the Company owns, either directly or indirectly, 5% or more of the portfolio company's outstanding voting securities.</w:t>
      </w:r>
    </w:p>
    <w:p>
      <w:pPr>
        <w:pStyle w:val="TextBody"/>
        <w:bidi w:val="0"/>
        <w:jc w:val="both"/>
        <w:rPr>
          <w:rFonts w:ascii="Times New Roman" w:hAnsi="Times New Roman"/>
          <w:color w:val="000000"/>
          <w:sz w:val="12"/>
        </w:rPr>
      </w:pPr>
      <w:r>
        <w:rPr>
          <w:rFonts w:ascii="Times New Roman" w:hAnsi="Times New Roman"/>
          <w:color w:val="000000"/>
          <w:sz w:val="12"/>
        </w:rPr>
        <w:t>^^ As defined in the 1940 Act, the investment is deemed to be a “controlled affiliated person” of the Company because the Company owns, either directly or indirectly, 25% or more of the portfolio company's outstanding voting securities or has the power to exercise control over management or policies of such portfolio company.</w:t>
      </w:r>
    </w:p>
    <w:p>
      <w:pPr>
        <w:pStyle w:val="TextBody"/>
        <w:bidi w:val="0"/>
        <w:jc w:val="both"/>
        <w:rPr>
          <w:rFonts w:ascii="Times New Roman" w:hAnsi="Times New Roman"/>
          <w:color w:val="000000"/>
          <w:sz w:val="12"/>
        </w:rPr>
      </w:pPr>
      <w:r>
        <w:rPr>
          <w:rFonts w:ascii="Times New Roman" w:hAnsi="Times New Roman"/>
          <w:color w:val="000000"/>
          <w:sz w:val="12"/>
        </w:rPr>
        <w:t>(+) Represents the actual interest rate for partially or fully funded debt in effect as of the reporting date. Variable rate loans bear interest at a rate that may be determined by the larger of the floor of the reference to SOFR or alternate base rate (commonly known as the U.S. Prime Rate (“P”), unless otherwise noted) at the borrower's option, which reset periodically based on the terms of the credit agreement. SOFR loans are typically indexed to 6 month, 3 month, or 1 month SOFR rates. As of June 30, 2024, rates for the 6 month, 3 month and 1 month SOFR are 5.25%, 5.32%, and 5.34%, respectively. As of June 30, 2024, P was 8.50%. For investments with multiple reference rates or alternate base rates, the interest rate shown is the weighted average interest rate in effect at June 30, 2024.</w:t>
      </w:r>
    </w:p>
    <w:p>
      <w:pPr>
        <w:pStyle w:val="TextBody"/>
        <w:bidi w:val="0"/>
        <w:jc w:val="both"/>
        <w:rPr>
          <w:rFonts w:ascii="Times New Roman" w:hAnsi="Times New Roman"/>
          <w:sz w:val="20"/>
        </w:rPr>
      </w:pPr>
      <w:r>
        <w:rPr>
          <w:rFonts w:ascii="Times New Roman" w:hAnsi="Times New Roman"/>
          <w:color w:val="000000"/>
          <w:sz w:val="12"/>
        </w:rPr>
        <w:t>(++) Par amount is presented for debt investments, while the number of shares or units owned is presented for equity investments.</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(1)</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All investments valued using unobservable inputs (Level 3), unless otherwise noted.</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(2)</w:t>
      </w:r>
    </w:p>
    <w:p>
      <w:pPr>
        <w:pStyle w:val="TextBody"/>
        <w:bidi w:val="0"/>
        <w:spacing w:before="0" w:after="0"/>
        <w:jc w:val="both"/>
        <w:rPr/>
      </w:pPr>
      <w:r>
        <w:rPr>
          <w:rFonts w:ascii="Times New Roman" w:hAnsi="Times New Roman"/>
          <w:color w:val="000000"/>
          <w:sz w:val="12"/>
        </w:rPr>
        <w:t>The fair value of each of the Company’s investments is determined in good faith using significant unobservable inputs by the Investment Adviser in its role as “valuation designee” in accordance with Rule 2a-5 under the 1940 Act, pursuant to valuation policies and procedures that have been approved by the Company’s board of directors (the “Board</w:t>
      </w:r>
      <w:r>
        <w:rPr>
          <w:color w:val="000000"/>
        </w:rPr>
        <w:t>”</w:t>
      </w:r>
      <w:r>
        <w:rPr>
          <w:rFonts w:ascii="Times New Roman" w:hAnsi="Times New Roman"/>
          <w:color w:val="000000"/>
          <w:sz w:val="12"/>
        </w:rPr>
        <w:t xml:space="preserve">). </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(3)</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All debt investments are income producing, unless otherwise noted. Equity and warrant investments are non-income producing, unless otherwise noted.</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(4)</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Percentages are based on net assets as of June 30, 2024.</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(5)</w:t>
      </w:r>
    </w:p>
    <w:p>
      <w:pPr>
        <w:pStyle w:val="TextBody"/>
        <w:bidi w:val="0"/>
        <w:spacing w:before="0" w:after="0"/>
        <w:jc w:val="both"/>
        <w:rPr/>
      </w:pPr>
      <w:r>
        <w:rPr>
          <w:rFonts w:ascii="Times New Roman" w:hAnsi="Times New Roman"/>
          <w:color w:val="000000"/>
          <w:sz w:val="12"/>
        </w:rPr>
        <w:t>The Company generally acquires its investments in private transactions exempt from registration under the Securities Act of 1933, as amended (the “Securities Act</w:t>
      </w:r>
      <w:r>
        <w:rPr>
          <w:color w:val="000000"/>
        </w:rPr>
        <w:t>”</w:t>
      </w:r>
      <w:r>
        <w:rPr>
          <w:rFonts w:ascii="Times New Roman" w:hAnsi="Times New Roman"/>
          <w:color w:val="000000"/>
          <w:sz w:val="12"/>
        </w:rPr>
        <w:t>). These investments are generally subject to certain limitations on resale, and may be deemed to be “restricted securities”</w:t>
      </w:r>
      <w:r>
        <w:rPr>
          <w:color w:val="000000"/>
        </w:rPr>
        <w:t xml:space="preserve"> </w:t>
      </w:r>
      <w:r>
        <w:rPr>
          <w:rFonts w:ascii="Times New Roman" w:hAnsi="Times New Roman"/>
          <w:color w:val="000000"/>
          <w:sz w:val="12"/>
        </w:rPr>
        <w:t>under the Securities Act.</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(6)</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Investment is held through our Taxable Subsidiary (See Note 1).</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(7)</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Non-accrual investment.</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(8)</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 xml:space="preserve">1.0% of interest rate payable in cash. The remainder of interest rate payable is either in cash or paid-in-kind at borrower's election. </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(9)</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 xml:space="preserve">Not used. </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(10)</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Not used.</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(11)</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The investment has been exited or sold. The residual value reflects estimated earnout, escrow, or other proceeds expected post-closing.</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(12)</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The Company has an unfunded loan or investment commitment to the portfolio company at June 30, 2024. (See Note 2).</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(13)</w:t>
      </w:r>
    </w:p>
    <w:p>
      <w:pPr>
        <w:pStyle w:val="TextBody"/>
        <w:bidi w:val="0"/>
        <w:spacing w:before="0" w:after="0"/>
        <w:jc w:val="both"/>
        <w:rPr/>
      </w:pPr>
      <w:r>
        <w:rPr>
          <w:rFonts w:ascii="Times New Roman" w:hAnsi="Times New Roman"/>
          <w:color w:val="000000"/>
          <w:sz w:val="12"/>
        </w:rPr>
        <w:t>Collateralized loan obligations (“CLO</w:t>
      </w:r>
      <w:r>
        <w:rPr>
          <w:color w:val="000000"/>
        </w:rPr>
        <w:t xml:space="preserve">” </w:t>
      </w:r>
      <w:r>
        <w:rPr>
          <w:rFonts w:ascii="Times New Roman" w:hAnsi="Times New Roman"/>
          <w:color w:val="000000"/>
          <w:sz w:val="12"/>
        </w:rPr>
        <w:t>or “CLO's”)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(14)</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The equity investment is income producing, based on rate disclosed.</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(15)</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The investment is treated as a non-qualifying asset under Section 55(a) of the 1940 Act. Under the 1940 Act, we may not acquire any non-qualifying asset unless, at the time the acquisition is made, qualifying assets represent at least 70% of our total assets. As of June 30, 2024, qualifying assets represent 99% of the Company’s total assets and non-qualifying assets represent 1% of the Company’s total assets.</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(16)</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All or a portion of this security is pledged as collateral under the KeyBank Credit Facility and held through the Company's wholly-owned subsidiary Capitala Business Lending, LLC.</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(17)</w:t>
      </w:r>
    </w:p>
    <w:p>
      <w:pPr>
        <w:pStyle w:val="TextBody"/>
        <w:bidi w:val="0"/>
        <w:jc w:val="both"/>
        <w:rPr>
          <w:rFonts w:ascii="Times New Roman" w:hAnsi="Times New Roman"/>
          <w:color w:val="000000"/>
          <w:sz w:val="12"/>
        </w:rPr>
      </w:pPr>
      <w:r>
        <w:rPr>
          <w:rFonts w:ascii="Times New Roman" w:hAnsi="Times New Roman"/>
          <w:color w:val="000000"/>
          <w:sz w:val="12"/>
        </w:rPr>
        <w:t>The negative cost is the result of the capitalized discount being greater than the principal amount outstanding on the loan.</w:t>
      </w:r>
    </w:p>
    <w:p>
      <w:pPr>
        <w:pStyle w:val="TextBody"/>
        <w:bidi w:val="0"/>
        <w:spacing w:before="160" w:after="283"/>
        <w:jc w:val="center"/>
        <w:rPr>
          <w:rFonts w:ascii="Times New Roman" w:hAnsi="Times New Roman"/>
          <w:color w:val="000000"/>
          <w:sz w:val="16"/>
        </w:rPr>
      </w:pPr>
      <w:r>
        <w:rPr>
          <w:rFonts w:ascii="Times New Roman" w:hAnsi="Times New Roman"/>
          <w:color w:val="000000"/>
          <w:sz w:val="16"/>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for units/shares)</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526"/>
        <w:gridCol w:w="146"/>
        <w:gridCol w:w="1120"/>
        <w:gridCol w:w="146"/>
        <w:gridCol w:w="661"/>
        <w:gridCol w:w="146"/>
        <w:gridCol w:w="897"/>
        <w:gridCol w:w="146"/>
        <w:gridCol w:w="445"/>
        <w:gridCol w:w="146"/>
        <w:gridCol w:w="602"/>
        <w:gridCol w:w="146"/>
        <w:gridCol w:w="165"/>
        <w:gridCol w:w="561"/>
        <w:gridCol w:w="146"/>
        <w:gridCol w:w="146"/>
        <w:gridCol w:w="166"/>
        <w:gridCol w:w="496"/>
        <w:gridCol w:w="386"/>
        <w:gridCol w:w="386"/>
        <w:gridCol w:w="166"/>
        <w:gridCol w:w="496"/>
        <w:gridCol w:w="151"/>
        <w:gridCol w:w="146"/>
        <w:gridCol w:w="667"/>
      </w:tblGrid>
      <w:tr>
        <w:trPr/>
        <w:tc>
          <w:tcPr>
            <w:tcW w:w="1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1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 (1), (2), (3), (4), (5)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 Rate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Reference Rate </w:t>
              <w:br/>
              <w:t>and Spread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Floor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Par/Shares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Footnotes</w:t>
            </w:r>
          </w:p>
        </w:tc>
      </w:tr>
      <w:tr>
        <w:trPr/>
        <w:tc>
          <w:tcPr>
            <w:tcW w:w="5233" w:type="dxa"/>
            <w:gridSpan w:val="9"/>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Investments in Non-Control, Non-Affiliate Portfolio Companies - 181.5%</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2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7" w:type="dxa"/>
            <w:tcBorders/>
            <w:shd w:fill="CFF0FC" w:val="clear"/>
            <w:vAlign w:val="center"/>
          </w:tcPr>
          <w:p>
            <w:pPr>
              <w:pStyle w:val="TableContents"/>
              <w:bidi w:val="0"/>
              <w:spacing w:before="0" w:after="283"/>
              <w:jc w:val="left"/>
              <w:rPr/>
            </w:pPr>
            <w:r>
              <w:rPr/>
              <w:t> </w:t>
            </w:r>
          </w:p>
        </w:tc>
      </w:tr>
      <w:tr>
        <w:trPr/>
        <w:tc>
          <w:tcPr>
            <w:tcW w:w="2792"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First Lien/Senior Secured Debt - 136.2%</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Accordion Partners LLC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11.60%</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+ 6.25%</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08/29/2029</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5,312</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5,410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Accordion Partners LLC (Revolver)</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+ 6.25%</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08/31/2028</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w:t>
            </w:r>
          </w:p>
        </w:tc>
        <w:tc>
          <w:tcPr>
            <w:tcW w:w="38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(12)(17)</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Accurate Background, LLC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11.61%</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03/26/2027</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4,166</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4,242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AIDC Intermediateco 2, LLC (Peak Technologies)</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11.80%</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+ 6.40%</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07/22/2027</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4,887</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4,879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Academy Holdings, LLC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16.47%</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+ 5.75%, 5.25% PIK</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01/01/2025</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2,605</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2,635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Clinical Solutions, LLC</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12.50%</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+ 7.00%, 5.50% PIK</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06/30/2025</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5,516</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5,037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 Core Holdings II, LLC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10.97%</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+ 5.50%</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07/21/2027</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1,099</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 Core Holdings II, LLC</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10.97%</w:t>
            </w:r>
          </w:p>
        </w:tc>
        <w:tc>
          <w:tcPr>
            <w:tcW w:w="146" w:type="dxa"/>
            <w:tcBorders/>
            <w:shd w:fill="FFFFFF" w:val="clear"/>
            <w:vAlign w:val="center"/>
          </w:tcPr>
          <w:p>
            <w:pPr>
              <w:pStyle w:val="TableContents"/>
              <w:bidi w:val="0"/>
              <w:spacing w:before="0" w:after="283"/>
              <w:jc w:val="righ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+ 5.50%</w:t>
            </w:r>
          </w:p>
        </w:tc>
        <w:tc>
          <w:tcPr>
            <w:tcW w:w="146" w:type="dxa"/>
            <w:tcBorders/>
            <w:shd w:fill="FFFFFF" w:val="clear"/>
            <w:vAlign w:val="center"/>
          </w:tcPr>
          <w:p>
            <w:pPr>
              <w:pStyle w:val="TableContents"/>
              <w:bidi w:val="0"/>
              <w:spacing w:before="0" w:after="283"/>
              <w:jc w:val="righ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146" w:type="dxa"/>
            <w:tcBorders/>
            <w:shd w:fill="FFFFFF" w:val="clear"/>
            <w:vAlign w:val="center"/>
          </w:tcPr>
          <w:p>
            <w:pPr>
              <w:pStyle w:val="TableContents"/>
              <w:bidi w:val="0"/>
              <w:spacing w:before="0" w:after="283"/>
              <w:jc w:val="righ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07/21/2027</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1,239</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BetaNXT, Inc.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11.10%</w:t>
            </w:r>
          </w:p>
        </w:tc>
        <w:tc>
          <w:tcPr>
            <w:tcW w:w="146" w:type="dxa"/>
            <w:tcBorders/>
            <w:shd w:fill="CFF0FC" w:val="clear"/>
            <w:vAlign w:val="center"/>
          </w:tcPr>
          <w:p>
            <w:pPr>
              <w:pStyle w:val="TableContents"/>
              <w:bidi w:val="0"/>
              <w:spacing w:before="0" w:after="283"/>
              <w:jc w:val="righ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+ 5.75%</w:t>
            </w:r>
          </w:p>
        </w:tc>
        <w:tc>
          <w:tcPr>
            <w:tcW w:w="146" w:type="dxa"/>
            <w:tcBorders/>
            <w:shd w:fill="CFF0FC" w:val="clear"/>
            <w:vAlign w:val="center"/>
          </w:tcPr>
          <w:p>
            <w:pPr>
              <w:pStyle w:val="TableContents"/>
              <w:bidi w:val="0"/>
              <w:spacing w:before="0" w:after="283"/>
              <w:jc w:val="right"/>
              <w:rPr/>
            </w:pPr>
            <w:r>
              <w:rPr/>
              <w:t> </w:t>
            </w:r>
          </w:p>
        </w:tc>
        <w:tc>
          <w:tcPr>
            <w:tcW w:w="445"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07/02/2029</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2,232</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2,269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BetaNXT, Inc. (Revolver)</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9.60%</w:t>
            </w:r>
          </w:p>
        </w:tc>
        <w:tc>
          <w:tcPr>
            <w:tcW w:w="146" w:type="dxa"/>
            <w:tcBorders/>
            <w:shd w:fill="FFFFFF" w:val="clear"/>
            <w:vAlign w:val="center"/>
          </w:tcPr>
          <w:p>
            <w:pPr>
              <w:pStyle w:val="TableContents"/>
              <w:bidi w:val="0"/>
              <w:spacing w:before="0" w:after="283"/>
              <w:jc w:val="righ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+ 4.25%</w:t>
            </w:r>
          </w:p>
        </w:tc>
        <w:tc>
          <w:tcPr>
            <w:tcW w:w="146" w:type="dxa"/>
            <w:tcBorders/>
            <w:shd w:fill="FFFFFF" w:val="clear"/>
            <w:vAlign w:val="center"/>
          </w:tcPr>
          <w:p>
            <w:pPr>
              <w:pStyle w:val="TableContents"/>
              <w:bidi w:val="0"/>
              <w:spacing w:before="0" w:after="283"/>
              <w:jc w:val="right"/>
              <w:rPr/>
            </w:pPr>
            <w:r>
              <w:rPr/>
              <w:t> </w:t>
            </w:r>
          </w:p>
        </w:tc>
        <w:tc>
          <w:tcPr>
            <w:tcW w:w="445"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07/01/2027</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Bradshaw International, Inc.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Discretionary</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11.21%</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+ 5.75%</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10/21/2027</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488</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Bradshaw International, Inc. (Revolver)</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Discretionary</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+ 5.75%</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10/21/2026</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w:t>
            </w:r>
          </w:p>
        </w:tc>
        <w:tc>
          <w:tcPr>
            <w:tcW w:w="38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(12)(17)</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Critical Nurse Staffing, LLC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12.03%</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10/30/2026</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5,747</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5,718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Critical Nurse Staffing, LLC (Revolver)</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10/30/2026</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w:t>
            </w:r>
          </w:p>
        </w:tc>
        <w:tc>
          <w:tcPr>
            <w:tcW w:w="38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(12)(17)</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Datalink, LLC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12.21%</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+ 6.75%</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11/23/2026</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5,779</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5,779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Dentive, LLC</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12.35%</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+ 7.00%</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12/26/2028</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1,418</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Dentive, LLC (Revolver)</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12.39%</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+ 7.00%</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12/23/2028</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Dodge Data &amp; Analytics LLC</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10.25%</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+ 4.75%</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02/12/2029</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1,461</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Epic Staffing Group</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11.36%</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06/28/2029</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4,751</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4,726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Florida Food Products, LLC</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Staples</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10.36%</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+ 5.00%</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10/18/2028</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1,888</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Hudson Hospital OpCo, LLC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13.43%</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3.00%</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11/04/2023</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3,060</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3,060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HUMC Opco, LLC</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13.43%</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3.00%</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11/04/2023</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3,890</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3,855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H.W. Lochner, Inc.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+ 6.75%</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07/02/2027</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893</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IDC Infusion Services LLC</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11.98%</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07/07/2028</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2,140</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2,147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IJKG OpCo, LLC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13.43%</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3.00%</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11/04/2023</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2,040</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JO ET Holdings Limited</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18.38%</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 7.00% PIK</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12/15/2026</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1,118</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Keg Logistics LLC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Discretionary</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11.53%</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11/23/2027</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7,312</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7,125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Keg Logistics LLC (Revolver)</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Discretionary</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11.53%</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11/23/2027</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864</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Lucky Bucks, LLC (Priority First Out)</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Discretionary</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13.03%</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+ 7.65%</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10/02/2028</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180</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7" w:type="dxa"/>
            <w:tcBorders/>
            <w:shd w:fill="CFF0FC" w:val="clear"/>
            <w:vAlign w:val="center"/>
          </w:tcPr>
          <w:p>
            <w:pPr>
              <w:pStyle w:val="TableContents"/>
              <w:bidi w:val="0"/>
              <w:spacing w:before="0" w:after="283"/>
              <w:jc w:val="left"/>
              <w:rPr/>
            </w:pPr>
            <w:r>
              <w:rPr/>
              <w:t> </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Lucky Bucks, LLC (Priority Second Out)</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Discretionary</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13.03%</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+ 7.65%</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10/02/2029</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366</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Material Handling Systems, Inc.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10.89%</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+ 5.50%</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06/08/2029</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1,812</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1,755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Money Transfer Acquisition Inc.</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13.71%</w:t>
            </w:r>
          </w:p>
        </w:tc>
        <w:tc>
          <w:tcPr>
            <w:tcW w:w="146" w:type="dxa"/>
            <w:tcBorders/>
            <w:shd w:fill="FFFFFF" w:val="clear"/>
            <w:vAlign w:val="center"/>
          </w:tcPr>
          <w:p>
            <w:pPr>
              <w:pStyle w:val="TableContents"/>
              <w:bidi w:val="0"/>
              <w:spacing w:before="0" w:after="283"/>
              <w:jc w:val="righ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+ 8.25%</w:t>
            </w:r>
          </w:p>
        </w:tc>
        <w:tc>
          <w:tcPr>
            <w:tcW w:w="146" w:type="dxa"/>
            <w:tcBorders/>
            <w:shd w:fill="FFFFFF" w:val="clear"/>
            <w:vAlign w:val="center"/>
          </w:tcPr>
          <w:p>
            <w:pPr>
              <w:pStyle w:val="TableContents"/>
              <w:bidi w:val="0"/>
              <w:spacing w:before="0" w:after="283"/>
              <w:jc w:val="righ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righ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12/14/2027</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6,717</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6,654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Morae Global Corporation</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13.53%</w:t>
            </w:r>
          </w:p>
        </w:tc>
        <w:tc>
          <w:tcPr>
            <w:tcW w:w="146" w:type="dxa"/>
            <w:tcBorders/>
            <w:shd w:fill="CFF0FC" w:val="clear"/>
            <w:vAlign w:val="center"/>
          </w:tcPr>
          <w:p>
            <w:pPr>
              <w:pStyle w:val="TableContents"/>
              <w:bidi w:val="0"/>
              <w:spacing w:before="0" w:after="283"/>
              <w:jc w:val="righ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146" w:type="dxa"/>
            <w:tcBorders/>
            <w:shd w:fill="CFF0FC" w:val="clear"/>
            <w:vAlign w:val="center"/>
          </w:tcPr>
          <w:p>
            <w:pPr>
              <w:pStyle w:val="TableContents"/>
              <w:bidi w:val="0"/>
              <w:spacing w:before="0" w:after="283"/>
              <w:jc w:val="righ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146" w:type="dxa"/>
            <w:tcBorders/>
            <w:shd w:fill="CFF0FC" w:val="clear"/>
            <w:vAlign w:val="center"/>
          </w:tcPr>
          <w:p>
            <w:pPr>
              <w:pStyle w:val="TableContents"/>
              <w:bidi w:val="0"/>
              <w:spacing w:before="0" w:after="283"/>
              <w:jc w:val="righ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10/26/2026</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2,985</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3,037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Morae Global Corporation (Revolver)</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146" w:type="dxa"/>
            <w:tcBorders/>
            <w:shd w:fill="FFFFFF" w:val="clear"/>
            <w:vAlign w:val="center"/>
          </w:tcPr>
          <w:p>
            <w:pPr>
              <w:pStyle w:val="TableContents"/>
              <w:bidi w:val="0"/>
              <w:spacing w:before="0" w:after="283"/>
              <w:jc w:val="righ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146" w:type="dxa"/>
            <w:tcBorders/>
            <w:shd w:fill="FFFFFF" w:val="clear"/>
            <w:vAlign w:val="center"/>
          </w:tcPr>
          <w:p>
            <w:pPr>
              <w:pStyle w:val="TableContents"/>
              <w:bidi w:val="0"/>
              <w:spacing w:before="0" w:after="283"/>
              <w:jc w:val="righ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10/26/2026</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w:t>
            </w:r>
          </w:p>
        </w:tc>
        <w:tc>
          <w:tcPr>
            <w:tcW w:w="38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(12)(17)</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Neptune BidCo US Inc.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Communication Services</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10.51%</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+ 5.00%</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04/11/2029</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1,353</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Orthopaedic (ITC) Buyer, LLC</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11.95%</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07/31/2028</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2,301</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2,345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PhyNet Dermatology LLC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11.99%</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10/20/2029</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478</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Premier Imaging, LLC</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11.61%</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01/02/2025</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2,554</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2,471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RN Enterprises, LLC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12.05%</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12/23/2025</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1,957</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Sequoia Healthcare Management LLC</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 Management</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11/04/2023</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11,935</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9,465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South Street Securities Holdings, Inc.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9.00%</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09/20/2027</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394</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STG Logistics</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11.50%</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03/24/2028</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2,408</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1,827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Symplr Software, Inc.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9.98%</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+ 4.50%</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12/22/2027</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1,667</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Synamedia Americas Holdings, Inc.</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Communication Services</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13.10%</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+ 7.75%</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12/05/2028</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2,663</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2,662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Tactical Air Support, Inc.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13.96%</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+ 8.50%</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12/22/2028</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1,672</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Taoglas Group Holdings Limited</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12.60%</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+ 7.25%</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02/28/2029</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2,277</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2,194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Taoglas Group Holdings Limited (Revolver)</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12.54%</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+ 7.16%</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02/28/2029</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367</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TransNetwork LLC</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10.85%</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+ 5.50%</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11/20/2030</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3,747</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3,747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VBC Spine Opco LLC (DxTx Pain and Spine LLC)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13.54%</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06/14/2028</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1,275</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VBC Spine Opco LLC (DxTx Pain and Spine LLC) (Revolver)</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13.52%</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06/14/2028</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Wealth Enhancement Group, LLC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11.11%</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+ 5.75%</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10/02/2027</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6,866</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6,889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Wealth Enhancement Group, LLC (Revolver)</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10/02/2027</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(12)(17)</w:t>
            </w:r>
          </w:p>
        </w:tc>
      </w:tr>
      <w:tr>
        <w:trPr/>
        <w:tc>
          <w:tcPr>
            <w:tcW w:w="2792"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First Lien/Senior Secured Debt</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26"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125,937</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40"/>
              <w:jc w:val="left"/>
              <w:rPr/>
            </w:pPr>
            <w:r>
              <w:rPr/>
              <w:t> </w:t>
            </w:r>
          </w:p>
        </w:tc>
        <w:tc>
          <w:tcPr>
            <w:tcW w:w="386" w:type="dxa"/>
            <w:tcBorders/>
            <w:shd w:fill="CFF0FC" w:val="clear"/>
            <w:vAlign w:val="center"/>
          </w:tcPr>
          <w:p>
            <w:pPr>
              <w:pStyle w:val="TableContents"/>
              <w:bidi w:val="0"/>
              <w:spacing w:before="0" w:after="283"/>
              <w:ind w:left="240" w:right="0" w:firstLine="240"/>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121,493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7" w:type="dxa"/>
            <w:tcBorders/>
            <w:shd w:fill="CFF0FC" w:val="clear"/>
            <w:vAlign w:val="center"/>
          </w:tcPr>
          <w:p>
            <w:pPr>
              <w:pStyle w:val="TableContents"/>
              <w:bidi w:val="0"/>
              <w:spacing w:before="0" w:after="283"/>
              <w:jc w:val="left"/>
              <w:rPr/>
            </w:pPr>
            <w:r>
              <w:rPr/>
              <w:t> </w:t>
            </w:r>
          </w:p>
        </w:tc>
      </w:tr>
      <w:tr>
        <w:trPr/>
        <w:tc>
          <w:tcPr>
            <w:tcW w:w="2792"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Second Lien/Senior Secured Debt - 7.9%</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Academy Holdings, LLC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14.50% PIK</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03/01/2028</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4,066</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3,663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BLST Operating Company, LLC</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Online Merchandise Retailer</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13.96%</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+ 8.50%, 12.96% PIK</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1.50%</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08/28/2025</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1,023</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(8)(16)</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Ivanti Software, Inc.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12.91%</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+ 7.25%</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12/01/2028</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2,989</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2,435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2792"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Second Lien/Senior Secured Debt</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8,078</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40"/>
              <w:jc w:val="left"/>
              <w:rPr/>
            </w:pPr>
            <w:r>
              <w:rPr/>
              <w:t> </w:t>
            </w:r>
          </w:p>
        </w:tc>
        <w:tc>
          <w:tcPr>
            <w:tcW w:w="386" w:type="dxa"/>
            <w:tcBorders/>
            <w:shd w:fill="FFFFFF" w:val="clear"/>
            <w:vAlign w:val="center"/>
          </w:tcPr>
          <w:p>
            <w:pPr>
              <w:pStyle w:val="TableContents"/>
              <w:bidi w:val="0"/>
              <w:spacing w:before="0" w:after="283"/>
              <w:ind w:left="240" w:right="0" w:firstLine="240"/>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7,057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7" w:type="dxa"/>
            <w:tcBorders/>
            <w:shd w:fill="FFFFFF" w:val="clear"/>
            <w:vAlign w:val="center"/>
          </w:tcPr>
          <w:p>
            <w:pPr>
              <w:pStyle w:val="TableContents"/>
              <w:bidi w:val="0"/>
              <w:spacing w:before="0" w:after="283"/>
              <w:jc w:val="left"/>
              <w:rPr/>
            </w:pPr>
            <w:r>
              <w:rPr/>
              <w:t> </w:t>
            </w:r>
          </w:p>
        </w:tc>
      </w:tr>
      <w:tr>
        <w:trPr/>
        <w:tc>
          <w:tcPr>
            <w:tcW w:w="1526" w:type="dxa"/>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Subordinated Debt - 26.4%</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26"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386" w:type="dxa"/>
            <w:tcBorders/>
            <w:shd w:fill="CFF0FC" w:val="clear"/>
            <w:vAlign w:val="center"/>
          </w:tcPr>
          <w:p>
            <w:pPr>
              <w:pStyle w:val="TableContents"/>
              <w:bidi w:val="0"/>
              <w:spacing w:before="0" w:after="283"/>
              <w:jc w:val="center"/>
              <w:rPr/>
            </w:pPr>
            <w:r>
              <w:rPr/>
              <w:t> </w:t>
            </w:r>
          </w:p>
        </w:tc>
        <w:tc>
          <w:tcPr>
            <w:tcW w:w="386"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7" w:type="dxa"/>
            <w:tcBorders/>
            <w:shd w:fill="CFF0FC" w:val="clear"/>
            <w:vAlign w:val="center"/>
          </w:tcPr>
          <w:p>
            <w:pPr>
              <w:pStyle w:val="TableContents"/>
              <w:bidi w:val="0"/>
              <w:spacing w:before="0" w:after="283"/>
              <w:jc w:val="left"/>
              <w:rPr/>
            </w:pPr>
            <w:r>
              <w:rPr/>
              <w:t> </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Eastport Holdings, LLC</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14.14%</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+ 8.50%</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09/29/2027</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19,250</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19,215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67" w:type="dxa"/>
            <w:tcBorders/>
            <w:shd w:fill="FFFFFF" w:val="clear"/>
            <w:vAlign w:val="center"/>
          </w:tcPr>
          <w:p>
            <w:pPr>
              <w:pStyle w:val="TableContents"/>
              <w:bidi w:val="0"/>
              <w:spacing w:before="0" w:after="283"/>
              <w:jc w:val="left"/>
              <w:rPr/>
            </w:pPr>
            <w:r>
              <w:rPr/>
              <w:t> </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Lucky Bucks, LLC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Discretionary</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05/29/2028</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2,229</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Tubular Textile Machinery, Inc.</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Textile Equipment Manufacturer</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5.00%</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10/29/2027</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5,094</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3,860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7" w:type="dxa"/>
            <w:tcBorders/>
            <w:shd w:fill="FFFFFF" w:val="clear"/>
            <w:vAlign w:val="center"/>
          </w:tcPr>
          <w:p>
            <w:pPr>
              <w:pStyle w:val="TableContents"/>
              <w:bidi w:val="0"/>
              <w:spacing w:before="0" w:after="283"/>
              <w:jc w:val="left"/>
              <w:rPr/>
            </w:pPr>
            <w:r>
              <w:rPr/>
              <w:t> </w:t>
            </w:r>
          </w:p>
        </w:tc>
      </w:tr>
      <w:tr>
        <w:trPr/>
        <w:tc>
          <w:tcPr>
            <w:tcW w:w="2792"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Subordinated Debt</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26"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26,573</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40"/>
              <w:jc w:val="left"/>
              <w:rPr/>
            </w:pPr>
            <w:r>
              <w:rPr/>
              <w:t> </w:t>
            </w:r>
          </w:p>
        </w:tc>
        <w:tc>
          <w:tcPr>
            <w:tcW w:w="386" w:type="dxa"/>
            <w:tcBorders/>
            <w:shd w:fill="CFF0FC" w:val="clear"/>
            <w:vAlign w:val="center"/>
          </w:tcPr>
          <w:p>
            <w:pPr>
              <w:pStyle w:val="TableContents"/>
              <w:bidi w:val="0"/>
              <w:spacing w:before="0" w:after="283"/>
              <w:ind w:left="240" w:right="0" w:firstLine="240"/>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23,548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7" w:type="dxa"/>
            <w:tcBorders/>
            <w:shd w:fill="CFF0FC" w:val="clear"/>
            <w:vAlign w:val="center"/>
          </w:tcPr>
          <w:p>
            <w:pPr>
              <w:pStyle w:val="TableContents"/>
              <w:bidi w:val="0"/>
              <w:spacing w:before="0" w:after="283"/>
              <w:jc w:val="left"/>
              <w:rPr/>
            </w:pPr>
            <w:r>
              <w:rPr/>
              <w:t> </w:t>
            </w:r>
          </w:p>
        </w:tc>
      </w:tr>
      <w:tr>
        <w:trPr/>
        <w:tc>
          <w:tcPr>
            <w:tcW w:w="1526"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Collateralized Loan Obligations - 1.8%</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7" w:type="dxa"/>
            <w:tcBorders/>
            <w:shd w:fill="FFFFFF" w:val="clear"/>
            <w:vAlign w:val="center"/>
          </w:tcPr>
          <w:p>
            <w:pPr>
              <w:pStyle w:val="TableContents"/>
              <w:bidi w:val="0"/>
              <w:spacing w:before="0" w:after="283"/>
              <w:jc w:val="left"/>
              <w:rPr/>
            </w:pPr>
            <w:r>
              <w:rPr/>
              <w:t> </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JMP Credit Advisors CLO IV Ltd.</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22.05%</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07/17/2029</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293</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(13)(15)</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JMP Credit Advisors CLO V Ltd.</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27.86%</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07/17/2030</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1,307</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(13)(15)</w:t>
            </w:r>
          </w:p>
        </w:tc>
      </w:tr>
      <w:tr>
        <w:trPr/>
        <w:tc>
          <w:tcPr>
            <w:tcW w:w="2792"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Collateralized Loan Obligations</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2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1,600</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7" w:type="dxa"/>
            <w:tcBorders/>
            <w:shd w:fill="CFF0FC" w:val="clear"/>
            <w:vAlign w:val="center"/>
          </w:tcPr>
          <w:p>
            <w:pPr>
              <w:pStyle w:val="TableContents"/>
              <w:bidi w:val="0"/>
              <w:spacing w:before="0" w:after="283"/>
              <w:jc w:val="left"/>
              <w:rPr/>
            </w:pPr>
            <w:r>
              <w:rPr/>
              <w:t> </w:t>
            </w:r>
          </w:p>
        </w:tc>
      </w:tr>
      <w:tr>
        <w:trPr/>
        <w:tc>
          <w:tcPr>
            <w:tcW w:w="2792"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Preferred Stock and Units - 1.5%</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Academy Holdings, LLC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102,261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MicroHoldco, LLC</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General Industrial</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740,237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749</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Taylor Precision Products, Inc. - Series 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Household Product Manufacturer</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758</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7" w:type="dxa"/>
            <w:tcBorders/>
            <w:shd w:fill="CFF0FC" w:val="clear"/>
            <w:vAlign w:val="center"/>
          </w:tcPr>
          <w:p>
            <w:pPr>
              <w:pStyle w:val="TableContents"/>
              <w:bidi w:val="0"/>
              <w:spacing w:before="0" w:after="283"/>
              <w:jc w:val="left"/>
              <w:rPr/>
            </w:pPr>
            <w:r>
              <w:rPr/>
              <w:t> </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U.S. BioTek Laboratories, LLC - Class A</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Testing Laboratories</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540</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r>
      <w:tr>
        <w:trPr/>
        <w:tc>
          <w:tcPr>
            <w:tcW w:w="2792"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Preferred Stock and Units</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26"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2,047</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40"/>
              <w:jc w:val="left"/>
              <w:rPr/>
            </w:pPr>
            <w:r>
              <w:rPr/>
              <w:t> </w:t>
            </w:r>
          </w:p>
        </w:tc>
        <w:tc>
          <w:tcPr>
            <w:tcW w:w="386" w:type="dxa"/>
            <w:tcBorders/>
            <w:shd w:fill="CFF0FC" w:val="clear"/>
            <w:vAlign w:val="center"/>
          </w:tcPr>
          <w:p>
            <w:pPr>
              <w:pStyle w:val="TableContents"/>
              <w:bidi w:val="0"/>
              <w:spacing w:before="0" w:after="283"/>
              <w:ind w:left="240" w:right="0" w:firstLine="240"/>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7"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center"/>
        <w:rPr>
          <w:rFonts w:ascii="Times New Roman" w:hAnsi="Times New Roman"/>
          <w:color w:val="000000"/>
          <w:sz w:val="16"/>
        </w:rPr>
      </w:pPr>
      <w:r>
        <w:rPr>
          <w:rFonts w:ascii="Times New Roman" w:hAnsi="Times New Roman"/>
          <w:color w:val="000000"/>
          <w:sz w:val="16"/>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 - CONTINUED</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for units/shares)</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1"/>
        <w:gridCol w:w="146"/>
        <w:gridCol w:w="1092"/>
        <w:gridCol w:w="146"/>
        <w:gridCol w:w="613"/>
        <w:gridCol w:w="146"/>
        <w:gridCol w:w="718"/>
        <w:gridCol w:w="146"/>
        <w:gridCol w:w="426"/>
        <w:gridCol w:w="146"/>
        <w:gridCol w:w="596"/>
        <w:gridCol w:w="146"/>
        <w:gridCol w:w="151"/>
        <w:gridCol w:w="668"/>
        <w:gridCol w:w="386"/>
        <w:gridCol w:w="386"/>
        <w:gridCol w:w="166"/>
        <w:gridCol w:w="496"/>
        <w:gridCol w:w="386"/>
        <w:gridCol w:w="386"/>
        <w:gridCol w:w="166"/>
        <w:gridCol w:w="496"/>
        <w:gridCol w:w="146"/>
        <w:gridCol w:w="146"/>
        <w:gridCol w:w="664"/>
      </w:tblGrid>
      <w:tr>
        <w:trPr/>
        <w:tc>
          <w:tcPr>
            <w:tcW w:w="1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1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 (1), (2), (3), (4), (5)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 Rate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Reference Rate </w:t>
              <w:br/>
              <w:t>and Spread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Floor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Par/Shares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center"/>
              <w:rPr/>
            </w:pPr>
            <w:r>
              <w:rPr/>
              <w:t> </w:t>
            </w:r>
          </w:p>
        </w:tc>
        <w:tc>
          <w:tcPr>
            <w:tcW w:w="66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3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center"/>
              <w:rPr/>
            </w:pPr>
            <w:r>
              <w:rPr/>
              <w:t> </w:t>
            </w:r>
          </w:p>
        </w:tc>
        <w:tc>
          <w:tcPr>
            <w:tcW w:w="66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Footnotes</w:t>
            </w:r>
          </w:p>
        </w:tc>
      </w:tr>
      <w:tr>
        <w:trPr/>
        <w:tc>
          <w:tcPr>
            <w:tcW w:w="2479"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Common Stock and Membership Units - 7.7%</w:t>
            </w:r>
          </w:p>
        </w:tc>
        <w:tc>
          <w:tcPr>
            <w:tcW w:w="146"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59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819" w:type="dxa"/>
            <w:gridSpan w:val="2"/>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ind w:left="0" w:right="0" w:firstLine="240"/>
              <w:jc w:val="right"/>
              <w:rPr/>
            </w:pPr>
            <w:r>
              <w:rPr/>
              <w:t> </w:t>
            </w:r>
          </w:p>
        </w:tc>
        <w:tc>
          <w:tcPr>
            <w:tcW w:w="386" w:type="dxa"/>
            <w:tcBorders/>
            <w:shd w:fill="CFF0FC" w:val="clear"/>
            <w:vAlign w:val="center"/>
          </w:tcPr>
          <w:p>
            <w:pPr>
              <w:pStyle w:val="TableContents"/>
              <w:bidi w:val="0"/>
              <w:spacing w:before="0" w:after="283"/>
              <w:ind w:left="240" w:right="0" w:firstLine="240"/>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ind w:left="0" w:right="0" w:firstLine="240"/>
              <w:jc w:val="left"/>
              <w:rPr/>
            </w:pPr>
            <w:r>
              <w:rPr/>
              <w:t> </w:t>
            </w:r>
          </w:p>
        </w:tc>
        <w:tc>
          <w:tcPr>
            <w:tcW w:w="386" w:type="dxa"/>
            <w:tcBorders/>
            <w:shd w:fill="CFF0FC" w:val="clear"/>
            <w:vAlign w:val="center"/>
          </w:tcPr>
          <w:p>
            <w:pPr>
              <w:pStyle w:val="TableContents"/>
              <w:bidi w:val="0"/>
              <w:spacing w:before="0" w:after="283"/>
              <w:ind w:left="240" w:right="0" w:firstLine="240"/>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124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Academy Holdings, LLC</w:t>
            </w:r>
          </w:p>
        </w:tc>
        <w:tc>
          <w:tcPr>
            <w:tcW w:w="146"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0.05</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r>
      <w:tr>
        <w:trPr/>
        <w:tc>
          <w:tcPr>
            <w:tcW w:w="124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Clinical Solutions, LLC - Class A</w:t>
            </w:r>
          </w:p>
        </w:tc>
        <w:tc>
          <w:tcPr>
            <w:tcW w:w="146"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6,030,384</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3,198</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r>
      <w:tr>
        <w:trPr/>
        <w:tc>
          <w:tcPr>
            <w:tcW w:w="124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Aperture Dodge 18 LLC</w:t>
            </w:r>
          </w:p>
        </w:tc>
        <w:tc>
          <w:tcPr>
            <w:tcW w:w="146"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2,045,271</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2,045</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24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BLST Operating Company, LLC - Class A</w:t>
            </w:r>
          </w:p>
        </w:tc>
        <w:tc>
          <w:tcPr>
            <w:tcW w:w="146"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Online Merchandise Retailer</w:t>
            </w:r>
          </w:p>
        </w:tc>
        <w:tc>
          <w:tcPr>
            <w:tcW w:w="146"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217,013</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286</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r>
      <w:tr>
        <w:trPr/>
        <w:tc>
          <w:tcPr>
            <w:tcW w:w="124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DxTx Pain and Spine LLC</w:t>
            </w:r>
          </w:p>
        </w:tc>
        <w:tc>
          <w:tcPr>
            <w:tcW w:w="146"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59,312</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r>
      <w:tr>
        <w:trPr/>
        <w:tc>
          <w:tcPr>
            <w:tcW w:w="124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Freedom Electronics, LLC</w:t>
            </w:r>
          </w:p>
        </w:tc>
        <w:tc>
          <w:tcPr>
            <w:tcW w:w="146"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Electronic Machine Repair</w:t>
            </w:r>
          </w:p>
        </w:tc>
        <w:tc>
          <w:tcPr>
            <w:tcW w:w="146"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181,818</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182</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124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Lucky Bucks, LLC</w:t>
            </w:r>
          </w:p>
        </w:tc>
        <w:tc>
          <w:tcPr>
            <w:tcW w:w="146"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Discretionary</w:t>
            </w:r>
          </w:p>
        </w:tc>
        <w:tc>
          <w:tcPr>
            <w:tcW w:w="146"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50,066</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741</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24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Morae Global Corporation - Warrants</w:t>
            </w:r>
          </w:p>
        </w:tc>
        <w:tc>
          <w:tcPr>
            <w:tcW w:w="146"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124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South Street Securities Holdings, Inc. - Warrants</w:t>
            </w:r>
          </w:p>
        </w:tc>
        <w:tc>
          <w:tcPr>
            <w:tcW w:w="146"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567</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24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U.S. BioTek Laboratories, LLC - Class C</w:t>
            </w:r>
          </w:p>
        </w:tc>
        <w:tc>
          <w:tcPr>
            <w:tcW w:w="146"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Testing Laboratories</w:t>
            </w:r>
          </w:p>
        </w:tc>
        <w:tc>
          <w:tcPr>
            <w:tcW w:w="146"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578</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2479"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Common Stock and Membership Units</w:t>
            </w:r>
          </w:p>
        </w:tc>
        <w:tc>
          <w:tcPr>
            <w:tcW w:w="146"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9" w:type="dxa"/>
            <w:gridSpan w:val="2"/>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6,737</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3238" w:type="dxa"/>
            <w:gridSpan w:val="5"/>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in Non-Control, Non-Affiliate Portfolio Companies</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19" w:type="dxa"/>
            <w:gridSpan w:val="2"/>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170,972</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161,880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2479"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Investments in Affiliated Portfolio Companies - 31.2%^</w:t>
            </w:r>
          </w:p>
        </w:tc>
        <w:tc>
          <w:tcPr>
            <w:tcW w:w="146"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9" w:type="dxa"/>
            <w:gridSpan w:val="2"/>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firstLine="240"/>
              <w:jc w:val="left"/>
              <w:rPr/>
            </w:pPr>
            <w:r>
              <w:rPr/>
              <w:t> </w:t>
            </w:r>
          </w:p>
        </w:tc>
        <w:tc>
          <w:tcPr>
            <w:tcW w:w="386" w:type="dxa"/>
            <w:tcBorders/>
            <w:shd w:fill="FFFFFF" w:val="clear"/>
            <w:vAlign w:val="center"/>
          </w:tcPr>
          <w:p>
            <w:pPr>
              <w:pStyle w:val="TableContents"/>
              <w:bidi w:val="0"/>
              <w:spacing w:before="0" w:after="283"/>
              <w:ind w:left="240" w:right="0" w:firstLine="240"/>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2479"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First Lien/Senior Secured Debt - 2.8%</w:t>
            </w:r>
          </w:p>
        </w:tc>
        <w:tc>
          <w:tcPr>
            <w:tcW w:w="146"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19" w:type="dxa"/>
            <w:gridSpan w:val="2"/>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ind w:left="0" w:right="0" w:firstLine="240"/>
              <w:jc w:val="left"/>
              <w:rPr/>
            </w:pPr>
            <w:r>
              <w:rPr/>
              <w:t> </w:t>
            </w:r>
          </w:p>
        </w:tc>
        <w:tc>
          <w:tcPr>
            <w:tcW w:w="386" w:type="dxa"/>
            <w:tcBorders/>
            <w:shd w:fill="CFF0FC" w:val="clear"/>
            <w:vAlign w:val="center"/>
          </w:tcPr>
          <w:p>
            <w:pPr>
              <w:pStyle w:val="TableContents"/>
              <w:bidi w:val="0"/>
              <w:spacing w:before="0" w:after="283"/>
              <w:ind w:left="240" w:right="0" w:firstLine="240"/>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124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46"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Medical Device Distributor</w:t>
            </w:r>
          </w:p>
        </w:tc>
        <w:tc>
          <w:tcPr>
            <w:tcW w:w="146"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06/28/2024</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2,600</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2,600</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r>
      <w:tr>
        <w:trPr/>
        <w:tc>
          <w:tcPr>
            <w:tcW w:w="2479"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First Lien/Senior Secured Debt</w:t>
            </w:r>
          </w:p>
        </w:tc>
        <w:tc>
          <w:tcPr>
            <w:tcW w:w="146"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19" w:type="dxa"/>
            <w:gridSpan w:val="2"/>
            <w:tcBorders/>
            <w:shd w:fill="CFF0FC" w:val="clear"/>
            <w:vAlign w:val="center"/>
          </w:tcPr>
          <w:p>
            <w:pPr>
              <w:pStyle w:val="TableContents"/>
              <w:bidi w:val="0"/>
              <w:spacing w:before="0" w:after="283"/>
              <w:jc w:val="center"/>
              <w:rPr/>
            </w:pPr>
            <w:r>
              <w:rPr/>
              <w:t> </w:t>
            </w:r>
          </w:p>
        </w:tc>
        <w:tc>
          <w:tcPr>
            <w:tcW w:w="386" w:type="dxa"/>
            <w:tcBorders/>
            <w:shd w:fill="CFF0FC" w:val="clear"/>
            <w:vAlign w:val="center"/>
          </w:tcPr>
          <w:p>
            <w:pPr>
              <w:pStyle w:val="TableContents"/>
              <w:bidi w:val="0"/>
              <w:spacing w:before="0" w:after="283"/>
              <w:jc w:val="center"/>
              <w:rPr/>
            </w:pPr>
            <w:r>
              <w:rPr/>
              <w:t> </w:t>
            </w:r>
          </w:p>
        </w:tc>
        <w:tc>
          <w:tcPr>
            <w:tcW w:w="38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2,600</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40"/>
              <w:jc w:val="left"/>
              <w:rPr/>
            </w:pPr>
            <w:r>
              <w:rPr/>
              <w:t> </w:t>
            </w:r>
          </w:p>
        </w:tc>
        <w:tc>
          <w:tcPr>
            <w:tcW w:w="386" w:type="dxa"/>
            <w:tcBorders/>
            <w:shd w:fill="CFF0FC" w:val="clear"/>
            <w:vAlign w:val="center"/>
          </w:tcPr>
          <w:p>
            <w:pPr>
              <w:pStyle w:val="TableContents"/>
              <w:bidi w:val="0"/>
              <w:spacing w:before="0" w:after="283"/>
              <w:ind w:left="240" w:right="0" w:firstLine="240"/>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2479"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Second Lien/Senior Secured Debt - 1.0%</w:t>
            </w:r>
          </w:p>
        </w:tc>
        <w:tc>
          <w:tcPr>
            <w:tcW w:w="146"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9" w:type="dxa"/>
            <w:gridSpan w:val="2"/>
            <w:tcBorders/>
            <w:shd w:fill="FFFFFF" w:val="cle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firstLine="240"/>
              <w:jc w:val="left"/>
              <w:rPr/>
            </w:pPr>
            <w:r>
              <w:rPr/>
              <w:t> </w:t>
            </w:r>
          </w:p>
        </w:tc>
        <w:tc>
          <w:tcPr>
            <w:tcW w:w="386" w:type="dxa"/>
            <w:tcBorders/>
            <w:shd w:fill="FFFFFF" w:val="clear"/>
            <w:vAlign w:val="center"/>
          </w:tcPr>
          <w:p>
            <w:pPr>
              <w:pStyle w:val="TableContents"/>
              <w:bidi w:val="0"/>
              <w:spacing w:before="0" w:after="283"/>
              <w:ind w:left="240" w:right="0" w:firstLine="240"/>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24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46"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Medical Device Distributor</w:t>
            </w:r>
          </w:p>
        </w:tc>
        <w:tc>
          <w:tcPr>
            <w:tcW w:w="146"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06/28/2024</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r>
      <w:tr>
        <w:trPr/>
        <w:tc>
          <w:tcPr>
            <w:tcW w:w="124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V12 Holdings, Inc.</w:t>
            </w:r>
          </w:p>
        </w:tc>
        <w:tc>
          <w:tcPr>
            <w:tcW w:w="146"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Data Processing &amp; Digital Marketing</w:t>
            </w:r>
          </w:p>
        </w:tc>
        <w:tc>
          <w:tcPr>
            <w:tcW w:w="146"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490</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w:t>
            </w:r>
          </w:p>
        </w:tc>
      </w:tr>
      <w:tr>
        <w:trPr/>
        <w:tc>
          <w:tcPr>
            <w:tcW w:w="2479"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Second Lien/Senior Secured Debt</w:t>
            </w:r>
          </w:p>
        </w:tc>
        <w:tc>
          <w:tcPr>
            <w:tcW w:w="146"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19" w:type="dxa"/>
            <w:gridSpan w:val="2"/>
            <w:tcBorders/>
            <w:shd w:fill="CFF0FC" w:val="clear"/>
            <w:vAlign w:val="center"/>
          </w:tcPr>
          <w:p>
            <w:pPr>
              <w:pStyle w:val="TableContents"/>
              <w:bidi w:val="0"/>
              <w:spacing w:before="0" w:after="283"/>
              <w:jc w:val="center"/>
              <w:rPr/>
            </w:pPr>
            <w:r>
              <w:rPr/>
              <w:t> </w:t>
            </w:r>
          </w:p>
        </w:tc>
        <w:tc>
          <w:tcPr>
            <w:tcW w:w="386" w:type="dxa"/>
            <w:tcBorders/>
            <w:shd w:fill="CFF0FC" w:val="clear"/>
            <w:vAlign w:val="center"/>
          </w:tcPr>
          <w:p>
            <w:pPr>
              <w:pStyle w:val="TableContents"/>
              <w:bidi w:val="0"/>
              <w:spacing w:before="0" w:after="283"/>
              <w:jc w:val="center"/>
              <w:rPr/>
            </w:pPr>
            <w:r>
              <w:rPr/>
              <w:t> </w:t>
            </w:r>
          </w:p>
        </w:tc>
        <w:tc>
          <w:tcPr>
            <w:tcW w:w="38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890</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40"/>
              <w:jc w:val="left"/>
              <w:rPr/>
            </w:pPr>
            <w:r>
              <w:rPr/>
              <w:t> </w:t>
            </w:r>
          </w:p>
        </w:tc>
        <w:tc>
          <w:tcPr>
            <w:tcW w:w="386" w:type="dxa"/>
            <w:tcBorders/>
            <w:shd w:fill="CFF0FC" w:val="clear"/>
            <w:vAlign w:val="center"/>
          </w:tcPr>
          <w:p>
            <w:pPr>
              <w:pStyle w:val="TableContents"/>
              <w:bidi w:val="0"/>
              <w:spacing w:before="0" w:after="283"/>
              <w:ind w:left="240" w:right="0" w:firstLine="240"/>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2479"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Joint Ventures - 0.5%</w:t>
            </w:r>
          </w:p>
        </w:tc>
        <w:tc>
          <w:tcPr>
            <w:tcW w:w="146"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9" w:type="dxa"/>
            <w:gridSpan w:val="2"/>
            <w:tcBorders/>
            <w:shd w:fill="FFFFFF" w:val="cle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firstLine="240"/>
              <w:jc w:val="left"/>
              <w:rPr/>
            </w:pPr>
            <w:r>
              <w:rPr/>
              <w:t> </w:t>
            </w:r>
          </w:p>
        </w:tc>
        <w:tc>
          <w:tcPr>
            <w:tcW w:w="386" w:type="dxa"/>
            <w:tcBorders/>
            <w:shd w:fill="FFFFFF" w:val="clear"/>
            <w:vAlign w:val="center"/>
          </w:tcPr>
          <w:p>
            <w:pPr>
              <w:pStyle w:val="TableContents"/>
              <w:bidi w:val="0"/>
              <w:spacing w:before="0" w:after="283"/>
              <w:ind w:left="240" w:right="0" w:firstLine="240"/>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24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Great Lakes Funding II LLC - Series A</w:t>
            </w:r>
          </w:p>
        </w:tc>
        <w:tc>
          <w:tcPr>
            <w:tcW w:w="146"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440</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440</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(12)(15)</w:t>
            </w:r>
          </w:p>
        </w:tc>
      </w:tr>
      <w:tr>
        <w:trPr/>
        <w:tc>
          <w:tcPr>
            <w:tcW w:w="2479"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Joint Ventures</w:t>
            </w:r>
          </w:p>
        </w:tc>
        <w:tc>
          <w:tcPr>
            <w:tcW w:w="146"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9" w:type="dxa"/>
            <w:gridSpan w:val="2"/>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440</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40"/>
              <w:jc w:val="left"/>
              <w:rPr/>
            </w:pPr>
            <w:r>
              <w:rPr/>
              <w:t> </w:t>
            </w:r>
          </w:p>
        </w:tc>
        <w:tc>
          <w:tcPr>
            <w:tcW w:w="386" w:type="dxa"/>
            <w:tcBorders/>
            <w:shd w:fill="FFFFFF" w:val="clear"/>
            <w:vAlign w:val="center"/>
          </w:tcPr>
          <w:p>
            <w:pPr>
              <w:pStyle w:val="TableContents"/>
              <w:bidi w:val="0"/>
              <w:spacing w:before="0" w:after="283"/>
              <w:ind w:left="240" w:right="0" w:firstLine="240"/>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2479"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Preferred Stock and Units - 7.6%</w:t>
            </w:r>
          </w:p>
        </w:tc>
        <w:tc>
          <w:tcPr>
            <w:tcW w:w="146"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19" w:type="dxa"/>
            <w:gridSpan w:val="2"/>
            <w:tcBorders/>
            <w:shd w:fill="CFF0FC" w:val="clear"/>
            <w:vAlign w:val="center"/>
          </w:tcPr>
          <w:p>
            <w:pPr>
              <w:pStyle w:val="TableContents"/>
              <w:bidi w:val="0"/>
              <w:spacing w:before="0" w:after="283"/>
              <w:jc w:val="center"/>
              <w:rPr/>
            </w:pPr>
            <w:r>
              <w:rPr/>
              <w:t> </w:t>
            </w:r>
          </w:p>
        </w:tc>
        <w:tc>
          <w:tcPr>
            <w:tcW w:w="386" w:type="dxa"/>
            <w:tcBorders/>
            <w:shd w:fill="CFF0FC" w:val="clear"/>
            <w:vAlign w:val="center"/>
          </w:tcPr>
          <w:p>
            <w:pPr>
              <w:pStyle w:val="TableContents"/>
              <w:bidi w:val="0"/>
              <w:spacing w:before="0" w:after="283"/>
              <w:jc w:val="center"/>
              <w:rPr/>
            </w:pPr>
            <w:r>
              <w:rPr/>
              <w:t> </w:t>
            </w:r>
          </w:p>
        </w:tc>
        <w:tc>
          <w:tcPr>
            <w:tcW w:w="386" w:type="dxa"/>
            <w:tcBorders/>
            <w:shd w:fill="CFF0FC" w:val="clear"/>
            <w:vAlign w:val="center"/>
          </w:tcPr>
          <w:p>
            <w:pPr>
              <w:pStyle w:val="TableContents"/>
              <w:bidi w:val="0"/>
              <w:spacing w:before="0" w:after="283"/>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ind w:left="0" w:right="0" w:firstLine="240"/>
              <w:jc w:val="left"/>
              <w:rPr/>
            </w:pPr>
            <w:r>
              <w:rPr/>
              <w:t> </w:t>
            </w:r>
          </w:p>
        </w:tc>
        <w:tc>
          <w:tcPr>
            <w:tcW w:w="386" w:type="dxa"/>
            <w:tcBorders/>
            <w:shd w:fill="CFF0FC" w:val="clear"/>
            <w:vAlign w:val="center"/>
          </w:tcPr>
          <w:p>
            <w:pPr>
              <w:pStyle w:val="TableContents"/>
              <w:bidi w:val="0"/>
              <w:spacing w:before="0" w:after="283"/>
              <w:ind w:left="240" w:right="0" w:firstLine="240"/>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124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GA Communications, Inc. - Series A-1</w:t>
            </w:r>
          </w:p>
        </w:tc>
        <w:tc>
          <w:tcPr>
            <w:tcW w:w="146"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Advertising &amp; Marketing Services</w:t>
            </w:r>
          </w:p>
        </w:tc>
        <w:tc>
          <w:tcPr>
            <w:tcW w:w="146"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1,998</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3,476</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24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GreenPark Infrastructure, LLC - Series A</w:t>
            </w:r>
          </w:p>
        </w:tc>
        <w:tc>
          <w:tcPr>
            <w:tcW w:w="146"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r>
      <w:tr>
        <w:trPr/>
        <w:tc>
          <w:tcPr>
            <w:tcW w:w="124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46"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Medical Device Distributor</w:t>
            </w:r>
          </w:p>
        </w:tc>
        <w:tc>
          <w:tcPr>
            <w:tcW w:w="146"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1,998</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24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RAM Payment, LLC</w:t>
            </w:r>
          </w:p>
        </w:tc>
        <w:tc>
          <w:tcPr>
            <w:tcW w:w="146"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146"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6.00% PIK</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86,000</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959</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(14)</w:t>
            </w:r>
          </w:p>
        </w:tc>
      </w:tr>
      <w:tr>
        <w:trPr/>
        <w:tc>
          <w:tcPr>
            <w:tcW w:w="2479"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Preferred Stock and Units</w:t>
            </w:r>
          </w:p>
        </w:tc>
        <w:tc>
          <w:tcPr>
            <w:tcW w:w="146"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9" w:type="dxa"/>
            <w:gridSpan w:val="2"/>
            <w:tcBorders/>
            <w:shd w:fill="FFFFFF" w:val="cle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6,633</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40"/>
              <w:jc w:val="left"/>
              <w:rPr/>
            </w:pPr>
            <w:r>
              <w:rPr/>
              <w:t> </w:t>
            </w:r>
          </w:p>
        </w:tc>
        <w:tc>
          <w:tcPr>
            <w:tcW w:w="386" w:type="dxa"/>
            <w:tcBorders/>
            <w:shd w:fill="FFFFFF" w:val="clear"/>
            <w:vAlign w:val="center"/>
          </w:tcPr>
          <w:p>
            <w:pPr>
              <w:pStyle w:val="TableContents"/>
              <w:bidi w:val="0"/>
              <w:spacing w:before="0" w:after="283"/>
              <w:ind w:left="240" w:right="0" w:firstLine="240"/>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2479"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Common Stock and Membership Units - 19.3%</w:t>
            </w:r>
          </w:p>
        </w:tc>
        <w:tc>
          <w:tcPr>
            <w:tcW w:w="146"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19" w:type="dxa"/>
            <w:gridSpan w:val="2"/>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ind w:left="0" w:right="0" w:firstLine="240"/>
              <w:jc w:val="left"/>
              <w:rPr/>
            </w:pPr>
            <w:r>
              <w:rPr/>
              <w:t> </w:t>
            </w:r>
          </w:p>
        </w:tc>
        <w:tc>
          <w:tcPr>
            <w:tcW w:w="386" w:type="dxa"/>
            <w:tcBorders/>
            <w:shd w:fill="CFF0FC" w:val="clear"/>
            <w:vAlign w:val="center"/>
          </w:tcPr>
          <w:p>
            <w:pPr>
              <w:pStyle w:val="TableContents"/>
              <w:bidi w:val="0"/>
              <w:spacing w:before="0" w:after="283"/>
              <w:ind w:left="240" w:right="0" w:firstLine="240"/>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124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Burgaflex Holdings, LLC - Class A</w:t>
            </w:r>
          </w:p>
        </w:tc>
        <w:tc>
          <w:tcPr>
            <w:tcW w:w="146"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Automobile Part Manufacturer</w:t>
            </w:r>
          </w:p>
        </w:tc>
        <w:tc>
          <w:tcPr>
            <w:tcW w:w="146"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1,253,198</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1,504</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24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Burgaflex Holdings, LLC - Class B</w:t>
            </w:r>
          </w:p>
        </w:tc>
        <w:tc>
          <w:tcPr>
            <w:tcW w:w="146"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Automobile Part Manufacturer</w:t>
            </w:r>
          </w:p>
        </w:tc>
        <w:tc>
          <w:tcPr>
            <w:tcW w:w="146"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1,085,073</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362</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124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GA Communications, Inc. - Series B-1</w:t>
            </w:r>
          </w:p>
        </w:tc>
        <w:tc>
          <w:tcPr>
            <w:tcW w:w="146"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Advertising &amp; Marketing Services</w:t>
            </w:r>
          </w:p>
        </w:tc>
        <w:tc>
          <w:tcPr>
            <w:tcW w:w="146"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200,000</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24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GreenPark Infrastructure, LLC - Series M-1</w:t>
            </w:r>
          </w:p>
        </w:tc>
        <w:tc>
          <w:tcPr>
            <w:tcW w:w="146"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(6)(12)</w:t>
            </w:r>
          </w:p>
        </w:tc>
      </w:tr>
      <w:tr>
        <w:trPr/>
        <w:tc>
          <w:tcPr>
            <w:tcW w:w="124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46"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Medical Device Distributor</w:t>
            </w:r>
          </w:p>
        </w:tc>
        <w:tc>
          <w:tcPr>
            <w:tcW w:w="146"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24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Nth Degree Investment Group, LLC</w:t>
            </w:r>
          </w:p>
        </w:tc>
        <w:tc>
          <w:tcPr>
            <w:tcW w:w="146"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146"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6,088,000</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6,088</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124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Sierra Hamilton Holdings Corporation</w:t>
            </w:r>
          </w:p>
        </w:tc>
        <w:tc>
          <w:tcPr>
            <w:tcW w:w="146"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Oil &amp; Gas Engineering and Consulting Services</w:t>
            </w:r>
          </w:p>
        </w:tc>
        <w:tc>
          <w:tcPr>
            <w:tcW w:w="146"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27,396,364</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6,958</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2479"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Common Stock and Membership Units</w:t>
            </w:r>
          </w:p>
        </w:tc>
        <w:tc>
          <w:tcPr>
            <w:tcW w:w="146"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19" w:type="dxa"/>
            <w:gridSpan w:val="2"/>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14,983</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40"/>
              <w:jc w:val="left"/>
              <w:rPr/>
            </w:pPr>
            <w:r>
              <w:rPr/>
              <w:t> </w:t>
            </w:r>
          </w:p>
        </w:tc>
        <w:tc>
          <w:tcPr>
            <w:tcW w:w="386" w:type="dxa"/>
            <w:tcBorders/>
            <w:shd w:fill="CFF0FC" w:val="clear"/>
            <w:vAlign w:val="center"/>
          </w:tcPr>
          <w:p>
            <w:pPr>
              <w:pStyle w:val="TableContents"/>
              <w:bidi w:val="0"/>
              <w:spacing w:before="0" w:after="283"/>
              <w:ind w:left="240" w:right="0" w:firstLine="240"/>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2479"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in Affiliated Portfolio Companies^</w:t>
            </w:r>
          </w:p>
        </w:tc>
        <w:tc>
          <w:tcPr>
            <w:tcW w:w="146"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9" w:type="dxa"/>
            <w:gridSpan w:val="2"/>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25,546</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40"/>
              <w:jc w:val="left"/>
              <w:rPr/>
            </w:pPr>
            <w:r>
              <w:rPr/>
              <w:t> </w:t>
            </w:r>
          </w:p>
        </w:tc>
        <w:tc>
          <w:tcPr>
            <w:tcW w:w="386" w:type="dxa"/>
            <w:tcBorders/>
            <w:shd w:fill="FFFFFF" w:val="clear"/>
            <w:vAlign w:val="center"/>
          </w:tcPr>
          <w:p>
            <w:pPr>
              <w:pStyle w:val="TableContents"/>
              <w:bidi w:val="0"/>
              <w:spacing w:before="0" w:after="283"/>
              <w:ind w:left="240" w:right="0" w:firstLine="240"/>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27,778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2479"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- 212.7%</w:t>
            </w:r>
          </w:p>
        </w:tc>
        <w:tc>
          <w:tcPr>
            <w:tcW w:w="146"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19" w:type="dxa"/>
            <w:gridSpan w:val="2"/>
            <w:tcBorders/>
            <w:shd w:fill="CFF0FC" w:val="clear"/>
            <w:vAlign w:val="center"/>
          </w:tcPr>
          <w:p>
            <w:pPr>
              <w:pStyle w:val="TableContents"/>
              <w:bidi w:val="0"/>
              <w:spacing w:before="0" w:after="283"/>
              <w:jc w:val="center"/>
              <w:rPr/>
            </w:pPr>
            <w:r>
              <w:rPr/>
              <w:t> </w:t>
            </w:r>
          </w:p>
        </w:tc>
        <w:tc>
          <w:tcPr>
            <w:tcW w:w="386" w:type="dxa"/>
            <w:tcBorders/>
            <w:shd w:fill="CFF0FC" w:val="clear"/>
            <w:vAlign w:val="center"/>
          </w:tcPr>
          <w:p>
            <w:pPr>
              <w:pStyle w:val="TableContents"/>
              <w:bidi w:val="0"/>
              <w:spacing w:before="0" w:after="283"/>
              <w:jc w:val="center"/>
              <w:rPr/>
            </w:pPr>
            <w:r>
              <w:rPr/>
              <w:t> </w:t>
            </w:r>
          </w:p>
        </w:tc>
        <w:tc>
          <w:tcPr>
            <w:tcW w:w="386" w:type="dxa"/>
            <w:tcBorders/>
            <w:shd w:fill="CFF0FC" w:val="cle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196,518</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40"/>
              <w:jc w:val="left"/>
              <w:rPr/>
            </w:pPr>
            <w:r>
              <w:rPr/>
              <w:t> </w:t>
            </w:r>
          </w:p>
        </w:tc>
        <w:tc>
          <w:tcPr>
            <w:tcW w:w="386" w:type="dxa"/>
            <w:tcBorders/>
            <w:shd w:fill="CFF0FC" w:val="clear"/>
            <w:vAlign w:val="center"/>
          </w:tcPr>
          <w:p>
            <w:pPr>
              <w:pStyle w:val="TableContents"/>
              <w:bidi w:val="0"/>
              <w:spacing w:before="0" w:after="283"/>
              <w:ind w:left="240" w:right="0" w:firstLine="240"/>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189,658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 xml:space="preserve">^ </w:t>
      </w:r>
      <w:r>
        <w:rPr>
          <w:rFonts w:ascii="Times New Roman" w:hAnsi="Times New Roman"/>
          <w:color w:val="000000"/>
          <w:sz w:val="12"/>
        </w:rPr>
        <w:t>As defined in the 1940 Act, the investment is deemed to be an "affiliated person" of the Company because the Company owns, either directly or indirectly, 5% or more of the portfolio company's outstanding voting securities.</w:t>
      </w:r>
    </w:p>
    <w:p>
      <w:pPr>
        <w:pStyle w:val="TextBody"/>
        <w:bidi w:val="0"/>
        <w:jc w:val="both"/>
        <w:rPr>
          <w:rFonts w:ascii="Times New Roman" w:hAnsi="Times New Roman"/>
          <w:color w:val="000000"/>
          <w:sz w:val="12"/>
        </w:rPr>
      </w:pPr>
      <w:r>
        <w:rPr>
          <w:rFonts w:ascii="Times New Roman" w:hAnsi="Times New Roman"/>
          <w:color w:val="000000"/>
          <w:sz w:val="12"/>
        </w:rPr>
        <w:t>^^ As defined in the 1940 Act, the investment is deemed to be a “controlled affiliated person” of the Company because the Company owns, either directly or indirectly, 25% or more of the portfolio company's outstanding voting securities or has the power to exercise control over management or policies of such portfolio company.</w:t>
      </w:r>
    </w:p>
    <w:p>
      <w:pPr>
        <w:pStyle w:val="TextBody"/>
        <w:bidi w:val="0"/>
        <w:jc w:val="both"/>
        <w:rPr>
          <w:rFonts w:ascii="Times New Roman" w:hAnsi="Times New Roman"/>
          <w:color w:val="000000"/>
          <w:sz w:val="12"/>
        </w:rPr>
      </w:pPr>
      <w:r>
        <w:rPr>
          <w:rFonts w:ascii="Times New Roman" w:hAnsi="Times New Roman"/>
          <w:color w:val="000000"/>
          <w:sz w:val="12"/>
        </w:rPr>
        <w:t>(+) Represents the actual interest rate for partially or fully funded debt in effect as of the reporting date. Variable rate loans bear interest at a rate that may be determined by the larger of the floor of the reference to SOFR, or alternate base rate at the borrower's option, which reset periodically based on the terms of the credit agreement. SOFR loans are typically indexed to 6 month, 3 month, or 1 month SOFR rates. As of December 31, 2023, rates for the 6 month, 3 month, and 1 month SOFR are 5.16%, 5.33% and 5.35%, respectively. For investments with multiple reference rates or alternate base rates, the interest rate shown is the weighted average interest rate in effect at December 31, 2023.</w:t>
      </w:r>
    </w:p>
    <w:p>
      <w:pPr>
        <w:pStyle w:val="TextBody"/>
        <w:bidi w:val="0"/>
        <w:jc w:val="both"/>
        <w:rPr>
          <w:rFonts w:ascii="Times New Roman" w:hAnsi="Times New Roman"/>
          <w:sz w:val="20"/>
        </w:rPr>
      </w:pPr>
      <w:r>
        <w:rPr>
          <w:rFonts w:ascii="Times New Roman" w:hAnsi="Times New Roman"/>
          <w:color w:val="000000"/>
          <w:sz w:val="12"/>
        </w:rPr>
        <w:t>(++) Par amount is presented for debt investments, while the number of shares or units owned is presented for equity investments.</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(1)</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All investments valued using unobservable inputs (Level 3), unless otherwise noted.</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(2)</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The fair value of each of the Company’s investments is determined in good faith using significant unobservable inputs by the Adviser in its role as “valuation designee” in accordance with Rule 2a-5 under the 1940 Act, pursuant to valuation policies and procedures that have been approved by the Company’s board of directors (the “Board”).</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(3)</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All debt investments are income producing, unless otherwise noted. Equity and warrant investments are non-income producing, unless otherwise noted.</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(4)</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Percentages are based on net assets as of December 31, 2023.</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(5)</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The Company generally acquires its investments in private transactions exempt from registration under the Securities Act of 1933, as amended (the "Securities Act"). These investments are generally subject to certain limitations on resale, and may be deemed to be "restricted securities" under the Securities Act.</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(6)</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Investment is held through our Taxable Subsidiary (See Note 1).</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(7)</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Non-accrual investment.</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(8)</w:t>
      </w:r>
    </w:p>
    <w:p>
      <w:pPr>
        <w:pStyle w:val="TextBody"/>
        <w:bidi w:val="0"/>
        <w:spacing w:before="0" w:after="0"/>
        <w:jc w:val="both"/>
        <w:rPr/>
      </w:pPr>
      <w:r>
        <w:rPr>
          <w:rFonts w:ascii="Times New Roman" w:hAnsi="Times New Roman"/>
          <w:color w:val="000000"/>
          <w:sz w:val="12"/>
        </w:rPr>
        <w:t>1.0% interest rate payable in cash. 9.0% interest rate payable in cash or paid-in-kind at borrower's election.</w:t>
      </w:r>
      <w:r>
        <w:rPr>
          <w:color w:val="000000"/>
        </w:rPr>
        <w:t xml:space="preserve"> </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(9)</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Not used.</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(10)</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Not used.</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(11)</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The investment has been exited or sold. The residual value reflects estimated earnout, escrow, or other proceeds expected post-closing.</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(12)</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The Company has an unfunded loan or investment commitment to the portfolio company at December 31, 2023. (See Note 2).</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(13)</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Collateralized loan obligations ("CLO" or "CLO's")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(14)</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The equity investment is income producing, based on rate disclosed.</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(15)</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The investment is treated as a non-qualifying asset under Section 55(a) of the 1940 Act. Under the 1940 Act, we may not acquire any non-qualifying asset unless, at the time the acquisition is made, qualifying assets represent at least 70% of our total assets. As of December 31, 2023, qualifying assets represent 99% of the Company’s total assets and non-qualifying assets represent 1% of the Company’s total assets.</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(16)</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All or a portion of this security is pledged as collateral under the KeyBank Credit Facility and held through the Company's wholly-owned subsidiary Capitala Business Lending, LLC.</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(17)</w:t>
      </w:r>
    </w:p>
    <w:p>
      <w:pPr>
        <w:pStyle w:val="TextBody"/>
        <w:bidi w:val="0"/>
        <w:jc w:val="both"/>
        <w:rPr>
          <w:rFonts w:ascii="Times New Roman" w:hAnsi="Times New Roman"/>
          <w:color w:val="000000"/>
          <w:sz w:val="12"/>
        </w:rPr>
      </w:pPr>
      <w:r>
        <w:rPr>
          <w:rFonts w:ascii="Times New Roman" w:hAnsi="Times New Roman"/>
          <w:color w:val="000000"/>
          <w:sz w:val="12"/>
        </w:rPr>
        <w:t>The negative cost is the result of the capitalized discount being greater than the principal amount outstanding on the loan.</w:t>
      </w:r>
    </w:p>
    <w:p>
      <w:pPr>
        <w:pStyle w:val="TextBody"/>
        <w:bidi w:val="0"/>
        <w:spacing w:before="160" w:after="283"/>
        <w:jc w:val="center"/>
        <w:rPr>
          <w:rFonts w:ascii="Times New Roman" w:hAnsi="Times New Roman"/>
          <w:color w:val="000000"/>
          <w:sz w:val="16"/>
        </w:rPr>
      </w:pPr>
      <w:r>
        <w:rPr>
          <w:rFonts w:ascii="Times New Roman" w:hAnsi="Times New Roman"/>
          <w:color w:val="000000"/>
          <w:sz w:val="16"/>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bookmarkStart w:id="9" w:name="notes_to_consolidated_financial"/>
      <w:bookmarkEnd w:id="9"/>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June 30, 2024</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center"/>
        <w:rPr/>
      </w:pPr>
      <w:r>
        <w:rPr/>
        <w:t> </w:t>
      </w:r>
    </w:p>
    <w:p>
      <w:pPr>
        <w:pStyle w:val="TextBody"/>
        <w:bidi w:val="0"/>
        <w:spacing w:before="0" w:after="120"/>
        <w:jc w:val="left"/>
        <w:rPr>
          <w:rFonts w:ascii="Times New Roman" w:hAnsi="Times New Roman"/>
          <w:b/>
          <w:color w:val="000000"/>
          <w:sz w:val="16"/>
        </w:rPr>
      </w:pPr>
      <w:r>
        <w:rPr>
          <w:rFonts w:ascii="Times New Roman" w:hAnsi="Times New Roman"/>
          <w:b/>
          <w:color w:val="000000"/>
          <w:sz w:val="16"/>
        </w:rPr>
        <w:t>Note 1. Organization</w:t>
      </w:r>
    </w:p>
    <w:p>
      <w:pPr>
        <w:pStyle w:val="TextBody"/>
        <w:bidi w:val="0"/>
        <w:spacing w:before="120" w:after="283"/>
        <w:jc w:val="both"/>
        <w:rPr>
          <w:rFonts w:ascii="Times New Roman" w:hAnsi="Times New Roman"/>
          <w:sz w:val="20"/>
        </w:rPr>
      </w:pPr>
      <w:r>
        <w:rPr>
          <w:rFonts w:ascii="Times New Roman" w:hAnsi="Times New Roman"/>
          <w:color w:val="000000"/>
          <w:sz w:val="16"/>
        </w:rPr>
        <w:t>Logan Ridge Finance Corporation (“Logan Ridge”, the “Company”, “we”, “us”, and “our”) is an externally managed non-diversified closed-end management investment company incorporated in Maryland on February 21, 2013. The Company has elected to be regulated as a business development company (“BDC”) under the Investment Company Act of 1940, as amended (the “1940 Act”). The Company commenced operations on May 24, 2013 and completed its initial public offering (“IPO”) on September 30, 2013. The Company is managed by Mount Logan Management LLC (the “Investment Adviser”), an investment adviser that is registered as an investment adviser under the Investment Advisers Act of 1940, as amended, and BC Partners Management LLC (the “Administrator”) provides the administrative services necessary for the Company to operate. The Company has elected to be treated for United States (“U.S.”) federal income tax purposes, and intends to comply with the requirements to qualify annually, as a regulated investment company (“RIC”) under Subchapter M of the Internal Revenue Code of 1986, as amended (the “Code”).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16"/>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in first lien loans, and, to a lesser extent, second lien loans and equity securities issued by lower middle-market and traditional middle-market companies.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Fund III, L.P. (f/k/a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pStyle w:val="TextBody"/>
        <w:bidi w:val="0"/>
        <w:spacing w:before="120" w:after="283"/>
        <w:jc w:val="both"/>
        <w:rPr>
          <w:rFonts w:ascii="Times New Roman" w:hAnsi="Times New Roman"/>
          <w:sz w:val="20"/>
        </w:rPr>
      </w:pPr>
      <w:r>
        <w:rPr>
          <w:rFonts w:ascii="Times New Roman" w:hAnsi="Times New Roman"/>
          <w:color w:val="000000"/>
          <w:sz w:val="16"/>
        </w:rPr>
        <w:t>On September 24, 2013, the Company acquired 100% of the limited partnership interests in Fund II, Fund III, and Florida Sidecar and each of their respective general partners, as well as certain assets from Fund I and Fund III Parent, in exchange for an aggregate of 8,974,420</w:t>
      </w:r>
      <w:r>
        <w:rPr>
          <w:rFonts w:ascii="Times New Roman" w:hAnsi="Times New Roman"/>
          <w:color w:val="000000"/>
          <w:sz w:val="20"/>
        </w:rPr>
        <w:t xml:space="preserve"> </w:t>
      </w:r>
      <w:r>
        <w:rPr>
          <w:rFonts w:ascii="Times New Roman" w:hAnsi="Times New Roman"/>
          <w:color w:val="000000"/>
          <w:sz w:val="16"/>
        </w:rPr>
        <w:t>shares of the Company’s common stock (the “Formation Transactions”). Fund II, Fund III, and Florida Sidecar became the Company’s wholly owned subsidiaries. Fund II and Fund III retained their small business investment company (“SBIC”) licenses, continued to hold their existing investments at the time of the IPO and have continued to make new investments. The IPO consisted of the sale of 4,000,000</w:t>
      </w:r>
      <w:r>
        <w:rPr>
          <w:rFonts w:ascii="Times New Roman" w:hAnsi="Times New Roman"/>
          <w:color w:val="000000"/>
          <w:sz w:val="20"/>
        </w:rPr>
        <w:t xml:space="preserve"> </w:t>
      </w:r>
      <w:r>
        <w:rPr>
          <w:rFonts w:ascii="Times New Roman" w:hAnsi="Times New Roman"/>
          <w:color w:val="000000"/>
          <w:sz w:val="16"/>
        </w:rPr>
        <w:t>shares of the Company’s common stock at a price of $20.00</w:t>
      </w:r>
      <w:r>
        <w:rPr>
          <w:rFonts w:ascii="Times New Roman" w:hAnsi="Times New Roman"/>
          <w:color w:val="000000"/>
          <w:sz w:val="20"/>
        </w:rPr>
        <w:t xml:space="preserve"> </w:t>
      </w:r>
      <w:r>
        <w:rPr>
          <w:rFonts w:ascii="Times New Roman" w:hAnsi="Times New Roman"/>
          <w:color w:val="000000"/>
          <w:sz w:val="16"/>
        </w:rPr>
        <w:t>per share, resulting in net proceeds to the Company of $74.25</w:t>
      </w:r>
      <w:r>
        <w:rPr>
          <w:rFonts w:ascii="Times New Roman" w:hAnsi="Times New Roman"/>
          <w:color w:val="000000"/>
          <w:sz w:val="20"/>
        </w:rPr>
        <w:t xml:space="preserve"> </w:t>
      </w:r>
      <w:r>
        <w:rPr>
          <w:rFonts w:ascii="Times New Roman" w:hAnsi="Times New Roman"/>
          <w:color w:val="000000"/>
          <w:sz w:val="16"/>
        </w:rPr>
        <w:t>million, after deducting underwriting fees and commissions totaling $4.0</w:t>
      </w:r>
      <w:r>
        <w:rPr>
          <w:rFonts w:ascii="Times New Roman" w:hAnsi="Times New Roman"/>
          <w:color w:val="000000"/>
          <w:sz w:val="20"/>
        </w:rPr>
        <w:t xml:space="preserve"> </w:t>
      </w:r>
      <w:r>
        <w:rPr>
          <w:rFonts w:ascii="Times New Roman" w:hAnsi="Times New Roman"/>
          <w:color w:val="000000"/>
          <w:sz w:val="16"/>
        </w:rPr>
        <w:t>million and offering expenses totaling $1.75</w:t>
      </w:r>
      <w:r>
        <w:rPr>
          <w:rFonts w:ascii="Times New Roman" w:hAnsi="Times New Roman"/>
          <w:color w:val="000000"/>
          <w:sz w:val="20"/>
        </w:rPr>
        <w:t xml:space="preserve"> </w:t>
      </w:r>
      <w:r>
        <w:rPr>
          <w:rFonts w:ascii="Times New Roman" w:hAnsi="Times New Roman"/>
          <w:color w:val="000000"/>
          <w:sz w:val="16"/>
        </w:rPr>
        <w:t>million. The other costs of the IPO were borne by the limited partners of the Legacy Funds. During the fourth quarter of 2017, Florida Sidecar transferred all of its assets to the Company and was legally dissolved as a standalone partnership. On March 1, 2019, Fund II repaid its outstanding debentures guaranteed by the SBA (the “SBA-guaranteed debentures”) and relinquished its SBIC license. On June 10, 2021, Fund III repaid its SBA-guaranteed debentures and relinquished its SBIC license. Accordingly, as of June 30, 2024 and December 31, 2023, there were no</w:t>
      </w:r>
      <w:r>
        <w:rPr>
          <w:rFonts w:ascii="Times New Roman" w:hAnsi="Times New Roman"/>
          <w:color w:val="000000"/>
          <w:sz w:val="20"/>
        </w:rPr>
        <w:t xml:space="preserve"> </w:t>
      </w:r>
      <w:r>
        <w:rPr>
          <w:rFonts w:ascii="Times New Roman" w:hAnsi="Times New Roman"/>
          <w:color w:val="000000"/>
          <w:sz w:val="16"/>
        </w:rPr>
        <w:t>SBA-guaranteed debentures outstanding.</w:t>
      </w:r>
    </w:p>
    <w:p>
      <w:pPr>
        <w:pStyle w:val="TextBody"/>
        <w:bidi w:val="0"/>
        <w:spacing w:before="120" w:after="283"/>
        <w:jc w:val="both"/>
        <w:rPr>
          <w:rFonts w:ascii="Times New Roman" w:hAnsi="Times New Roman"/>
          <w:sz w:val="20"/>
        </w:rPr>
      </w:pPr>
      <w:r>
        <w:rPr>
          <w:rFonts w:ascii="Times New Roman" w:hAnsi="Times New Roman"/>
          <w:color w:val="000000"/>
          <w:sz w:val="16"/>
        </w:rPr>
        <w:t>The Company has formed, and expects to continue to form, certain consolidated taxable subsidiaries (the “Taxable Subsidiaries”), which are taxed as corporations for U.S. federal income tax purposes. The Taxable Subsidiaries allow the Company to make equity investments in companies organized as pass-through entities while continuing to satisfy the requirements of a RIC under the Code.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Capitala Business Lending, LLC (“CBL”), a wholly-owned subsidiary of the Company, was established on October 30, 2020, for the sole purpose of holding certain investments pledged as collateral under the Company's line of credit with KeyBank National Association (the “KeyBank Credit Facility”). See Note 6 for more details about the KeyBank Credit Facility. The financial statements of CBL are consolidated with those of Logan Ridge Finance Corporation.</w:t>
      </w:r>
    </w:p>
    <w:p>
      <w:pPr>
        <w:pStyle w:val="TextBody"/>
        <w:bidi w:val="0"/>
        <w:spacing w:before="120" w:after="120"/>
        <w:jc w:val="both"/>
        <w:rPr>
          <w:rFonts w:ascii="Times New Roman" w:hAnsi="Times New Roman"/>
          <w:b/>
          <w:color w:val="000000"/>
          <w:sz w:val="16"/>
        </w:rPr>
      </w:pPr>
      <w:r>
        <w:rPr>
          <w:rFonts w:ascii="Times New Roman" w:hAnsi="Times New Roman"/>
          <w:b/>
          <w:color w:val="000000"/>
          <w:sz w:val="16"/>
        </w:rPr>
        <w:t>Definitive Agreement</w:t>
      </w:r>
    </w:p>
    <w:p>
      <w:pPr>
        <w:pStyle w:val="TextBody"/>
        <w:bidi w:val="0"/>
        <w:jc w:val="both"/>
        <w:rPr>
          <w:rFonts w:ascii="Times New Roman" w:hAnsi="Times New Roman"/>
          <w:color w:val="000000"/>
          <w:sz w:val="16"/>
        </w:rPr>
      </w:pPr>
      <w:r>
        <w:rPr>
          <w:rFonts w:ascii="Times New Roman" w:hAnsi="Times New Roman"/>
          <w:color w:val="000000"/>
          <w:sz w:val="16"/>
        </w:rPr>
        <w:t>On April 20, 2021, Capitala Investment Advisors, LLC (“Capitala”), the Company’s former investment adviser, entered into a definitive agreement (the “Definitive Agreement”) with the Investment Adviser and Mount Logan Capital Inc. (“MLC”), both affiliates of BC Partners Advisors L.P. (“BC Partners”) for U.S. regulatory purposes, whereby Mount Logan acquired certain assets related to Capitala’s business of providing investment management services to the Company (the “Transaction”), through which the Investment Adviser became the Company’s investment adviser pursuant to an investment advisory agreement (the “Investment Advisory Agreement”) with the Company. At a special meeting of the Company’s stockholders (the “Special Meeting”) held on May 27, 2021, the Company’s stockholders approved the Investment Advisory Agreement. The transactions contemplated by the Definitive Agreement closed on July 1, 2021 (the “Closing”). Unless earlier terminated in accordance with its terms, the Investment Advisory Agreement will remain in effect from year to year if approved annually by the Board or by a majority of our outstanding voting securities, including, in either case, by a majority of our directors who are not “interest persons” as such term is defined in Section 2(a)(19) of the 1940 Act (“Independent Directors”). The Board most recently approved the renewal of the Investment Advisory Agreement at a meeting on May 7, 2024.</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 part of the Transaction, the Investment Adviser entered into a two-year contractual fee waiver (the “Fee Waiver”) with the Company to waive, to the extent necessary, any capital gains fee under the Investment Advisory Agreement that exceeds what would have been paid to Capitala in the aggregate over such two-year period under the prior advisory agreement. The Fee Waiver expired at the end of the two-year period.</w:t>
      </w:r>
    </w:p>
    <w:p>
      <w:pPr>
        <w:pStyle w:val="TextBody"/>
        <w:bidi w:val="0"/>
        <w:spacing w:before="120" w:after="283"/>
        <w:jc w:val="both"/>
        <w:rPr>
          <w:rFonts w:ascii="Times New Roman" w:hAnsi="Times New Roman"/>
          <w:sz w:val="20"/>
        </w:rPr>
      </w:pPr>
      <w:r>
        <w:rPr>
          <w:rFonts w:ascii="Times New Roman" w:hAnsi="Times New Roman"/>
          <w:color w:val="000000"/>
          <w:sz w:val="16"/>
        </w:rPr>
        <w:t>On the date of the Closing, the Company changed its name from Capitala Finance Corp. to Logan Ridge Finance Corporation and on July 2, 2021, the Company’s common stock began trading on the NASDAQ Global Select Market under the symbol “LRFC.”</w:t>
      </w:r>
      <w:r>
        <w:rPr>
          <w:rFonts w:ascii="Times New Roman" w:hAnsi="Times New Roman"/>
          <w:color w:val="000000"/>
          <w:sz w:val="20"/>
        </w:rPr>
        <w:t xml:space="preserve"> </w:t>
      </w:r>
    </w:p>
    <w:p>
      <w:pPr>
        <w:pStyle w:val="TextBody"/>
        <w:bidi w:val="0"/>
        <w:spacing w:before="120" w:after="120"/>
        <w:jc w:val="left"/>
        <w:rPr>
          <w:rFonts w:ascii="Times New Roman" w:hAnsi="Times New Roman"/>
          <w:b/>
          <w:color w:val="000000"/>
          <w:sz w:val="16"/>
        </w:rPr>
      </w:pPr>
      <w:r>
        <w:rPr>
          <w:rFonts w:ascii="Times New Roman" w:hAnsi="Times New Roman"/>
          <w:b/>
          <w:color w:val="000000"/>
          <w:sz w:val="16"/>
        </w:rPr>
        <w:t>Note 2. Summary of Significant Accounting Policies</w:t>
      </w:r>
    </w:p>
    <w:p>
      <w:pPr>
        <w:pStyle w:val="TextBody"/>
        <w:bidi w:val="0"/>
        <w:spacing w:before="0" w:after="120"/>
        <w:jc w:val="left"/>
        <w:rPr>
          <w:rFonts w:ascii="Times New Roman" w:hAnsi="Times New Roman"/>
          <w:b/>
          <w:color w:val="000000"/>
          <w:sz w:val="16"/>
        </w:rPr>
      </w:pPr>
      <w:r>
        <w:rPr>
          <w:rFonts w:ascii="Times New Roman" w:hAnsi="Times New Roman"/>
          <w:b/>
          <w:color w:val="000000"/>
          <w:sz w:val="16"/>
        </w:rPr>
        <w:t>Basis of Presentation</w:t>
      </w:r>
    </w:p>
    <w:p>
      <w:pPr>
        <w:pStyle w:val="TextBody"/>
        <w:bidi w:val="0"/>
        <w:jc w:val="both"/>
        <w:rPr>
          <w:rFonts w:ascii="Times New Roman" w:hAnsi="Times New Roman"/>
          <w:color w:val="000000"/>
          <w:sz w:val="16"/>
        </w:rPr>
      </w:pPr>
      <w:r>
        <w:rPr>
          <w:rFonts w:ascii="Times New Roman" w:hAnsi="Times New Roman"/>
          <w:color w:val="000000"/>
          <w:sz w:val="16"/>
        </w:rPr>
        <w:t>The Company is considered an investment company as defined in Accounting Standards Codification (“ASC”) Topic 946 — Financial Services — Investment Companies (“ASC 946”). The accompanying unaudited consolidated financial statements have been prepared on the accrual basis of accounting in conformity with U.S. generally accepted accounting principles (“U.S. GAAP”) for interim financial information and pursuant to the requirements for reporting on Form 10-Q and Article 6 and Article 10 of Regulation S-X. Accordingly, certain disclosures accompanying our annual consolidated financial statements prepared in accordance with U.S. GAAP have been omitted. The consolidated financial statements of the Company include the accounts of the Company and its wholly owned subsidiaries, including Fund II, Fund III, CBL, and the Taxable Subsidiaries.</w:t>
      </w:r>
    </w:p>
    <w:p>
      <w:pPr>
        <w:pStyle w:val="TextBody"/>
        <w:bidi w:val="0"/>
        <w:spacing w:before="120" w:after="283"/>
        <w:jc w:val="both"/>
        <w:rPr>
          <w:rFonts w:ascii="Times New Roman" w:hAnsi="Times New Roman"/>
          <w:sz w:val="20"/>
        </w:rPr>
      </w:pPr>
      <w:r>
        <w:rPr>
          <w:rFonts w:ascii="Times New Roman" w:hAnsi="Times New Roman"/>
          <w:color w:val="000000"/>
          <w:sz w:val="16"/>
        </w:rPr>
        <w:t>The Company’s financial statements as of June 30, 2024 and December 31, 2023 and for the periods ended June 30, 2024 and 2023 are presented on a consolidated basis. The effects of all intercompany transactions between the Company and its subsidiaries (Fund II, Fund III, CBL, and the Taxable Subsidiaries) have been eliminated in consolidation. All financial data and information included in these consolidated financial statements have been presented on the basis described above.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June 30, 2024</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the opinion of management, the consolidated financial statements reflect all adjustments that are necessary for the fair presentation of financial results as of and for the periods presented.</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current period’s results of operations are not necessarily indicative of results that ultimately may be achieved for the year. Additionally, the unaudited consolidated financial statements and notes should be read in conjunction with the audited consolidated financial statements and notes thereto appearing in the Company’s Annual Report on Form 10-K for the year ended December 31, 2023, filed with the U.S. Securities and Exchange Commission (“SEC”) on March 26, 2024.</w:t>
      </w:r>
    </w:p>
    <w:p>
      <w:pPr>
        <w:pStyle w:val="TextBody"/>
        <w:bidi w:val="0"/>
        <w:spacing w:before="120" w:after="120"/>
        <w:jc w:val="left"/>
        <w:rPr>
          <w:rFonts w:ascii="Times New Roman" w:hAnsi="Times New Roman"/>
          <w:b/>
          <w:color w:val="000000"/>
          <w:sz w:val="16"/>
        </w:rPr>
      </w:pPr>
      <w:r>
        <w:rPr>
          <w:rFonts w:ascii="Times New Roman" w:hAnsi="Times New Roman"/>
          <w:b/>
          <w:color w:val="000000"/>
          <w:sz w:val="16"/>
        </w:rPr>
        <w:t>Use of Estimates in the Preparation of Financial Statements</w:t>
      </w:r>
    </w:p>
    <w:p>
      <w:pPr>
        <w:pStyle w:val="TextBody"/>
        <w:bidi w:val="0"/>
        <w:jc w:val="both"/>
        <w:rPr>
          <w:rFonts w:ascii="Times New Roman" w:hAnsi="Times New Roman"/>
          <w:sz w:val="20"/>
        </w:rPr>
      </w:pPr>
      <w:r>
        <w:rPr>
          <w:rFonts w:ascii="Times New Roman" w:hAnsi="Times New Roman"/>
          <w:color w:val="000000"/>
          <w:sz w:val="16"/>
        </w:rPr>
        <w:t>The preparation of the consolidated financial statements in conformity with U.S. GAAP requires management to make estimates and assumptions that affect the amounts reported in the consolidated financial statements and accompanying notes. Actual results could differ from those estimates under different assumptions and conditions. The most significant estimates in the preparation of the consolidated financial statements are investment valuation, revenue recognition and income taxes.</w:t>
      </w:r>
      <w:r>
        <w:rPr>
          <w:rFonts w:ascii="Times New Roman" w:hAnsi="Times New Roman"/>
          <w:color w:val="000000"/>
          <w:sz w:val="20"/>
        </w:rPr>
        <w:t xml:space="preserve"> </w:t>
      </w:r>
    </w:p>
    <w:p>
      <w:pPr>
        <w:pStyle w:val="TextBody"/>
        <w:bidi w:val="0"/>
        <w:spacing w:before="120" w:after="120"/>
        <w:jc w:val="both"/>
        <w:rPr>
          <w:rFonts w:ascii="Times New Roman" w:hAnsi="Times New Roman"/>
          <w:b/>
          <w:color w:val="000000"/>
          <w:sz w:val="16"/>
        </w:rPr>
      </w:pPr>
      <w:r>
        <w:rPr>
          <w:rFonts w:ascii="Times New Roman" w:hAnsi="Times New Roman"/>
          <w:b/>
          <w:color w:val="000000"/>
          <w:sz w:val="16"/>
        </w:rPr>
        <w:t>Consolidation</w:t>
      </w:r>
    </w:p>
    <w:p>
      <w:pPr>
        <w:pStyle w:val="TextBody"/>
        <w:bidi w:val="0"/>
        <w:jc w:val="both"/>
        <w:rPr>
          <w:rFonts w:ascii="Times New Roman" w:hAnsi="Times New Roman"/>
          <w:color w:val="000000"/>
          <w:sz w:val="16"/>
        </w:rPr>
      </w:pPr>
      <w:r>
        <w:rPr>
          <w:rFonts w:ascii="Times New Roman" w:hAnsi="Times New Roman"/>
          <w:color w:val="000000"/>
          <w:sz w:val="16"/>
        </w:rPr>
        <w:t xml:space="preserve">As provided under ASC 946, the Company will generally not consolidate its investment in a company other than a substantially wholly owned investment company subsidiary or a controlled operating company whose business consists of providing services to the Company. Accordingly, the Company consolidated the results of the Company’s wholly owned investment company subsidiaries (Fund II, Fund III, CBL, and the Taxable Subsidiaries) in its consolidated financial statements. </w:t>
      </w:r>
    </w:p>
    <w:p>
      <w:pPr>
        <w:pStyle w:val="TextBody"/>
        <w:bidi w:val="0"/>
        <w:spacing w:before="120" w:after="120"/>
        <w:jc w:val="both"/>
        <w:rPr>
          <w:rFonts w:ascii="Times New Roman" w:hAnsi="Times New Roman"/>
          <w:b/>
          <w:color w:val="000000"/>
          <w:sz w:val="16"/>
        </w:rPr>
      </w:pPr>
      <w:r>
        <w:rPr>
          <w:rFonts w:ascii="Times New Roman" w:hAnsi="Times New Roman"/>
          <w:b/>
          <w:color w:val="000000"/>
          <w:sz w:val="16"/>
        </w:rPr>
        <w:t>Cash and Cash Equivalents</w:t>
      </w:r>
    </w:p>
    <w:p>
      <w:pPr>
        <w:pStyle w:val="TextBody"/>
        <w:bidi w:val="0"/>
        <w:jc w:val="both"/>
        <w:rPr>
          <w:rFonts w:ascii="Times New Roman" w:hAnsi="Times New Roman"/>
          <w:sz w:val="20"/>
        </w:rPr>
      </w:pPr>
      <w:r>
        <w:rPr>
          <w:rFonts w:ascii="Times New Roman" w:hAnsi="Times New Roman"/>
          <w:color w:val="000000"/>
          <w:sz w:val="16"/>
        </w:rPr>
        <w:t>The Company considers cash equivalents to be highly liquid investments with original maturities of three months or less at the date of purchase. The Company deposits its cash in financial institutions, and, at times, such balances may be in excess of the Federal Deposit Insurance Corporation insurance limits.</w:t>
      </w:r>
      <w:r>
        <w:rPr>
          <w:rFonts w:ascii="Times New Roman" w:hAnsi="Times New Roman"/>
          <w:color w:val="000000"/>
          <w:sz w:val="20"/>
        </w:rPr>
        <w:t xml:space="preserve"> </w:t>
      </w:r>
    </w:p>
    <w:p>
      <w:pPr>
        <w:pStyle w:val="TextBody"/>
        <w:bidi w:val="0"/>
        <w:spacing w:before="120" w:after="120"/>
        <w:jc w:val="both"/>
        <w:rPr>
          <w:rFonts w:ascii="Times New Roman" w:hAnsi="Times New Roman"/>
          <w:b/>
          <w:color w:val="000000"/>
          <w:sz w:val="16"/>
        </w:rPr>
      </w:pPr>
      <w:r>
        <w:rPr>
          <w:rFonts w:ascii="Times New Roman" w:hAnsi="Times New Roman"/>
          <w:b/>
          <w:color w:val="000000"/>
          <w:sz w:val="16"/>
        </w:rPr>
        <w:t>Investment Classification</w:t>
      </w:r>
    </w:p>
    <w:p>
      <w:pPr>
        <w:pStyle w:val="TextBody"/>
        <w:bidi w:val="0"/>
        <w:jc w:val="both"/>
        <w:rPr>
          <w:rFonts w:ascii="Times New Roman" w:hAnsi="Times New Roman"/>
          <w:sz w:val="20"/>
        </w:rPr>
      </w:pPr>
      <w:r>
        <w:rPr>
          <w:rFonts w:ascii="Times New Roman" w:hAnsi="Times New Roman"/>
          <w:color w:val="000000"/>
          <w:sz w:val="16"/>
        </w:rPr>
        <w:t>In accordance with the provisions of the 1940 Act, the Company classifies its investments by level of control. As defined in the 1940 Act, “Control Investments” are investments in those companies that the Company is deemed to “Control.” “Affiliate Investments” are investments in those companies that are “Affiliated Companies” of the Company, as defined in the 1940 Act, other than Control Investments. “Non-Control/Non-Affiliate Investments” are those investments that are neither Control Investments nor Affiliate Investments. Generally, under the 1940 Act, the Company is deemed to control a company in which it has invested if the Company owns more than 25% of the voting securities of such company and/or has greater than 50% representation on its board or has the power to exercise control over management or policies of such portfolio company. The Company is deemed to be an affiliate of a company in which the Company has invested if it owns 5% or more of the voting securities of such company.</w:t>
      </w:r>
      <w:r>
        <w:rPr>
          <w:rFonts w:ascii="Times New Roman" w:hAnsi="Times New Roman"/>
          <w:color w:val="000000"/>
          <w:sz w:val="20"/>
        </w:rPr>
        <w:t xml:space="preserve"> </w:t>
      </w:r>
    </w:p>
    <w:p>
      <w:pPr>
        <w:pStyle w:val="TextBody"/>
        <w:bidi w:val="0"/>
        <w:spacing w:before="120" w:after="120"/>
        <w:jc w:val="both"/>
        <w:rPr>
          <w:rFonts w:ascii="Times New Roman" w:hAnsi="Times New Roman"/>
          <w:b/>
          <w:color w:val="000000"/>
          <w:sz w:val="16"/>
        </w:rPr>
      </w:pPr>
      <w:r>
        <w:rPr>
          <w:rFonts w:ascii="Times New Roman" w:hAnsi="Times New Roman"/>
          <w:b/>
          <w:color w:val="000000"/>
          <w:sz w:val="16"/>
        </w:rPr>
        <w:t>Valuation of Investments</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Investment transactions are recorded on the trade date. Realized gains or losses on investments are calculated using the specific identification method as the difference between the net proceeds received (excluding prepayment fees, if any) and the amortized cost basis of the investment without regard to unrealized appreciation or depreciation previously recognized, and include investments charged off during the period, net of recoveries. Net change in unrealized appreciation or depreciation reflects the change in portfolio investment values during the reporting period, including any reversal of previously recorded unrealized appreciation or depreciation when gains or losses are recognized.</w:t>
      </w:r>
    </w:p>
    <w:p>
      <w:pPr>
        <w:pStyle w:val="TextBody"/>
        <w:bidi w:val="0"/>
        <w:jc w:val="both"/>
        <w:rPr>
          <w:rFonts w:ascii="Times New Roman" w:hAnsi="Times New Roman"/>
          <w:color w:val="000000"/>
          <w:sz w:val="16"/>
        </w:rPr>
      </w:pPr>
      <w:r>
        <w:rPr>
          <w:rFonts w:ascii="Times New Roman" w:hAnsi="Times New Roman"/>
          <w:color w:val="000000"/>
          <w:sz w:val="16"/>
        </w:rPr>
        <w:t>Investments for which market quotations are available are typically valued at those market quotations. To validate market quotations, the Company will utilize a number of factors to determine if the quotations are representative of fair value, including the source and number of the quotations.</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Debt that is not publicly traded but for which there are external pricing sources available as of the valuation date is valued using independent broker-dealer, market maker quotations or independent pricing services. The valuation committee, comprised of members of the Investment Adviser, (the “Valuation Committee”) subjects these quotes to various criteria including, but not limited to, the number and quality of quotes, the deviation among the quotes and information derived from analyzing the Company’s own transactions in such investments throughout the reporting period. Generally, such investments are categorized in Level 2 of the fair value hierarchy, unless the Valuation Committee determines that the quality, quantity or deviation among quotes warrants significant adjustment to the inputs utilized.</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The Board has designated the Investment Adviser as its “valuation designee” pursuant to Rule 2a-5 under the 1940 Act, and in that role the Investment Adviser is responsible for performing fair value determinations relating to all of the Company's investments, including periodically assessing and managing any material valuation risks and establishing and applying fair value methodologies, in accordance with valuation policies and procedures that have been approved by the Board. The Board remains ultimately responsible for fair value determinations under the 1940 Act and satisfies its responsibility through oversight of the valuation designee in accordance with Rule 2a-5. Investments that are not publicly traded or whose market prices are not readily available, as is expected to be the case for substantially all of the Company’s investments, are valued at fair value as determined in good faith by the Investment Adviser, based on, among other things, input of independent third-party valuation firm(s).</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The Investment Adviser undertakes a multi-step valuation process, which includes, among other procedures,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Company’s quarterly valuation process begins with each portfolio company or investment being initially valued using certain inputs, among others, provided by the investment professionals responsible for the portfolio investment in conjunction with the Company’s portfolio management team. The Company utilizes an independent valuation firm to provide valuation on each material illiquid security at least once every trailing 12-month period;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Preliminary valuations are reviewed and discussed with management of the Investment Adviser and investment professionals;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Investment Adviser will review the valuations and determine the fair value of each investment. Valuations that are not based on readily available market quotations will be valued in good faith based on, among other things, the input of, where applicable, third parties.</w:t>
      </w:r>
    </w:p>
    <w:p>
      <w:pPr>
        <w:pStyle w:val="TextBody"/>
        <w:bidi w:val="0"/>
        <w:spacing w:before="120" w:after="120"/>
        <w:jc w:val="both"/>
        <w:rPr>
          <w:rFonts w:ascii="Times New Roman" w:hAnsi="Times New Roman"/>
          <w:sz w:val="20"/>
        </w:rPr>
      </w:pPr>
      <w:r>
        <w:rPr>
          <w:rFonts w:ascii="Times New Roman" w:hAnsi="Times New Roman"/>
          <w:color w:val="000000"/>
          <w:sz w:val="16"/>
        </w:rPr>
        <w:t>As part of the valuation process, the Investment Adviser may consider other information and may use valuation methods including but not limited to (i) market quotes for similar investments, (ii) recent trading activity, (iii) discounting forecasted cash flows of the investment, (iv) models that consider the implied yields from</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June 30, 2024</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comparable debt, (v) third-party appraisal, (vi) sale negotiations and purchase offers received from independent parties and (vii) estimated value of underlying assets to be received in liquidation or restructuring.</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Due to the inherent uncertainty of determining the fair value of investments that do not have a readily available market value, the fair value of our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In addition, changes in the market environment and other events that may occur over the life of the investments may cause the gains or losses ultimately realized on these investments to be different than the unrealized gains or losses reflected herein.</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Under existing accounting guidance, fair value is defined as the price that the Company would receive upon selling an investment or pay to transfer a liability in an orderly transaction to a market participant in the principal or most advantageous market for the investment. This accounting guidance emphasizes valuation techniques that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the Company. Unobservable inputs are inputs that reflect the assumptions market participants would use in pricing an asset or liability developed based on the best information available in the circumstances.</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The Company classifies the inputs used to measure these fair values into the following hierarchy as defined by current accounting guidance:</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Level 1: Unadjusted quoted prices in active markets for identical assets or liabilities that are accessible to the Company.</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Level 2: Quoted prices for similar assets or liabilities in active markets, or quoted prices for identical or similar assets or liabilities in markets that are not active, or other observable inputs other than quoted prices.</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Level 3: Significant inputs that are unobservable for an asset or liability.</w:t>
      </w:r>
    </w:p>
    <w:p>
      <w:pPr>
        <w:pStyle w:val="TextBody"/>
        <w:bidi w:val="0"/>
        <w:jc w:val="both"/>
        <w:rPr>
          <w:rFonts w:ascii="Times New Roman" w:hAnsi="Times New Roman"/>
          <w:color w:val="000000"/>
          <w:sz w:val="16"/>
        </w:rPr>
      </w:pPr>
      <w:r>
        <w:rPr>
          <w:rFonts w:ascii="Times New Roman" w:hAnsi="Times New Roman"/>
          <w:color w:val="000000"/>
          <w:sz w:val="16"/>
        </w:rPr>
        <w:t>A financial instrument’s categorization within the valuation hierarchy is based upon the lowest level of input that is significant to the fair value measurement. Investments for which no external pricing sources are available as of the valuation date are included in Level 3 of the fair value hierarchy.</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 xml:space="preserve">As a practical expedient, the Company uses net asset value (“NAV”) as the fair value for its equity investment in Great Lakes Funding II LLC (“Great Lakes II Joint Venture”). The Great Lakes II Joint Venture records its underlying investments at fair value on a quarterly basis in accordance with the 1940 Act and U.S. GAAP. </w:t>
      </w:r>
    </w:p>
    <w:p>
      <w:pPr>
        <w:pStyle w:val="TextBody"/>
        <w:bidi w:val="0"/>
        <w:spacing w:before="120" w:after="120"/>
        <w:jc w:val="both"/>
        <w:rPr>
          <w:rFonts w:ascii="Times New Roman" w:hAnsi="Times New Roman"/>
          <w:i/>
          <w:color w:val="000000"/>
          <w:sz w:val="16"/>
        </w:rPr>
      </w:pPr>
      <w:r>
        <w:rPr>
          <w:rFonts w:ascii="Times New Roman" w:hAnsi="Times New Roman"/>
          <w:i/>
          <w:color w:val="000000"/>
          <w:sz w:val="16"/>
        </w:rPr>
        <w:t>Enterprise Value Waterfall Approach</w:t>
      </w:r>
    </w:p>
    <w:p>
      <w:pPr>
        <w:pStyle w:val="TextBody"/>
        <w:bidi w:val="0"/>
        <w:jc w:val="both"/>
        <w:rPr>
          <w:rFonts w:ascii="Times New Roman" w:hAnsi="Times New Roman"/>
          <w:sz w:val="20"/>
        </w:rPr>
      </w:pPr>
      <w:r>
        <w:rPr>
          <w:rFonts w:ascii="Times New Roman" w:hAnsi="Times New Roman"/>
          <w:color w:val="000000"/>
          <w:sz w:val="16"/>
        </w:rPr>
        <w:t>The enterprise value waterfall approach determines an enterprise value based on earnings before interest, tax, depreciation, and amortization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i/>
          <w:color w:val="000000"/>
          <w:sz w:val="16"/>
        </w:rPr>
        <w:t>Income Approach</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16"/>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ratios,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r>
        <w:rPr>
          <w:rFonts w:ascii="Times New Roman" w:hAnsi="Times New Roman"/>
          <w:color w:val="000000"/>
          <w:sz w:val="20"/>
        </w:rPr>
        <w:t xml:space="preserve"> </w:t>
      </w:r>
    </w:p>
    <w:p>
      <w:pPr>
        <w:pStyle w:val="TextBody"/>
        <w:bidi w:val="0"/>
        <w:spacing w:before="120" w:after="120"/>
        <w:jc w:val="left"/>
        <w:rPr>
          <w:rFonts w:ascii="Times New Roman" w:hAnsi="Times New Roman"/>
          <w:i/>
          <w:color w:val="000000"/>
          <w:sz w:val="16"/>
        </w:rPr>
      </w:pPr>
      <w:r>
        <w:rPr>
          <w:rFonts w:ascii="Times New Roman" w:hAnsi="Times New Roman"/>
          <w:i/>
          <w:color w:val="000000"/>
          <w:sz w:val="16"/>
        </w:rPr>
        <w:t>Asset Approach</w:t>
      </w:r>
    </w:p>
    <w:p>
      <w:pPr>
        <w:pStyle w:val="TextBody"/>
        <w:bidi w:val="0"/>
        <w:jc w:val="both"/>
        <w:rPr>
          <w:rFonts w:ascii="Times New Roman" w:hAnsi="Times New Roman"/>
          <w:color w:val="000000"/>
          <w:sz w:val="16"/>
        </w:rPr>
      </w:pPr>
      <w:r>
        <w:rPr>
          <w:rFonts w:ascii="Times New Roman" w:hAnsi="Times New Roman"/>
          <w:color w:val="000000"/>
          <w:sz w:val="16"/>
        </w:rPr>
        <w:t>The asset approach values an investment based on the value of the underlying collateral securing the investment.</w:t>
      </w:r>
    </w:p>
    <w:p>
      <w:pPr>
        <w:pStyle w:val="TextBody"/>
        <w:bidi w:val="0"/>
        <w:spacing w:before="120" w:after="120"/>
        <w:jc w:val="left"/>
        <w:rPr>
          <w:rFonts w:ascii="Times New Roman" w:hAnsi="Times New Roman"/>
          <w:b/>
          <w:color w:val="000000"/>
          <w:sz w:val="16"/>
        </w:rPr>
      </w:pPr>
      <w:r>
        <w:rPr>
          <w:rFonts w:ascii="Times New Roman" w:hAnsi="Times New Roman"/>
          <w:b/>
          <w:color w:val="000000"/>
          <w:sz w:val="16"/>
        </w:rPr>
        <w:t>Revenue Recognition</w:t>
      </w:r>
    </w:p>
    <w:p>
      <w:pPr>
        <w:pStyle w:val="TextBody"/>
        <w:bidi w:val="0"/>
        <w:jc w:val="both"/>
        <w:rPr>
          <w:rFonts w:ascii="Times New Roman" w:hAnsi="Times New Roman"/>
          <w:color w:val="000000"/>
          <w:sz w:val="16"/>
        </w:rPr>
      </w:pPr>
      <w:r>
        <w:rPr>
          <w:rFonts w:ascii="Times New Roman" w:hAnsi="Times New Roman"/>
          <w:color w:val="000000"/>
          <w:sz w:val="16"/>
        </w:rPr>
        <w:t>The Company’s revenue recognition policies are as follows:</w:t>
      </w:r>
    </w:p>
    <w:p>
      <w:pPr>
        <w:pStyle w:val="TextBody"/>
        <w:bidi w:val="0"/>
        <w:spacing w:before="120" w:after="283"/>
        <w:jc w:val="both"/>
        <w:rPr>
          <w:rFonts w:ascii="Times New Roman" w:hAnsi="Times New Roman"/>
          <w:sz w:val="20"/>
        </w:rPr>
      </w:pPr>
      <w:r>
        <w:rPr>
          <w:rFonts w:ascii="Times New Roman" w:hAnsi="Times New Roman"/>
          <w:i/>
          <w:color w:val="000000"/>
          <w:sz w:val="16"/>
        </w:rPr>
        <w:t xml:space="preserve">Interest income and payment-in-kind (“PIK”) interest income: </w:t>
      </w:r>
      <w:r>
        <w:rPr>
          <w:rFonts w:ascii="Times New Roman" w:hAnsi="Times New Roman"/>
          <w:color w:val="000000"/>
          <w:sz w:val="16"/>
        </w:rPr>
        <w:t>Interest income is recorded on the accrual basis to the extent that such amounts are expected to be collected. The Company has loans in the portfolio that contain a PIK interest provision. PIK interest, which represents contractually deferred interest added to the loan balance that is generally due at maturity, is recorded on an accrual basis to the extent that such amounts are expected to be collected. PIK interest is not accrued if the Company does not expect the issuer to be able to pay all principal and interest when due.</w:t>
      </w:r>
    </w:p>
    <w:p>
      <w:pPr>
        <w:pStyle w:val="TextBody"/>
        <w:bidi w:val="0"/>
        <w:spacing w:before="120" w:after="283"/>
        <w:jc w:val="both"/>
        <w:rPr>
          <w:rFonts w:ascii="Times New Roman" w:hAnsi="Times New Roman"/>
          <w:sz w:val="20"/>
        </w:rPr>
      </w:pPr>
      <w:r>
        <w:rPr>
          <w:rFonts w:ascii="Times New Roman" w:hAnsi="Times New Roman"/>
          <w:i/>
          <w:color w:val="000000"/>
          <w:sz w:val="16"/>
        </w:rPr>
        <w:t xml:space="preserve">Non-accrual investments: </w:t>
      </w:r>
      <w:r>
        <w:rPr>
          <w:rFonts w:ascii="Times New Roman" w:hAnsi="Times New Roman"/>
          <w:color w:val="000000"/>
          <w:sz w:val="16"/>
        </w:rPr>
        <w:t>Management reviews all loans that become 90 days or more past due, or when there is reasonable doubt that principal or interest will be collected, for possible 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June 30, 2024</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16"/>
        </w:rPr>
        <w:t>writes off any previously accrued and uncollected interest when it is determined that interest is no longer considered collectible. Non-accrual loans are returned to accrual status when the borrower’s financial condition improves such that management believes current interest and principal payments are expected to be collected. As of June 30, 2024, we had debt investments in three</w:t>
      </w:r>
      <w:r>
        <w:rPr>
          <w:rFonts w:ascii="Times New Roman" w:hAnsi="Times New Roman"/>
          <w:color w:val="000000"/>
          <w:sz w:val="20"/>
        </w:rPr>
        <w:t xml:space="preserve"> </w:t>
      </w:r>
      <w:r>
        <w:rPr>
          <w:rFonts w:ascii="Times New Roman" w:hAnsi="Times New Roman"/>
          <w:color w:val="000000"/>
          <w:sz w:val="16"/>
        </w:rPr>
        <w:t>portfolio companies on non-accrual status with an aggregate amortized cost</w:t>
      </w:r>
      <w:r>
        <w:rPr>
          <w:rFonts w:ascii="Times New Roman" w:hAnsi="Times New Roman"/>
          <w:color w:val="000000"/>
          <w:sz w:val="20"/>
        </w:rPr>
        <w:t xml:space="preserve"> </w:t>
      </w:r>
      <w:r>
        <w:rPr>
          <w:rFonts w:ascii="Times New Roman" w:hAnsi="Times New Roman"/>
          <w:color w:val="000000"/>
          <w:sz w:val="16"/>
        </w:rPr>
        <w:t>of $17.2</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and an aggregate fair value of $10.1</w:t>
      </w:r>
      <w:r>
        <w:rPr>
          <w:rFonts w:ascii="Times New Roman" w:hAnsi="Times New Roman"/>
          <w:color w:val="000000"/>
          <w:sz w:val="20"/>
        </w:rPr>
        <w:t xml:space="preserve"> </w:t>
      </w:r>
      <w:r>
        <w:rPr>
          <w:rFonts w:ascii="Times New Roman" w:hAnsi="Times New Roman"/>
          <w:color w:val="000000"/>
          <w:sz w:val="16"/>
        </w:rPr>
        <w:t>million, which represented 8.5%</w:t>
      </w:r>
      <w:r>
        <w:rPr>
          <w:rFonts w:ascii="Times New Roman" w:hAnsi="Times New Roman"/>
          <w:color w:val="000000"/>
          <w:sz w:val="20"/>
        </w:rPr>
        <w:t xml:space="preserve"> </w:t>
      </w:r>
      <w:r>
        <w:rPr>
          <w:rFonts w:ascii="Times New Roman" w:hAnsi="Times New Roman"/>
          <w:color w:val="000000"/>
          <w:sz w:val="16"/>
        </w:rPr>
        <w:t>and 5.2%</w:t>
      </w:r>
      <w:r>
        <w:rPr>
          <w:rFonts w:ascii="Times New Roman" w:hAnsi="Times New Roman"/>
          <w:color w:val="000000"/>
          <w:sz w:val="20"/>
        </w:rPr>
        <w:t xml:space="preserve"> </w:t>
      </w:r>
      <w:r>
        <w:rPr>
          <w:rFonts w:ascii="Times New Roman" w:hAnsi="Times New Roman"/>
          <w:color w:val="000000"/>
          <w:sz w:val="16"/>
        </w:rPr>
        <w:t>of the investment portfolio, respectively. As of December 31, 2023, we had debt investments in three</w:t>
      </w:r>
      <w:r>
        <w:rPr>
          <w:rFonts w:ascii="Times New Roman" w:hAnsi="Times New Roman"/>
          <w:color w:val="000000"/>
          <w:sz w:val="20"/>
        </w:rPr>
        <w:t xml:space="preserve"> </w:t>
      </w:r>
      <w:r>
        <w:rPr>
          <w:rFonts w:ascii="Times New Roman" w:hAnsi="Times New Roman"/>
          <w:color w:val="000000"/>
          <w:sz w:val="16"/>
        </w:rPr>
        <w:t>portfolio companies on non-accrual status with aggregate amortized</w:t>
      </w:r>
      <w:r>
        <w:rPr>
          <w:rFonts w:ascii="Times New Roman" w:hAnsi="Times New Roman"/>
          <w:color w:val="000000"/>
          <w:sz w:val="20"/>
        </w:rPr>
        <w:t xml:space="preserve"> </w:t>
      </w:r>
      <w:r>
        <w:rPr>
          <w:rFonts w:ascii="Times New Roman" w:hAnsi="Times New Roman"/>
          <w:color w:val="000000"/>
          <w:sz w:val="16"/>
        </w:rPr>
        <w:t>cost of $17.2</w:t>
      </w:r>
      <w:r>
        <w:rPr>
          <w:rFonts w:ascii="Times New Roman" w:hAnsi="Times New Roman"/>
          <w:color w:val="000000"/>
          <w:sz w:val="20"/>
        </w:rPr>
        <w:t xml:space="preserve"> </w:t>
      </w:r>
      <w:r>
        <w:rPr>
          <w:rFonts w:ascii="Times New Roman" w:hAnsi="Times New Roman"/>
          <w:color w:val="000000"/>
          <w:sz w:val="16"/>
        </w:rPr>
        <w:t>million and an aggregate fair value of $12.8</w:t>
      </w:r>
      <w:r>
        <w:rPr>
          <w:rFonts w:ascii="Times New Roman" w:hAnsi="Times New Roman"/>
          <w:color w:val="000000"/>
          <w:sz w:val="20"/>
        </w:rPr>
        <w:t xml:space="preserve"> </w:t>
      </w:r>
      <w:r>
        <w:rPr>
          <w:rFonts w:ascii="Times New Roman" w:hAnsi="Times New Roman"/>
          <w:color w:val="000000"/>
          <w:sz w:val="16"/>
        </w:rPr>
        <w:t>million, which represented 8.7% and 6.8% of the investment portfolio, respectively.</w:t>
      </w:r>
    </w:p>
    <w:p>
      <w:pPr>
        <w:pStyle w:val="TextBody"/>
        <w:bidi w:val="0"/>
        <w:spacing w:before="120" w:after="283"/>
        <w:jc w:val="both"/>
        <w:rPr>
          <w:rFonts w:ascii="Times New Roman" w:hAnsi="Times New Roman"/>
          <w:sz w:val="20"/>
        </w:rPr>
      </w:pPr>
      <w:r>
        <w:rPr>
          <w:rFonts w:ascii="Times New Roman" w:hAnsi="Times New Roman"/>
          <w:i/>
          <w:color w:val="000000"/>
          <w:sz w:val="16"/>
        </w:rPr>
        <w:t xml:space="preserve">Gains and losses on investment sales: </w:t>
      </w:r>
      <w:r>
        <w:rPr>
          <w:rFonts w:ascii="Times New Roman" w:hAnsi="Times New Roman"/>
          <w:color w:val="000000"/>
          <w:sz w:val="16"/>
        </w:rPr>
        <w:t>Realized gains and losses on investments are recognized using the specific identification method.</w:t>
      </w:r>
    </w:p>
    <w:p>
      <w:pPr>
        <w:pStyle w:val="TextBody"/>
        <w:bidi w:val="0"/>
        <w:spacing w:before="120" w:after="283"/>
        <w:jc w:val="both"/>
        <w:rPr>
          <w:rFonts w:ascii="Times New Roman" w:hAnsi="Times New Roman"/>
          <w:sz w:val="20"/>
        </w:rPr>
      </w:pPr>
      <w:r>
        <w:rPr>
          <w:rFonts w:ascii="Times New Roman" w:hAnsi="Times New Roman"/>
          <w:i/>
          <w:color w:val="000000"/>
          <w:sz w:val="16"/>
        </w:rPr>
        <w:t xml:space="preserve">Dividend income and payment-in-kind dividends: </w:t>
      </w:r>
      <w:r>
        <w:rPr>
          <w:rFonts w:ascii="Times New Roman" w:hAnsi="Times New Roman"/>
          <w:color w:val="000000"/>
          <w:sz w:val="16"/>
        </w:rPr>
        <w:t>Dividend income is recognized on the date dividends are declared. The Company holds preferred equity investments in the portfolio that contain a PIK dividend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PIK dividends are more likely than not to be collected, management may elect to continue accruing PIK dividends.</w:t>
      </w:r>
    </w:p>
    <w:p>
      <w:pPr>
        <w:pStyle w:val="TextBody"/>
        <w:bidi w:val="0"/>
        <w:spacing w:before="120" w:after="283"/>
        <w:jc w:val="both"/>
        <w:rPr>
          <w:rFonts w:ascii="Times New Roman" w:hAnsi="Times New Roman"/>
          <w:sz w:val="20"/>
        </w:rPr>
      </w:pPr>
      <w:r>
        <w:rPr>
          <w:rFonts w:ascii="Times New Roman" w:hAnsi="Times New Roman"/>
          <w:i/>
          <w:color w:val="000000"/>
          <w:sz w:val="16"/>
        </w:rPr>
        <w:t xml:space="preserve">Original issue discount: </w:t>
      </w:r>
      <w:r>
        <w:rPr>
          <w:rFonts w:ascii="Times New Roman" w:hAnsi="Times New Roman"/>
          <w:color w:val="000000"/>
          <w:sz w:val="16"/>
        </w:rPr>
        <w:t>Discounts received to par on loans purchased are capitalized and accreted into income over the life of the loan. Any remaining discount is accreted into income upon prepayment of the loan.</w:t>
      </w:r>
    </w:p>
    <w:p>
      <w:pPr>
        <w:pStyle w:val="TextBody"/>
        <w:bidi w:val="0"/>
        <w:spacing w:before="120" w:after="283"/>
        <w:jc w:val="both"/>
        <w:rPr>
          <w:rFonts w:ascii="Times New Roman" w:hAnsi="Times New Roman"/>
          <w:sz w:val="20"/>
        </w:rPr>
      </w:pPr>
      <w:r>
        <w:rPr>
          <w:rFonts w:ascii="Times New Roman" w:hAnsi="Times New Roman"/>
          <w:i/>
          <w:color w:val="000000"/>
          <w:sz w:val="16"/>
        </w:rPr>
        <w:t xml:space="preserve">Other income: </w:t>
      </w:r>
      <w:r>
        <w:rPr>
          <w:rFonts w:ascii="Times New Roman" w:hAnsi="Times New Roman"/>
          <w:color w:val="000000"/>
          <w:sz w:val="16"/>
        </w:rPr>
        <w:t>Origination fees (to the extent services are performed to earn such income upon closing), amendment fees, consent fees, and other fees associated with investments in portfolio companies are recognized as income when they are earned. Prepayment penalties received by the Company for debt instruments repaid prior to maturity date are recorded as income upon receipt.</w:t>
      </w:r>
    </w:p>
    <w:p>
      <w:pPr>
        <w:pStyle w:val="TextBody"/>
        <w:bidi w:val="0"/>
        <w:spacing w:before="120" w:after="120"/>
        <w:jc w:val="left"/>
        <w:rPr>
          <w:rFonts w:ascii="Times New Roman" w:hAnsi="Times New Roman"/>
          <w:b/>
          <w:color w:val="000000"/>
          <w:sz w:val="16"/>
        </w:rPr>
      </w:pPr>
      <w:r>
        <w:rPr>
          <w:rFonts w:ascii="Times New Roman" w:hAnsi="Times New Roman"/>
          <w:b/>
          <w:color w:val="000000"/>
          <w:sz w:val="16"/>
        </w:rPr>
        <w:t>General and Administrative Expenses</w:t>
      </w:r>
    </w:p>
    <w:p>
      <w:pPr>
        <w:pStyle w:val="TextBody"/>
        <w:bidi w:val="0"/>
        <w:jc w:val="both"/>
        <w:rPr>
          <w:rFonts w:ascii="Times New Roman" w:hAnsi="Times New Roman"/>
          <w:color w:val="000000"/>
          <w:sz w:val="16"/>
        </w:rPr>
      </w:pPr>
      <w:r>
        <w:rPr>
          <w:rFonts w:ascii="Times New Roman" w:hAnsi="Times New Roman"/>
          <w:color w:val="000000"/>
          <w:sz w:val="16"/>
        </w:rPr>
        <w:t>General and administrative expenses are accrued as incurred. The Company’s administrative expenses include personnel and overhead expenses allocable to the Company paid by and reimbursed to the Administrator under an administration agreement between the Company and the Administrator (the “Administration Agreement”). Other operating expenses such as legal and audit fees and director and officer insurance are generally paid directly by the Company.</w:t>
      </w:r>
    </w:p>
    <w:p>
      <w:pPr>
        <w:pStyle w:val="TextBody"/>
        <w:bidi w:val="0"/>
        <w:spacing w:before="120" w:after="120"/>
        <w:jc w:val="left"/>
        <w:rPr>
          <w:rFonts w:ascii="Times New Roman" w:hAnsi="Times New Roman"/>
          <w:b/>
          <w:color w:val="000000"/>
          <w:sz w:val="16"/>
        </w:rPr>
      </w:pPr>
      <w:r>
        <w:rPr>
          <w:rFonts w:ascii="Times New Roman" w:hAnsi="Times New Roman"/>
          <w:b/>
          <w:color w:val="000000"/>
          <w:sz w:val="16"/>
        </w:rPr>
        <w:t>Deferred Financing Fees</w:t>
      </w:r>
    </w:p>
    <w:p>
      <w:pPr>
        <w:pStyle w:val="TextBody"/>
        <w:bidi w:val="0"/>
        <w:jc w:val="both"/>
        <w:rPr>
          <w:rFonts w:ascii="Times New Roman" w:hAnsi="Times New Roman"/>
          <w:color w:val="000000"/>
          <w:sz w:val="16"/>
        </w:rPr>
      </w:pPr>
      <w:r>
        <w:rPr>
          <w:rFonts w:ascii="Times New Roman" w:hAnsi="Times New Roman"/>
          <w:color w:val="000000"/>
          <w:sz w:val="16"/>
        </w:rPr>
        <w:t>Costs incurred to issue the Company’s debt obligations are capitalized and are amortized over the term of the debt agreements under the effective interest method. Deferred financing fees are presented as a direct deduction from the carrying amount of the corresponding debt liability in the consolidated statements of assets and liabilities.</w:t>
      </w:r>
    </w:p>
    <w:p>
      <w:pPr>
        <w:pStyle w:val="TextBody"/>
        <w:bidi w:val="0"/>
        <w:spacing w:before="120" w:after="120"/>
        <w:jc w:val="both"/>
        <w:rPr>
          <w:rFonts w:ascii="Times New Roman" w:hAnsi="Times New Roman"/>
          <w:sz w:val="20"/>
        </w:rPr>
      </w:pPr>
      <w:r>
        <w:rPr>
          <w:rFonts w:ascii="Times New Roman" w:hAnsi="Times New Roman"/>
          <w:b/>
          <w:color w:val="000000"/>
          <w:sz w:val="16"/>
        </w:rPr>
        <w:t>Earnings Per Share</w:t>
      </w:r>
      <w:r>
        <w:rPr>
          <w:rFonts w:ascii="Times New Roman" w:hAnsi="Times New Roman"/>
          <w:color w:val="000000"/>
          <w:sz w:val="20"/>
        </w:rPr>
        <w:t xml:space="preserve"> </w:t>
      </w:r>
    </w:p>
    <w:p>
      <w:pPr>
        <w:pStyle w:val="TextBody"/>
        <w:bidi w:val="0"/>
        <w:jc w:val="both"/>
        <w:rPr>
          <w:rFonts w:ascii="Times New Roman" w:hAnsi="Times New Roman"/>
          <w:color w:val="000000"/>
          <w:sz w:val="16"/>
        </w:rPr>
      </w:pPr>
      <w:r>
        <w:rPr>
          <w:rFonts w:ascii="Times New Roman" w:hAnsi="Times New Roman"/>
          <w:color w:val="000000"/>
          <w:sz w:val="16"/>
        </w:rPr>
        <w:t>The Company’s earnings per share (“EPS”) amounts have been computed based on the weighted-average number of shares of the Company’s common stock outstanding for the period. Basic EPS is computed by dividing net increase (decrease) in net assets resulting from operations by the weighted average number of shares of the Company’s common stock outstanding during the period of computation. Diluted EPS is computed by dividing net increase (decrease) in net assets resulting from operations, adjusted for the change in net assets resulting from the exercise of the dilutive shares, by the weighted average number of shares of the Company’s common stock assuming all potentially dilutive shares had been issued. Diluted EPS reflects the potential dilution, using the as-if-converted method for convertible debt, which could occur if all potentially dilutive securities were exercised.</w:t>
      </w:r>
    </w:p>
    <w:p>
      <w:pPr>
        <w:pStyle w:val="TextBody"/>
        <w:bidi w:val="0"/>
        <w:spacing w:before="120" w:after="120"/>
        <w:jc w:val="left"/>
        <w:rPr>
          <w:rFonts w:ascii="Times New Roman" w:hAnsi="Times New Roman"/>
          <w:b/>
          <w:color w:val="000000"/>
          <w:sz w:val="16"/>
        </w:rPr>
      </w:pPr>
      <w:r>
        <w:rPr>
          <w:rFonts w:ascii="Times New Roman" w:hAnsi="Times New Roman"/>
          <w:b/>
          <w:color w:val="000000"/>
          <w:sz w:val="16"/>
        </w:rPr>
        <w:t>Commitments and Contingencies</w:t>
      </w:r>
    </w:p>
    <w:p>
      <w:pPr>
        <w:pStyle w:val="TextBody"/>
        <w:bidi w:val="0"/>
        <w:jc w:val="both"/>
        <w:rPr>
          <w:rFonts w:ascii="Times New Roman" w:hAnsi="Times New Roman"/>
          <w:color w:val="000000"/>
          <w:sz w:val="16"/>
        </w:rPr>
      </w:pPr>
      <w:r>
        <w:rPr>
          <w:rFonts w:ascii="Times New Roman" w:hAnsi="Times New Roman"/>
          <w:color w:val="000000"/>
          <w:sz w:val="16"/>
        </w:rPr>
        <w:t>As of June 30, 2024 and December 31, 2023, the Company had the following unfunded commitments to existing portfolio companies (dollars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444"/>
        <w:gridCol w:w="2826"/>
        <w:gridCol w:w="196"/>
        <w:gridCol w:w="159"/>
        <w:gridCol w:w="558"/>
        <w:gridCol w:w="146"/>
        <w:gridCol w:w="196"/>
        <w:gridCol w:w="328"/>
        <w:gridCol w:w="1157"/>
        <w:gridCol w:w="195"/>
      </w:tblGrid>
      <w:tr>
        <w:trPr/>
        <w:tc>
          <w:tcPr>
            <w:tcW w:w="4444"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Portfolio Company</w:t>
            </w:r>
          </w:p>
        </w:tc>
        <w:tc>
          <w:tcPr>
            <w:tcW w:w="2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Accordion Partners LLC (Revolver)</w:t>
            </w:r>
          </w:p>
        </w:tc>
        <w:tc>
          <w:tcPr>
            <w:tcW w:w="282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9" w:type="dxa"/>
            <w:tcBorders/>
            <w:shd w:fill="CFF0FC" w:val="clear"/>
            <w:vAlign w:val="center"/>
          </w:tcPr>
          <w:p>
            <w:pPr>
              <w:pStyle w:val="TableContents"/>
              <w:bidi w:val="0"/>
              <w:spacing w:before="0" w:after="283"/>
              <w:jc w:val="left"/>
              <w:rPr/>
            </w:pPr>
            <w:r>
              <w:rPr/>
              <w:t> </w:t>
            </w:r>
          </w:p>
        </w:tc>
        <w:tc>
          <w:tcPr>
            <w:tcW w:w="55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765</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328" w:type="dxa"/>
            <w:tcBorders/>
            <w:shd w:fill="CFF0FC" w:val="clear"/>
            <w:vAlign w:val="center"/>
          </w:tcPr>
          <w:p>
            <w:pPr>
              <w:pStyle w:val="TableContents"/>
              <w:bidi w:val="0"/>
              <w:spacing w:before="0" w:after="283"/>
              <w:jc w:val="left"/>
              <w:rPr/>
            </w:pPr>
            <w:r>
              <w:rPr/>
              <w:t> </w:t>
            </w:r>
          </w:p>
        </w:tc>
        <w:tc>
          <w:tcPr>
            <w:tcW w:w="115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1,531</w:t>
            </w:r>
          </w:p>
        </w:tc>
        <w:tc>
          <w:tcPr>
            <w:tcW w:w="195" w:type="dxa"/>
            <w:tcBorders/>
            <w:shd w:fill="CFF0FC" w:val="clear"/>
            <w:vAlign w:val="center"/>
          </w:tcPr>
          <w:p>
            <w:pPr>
              <w:pStyle w:val="TableContents"/>
              <w:bidi w:val="0"/>
              <w:spacing w:before="0" w:after="283"/>
              <w:jc w:val="left"/>
              <w:rPr/>
            </w:pPr>
            <w:r>
              <w:rPr/>
              <w:t> </w:t>
            </w:r>
          </w:p>
        </w:tc>
      </w:tr>
      <w:tr>
        <w:trPr/>
        <w:tc>
          <w:tcPr>
            <w:tcW w:w="4444"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American Clinical Solutions, LLC</w:t>
            </w:r>
            <w:r>
              <w:rPr>
                <w:rFonts w:ascii="Times New Roman" w:hAnsi="Times New Roman"/>
                <w:color w:val="000000"/>
                <w:sz w:val="11"/>
              </w:rPr>
              <w:t>(1)</w:t>
            </w:r>
          </w:p>
        </w:tc>
        <w:tc>
          <w:tcPr>
            <w:tcW w:w="282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FFFFFF" w:val="clear"/>
            <w:vAlign w:val="center"/>
          </w:tcPr>
          <w:p>
            <w:pPr>
              <w:pStyle w:val="TableContents"/>
              <w:bidi w:val="0"/>
              <w:spacing w:before="0" w:after="283"/>
              <w:jc w:val="righ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c>
          <w:tcPr>
            <w:tcW w:w="328"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95" w:type="dxa"/>
            <w:tcBorders/>
            <w:shd w:fill="FFFFFF" w:val="clear"/>
            <w:vAlign w:val="center"/>
          </w:tcPr>
          <w:p>
            <w:pPr>
              <w:pStyle w:val="TableContents"/>
              <w:bidi w:val="0"/>
              <w:spacing w:before="0" w:after="283"/>
              <w:jc w:val="left"/>
              <w:rPr/>
            </w:pPr>
            <w:r>
              <w:rPr/>
              <w:t> </w:t>
            </w:r>
          </w:p>
        </w:tc>
      </w:tr>
      <w:tr>
        <w:trPr/>
        <w:tc>
          <w:tcPr>
            <w:tcW w:w="444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BetaNXT, Inc. (Revolver)</w:t>
            </w:r>
          </w:p>
        </w:tc>
        <w:tc>
          <w:tcPr>
            <w:tcW w:w="282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55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328" w:type="dxa"/>
            <w:tcBorders/>
            <w:shd w:fill="CFF0FC" w:val="clear"/>
            <w:vAlign w:val="center"/>
          </w:tcPr>
          <w:p>
            <w:pPr>
              <w:pStyle w:val="TableContents"/>
              <w:bidi w:val="0"/>
              <w:spacing w:before="0" w:after="283"/>
              <w:jc w:val="left"/>
              <w:rPr/>
            </w:pPr>
            <w:r>
              <w:rPr/>
              <w:t> </w:t>
            </w:r>
          </w:p>
        </w:tc>
        <w:tc>
          <w:tcPr>
            <w:tcW w:w="115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w:t>
            </w:r>
          </w:p>
        </w:tc>
        <w:tc>
          <w:tcPr>
            <w:tcW w:w="195" w:type="dxa"/>
            <w:tcBorders/>
            <w:shd w:fill="CFF0FC" w:val="clear"/>
            <w:vAlign w:val="center"/>
          </w:tcPr>
          <w:p>
            <w:pPr>
              <w:pStyle w:val="TableContents"/>
              <w:bidi w:val="0"/>
              <w:spacing w:before="0" w:after="283"/>
              <w:jc w:val="left"/>
              <w:rPr/>
            </w:pPr>
            <w:r>
              <w:rPr/>
              <w:t> </w:t>
            </w:r>
          </w:p>
        </w:tc>
      </w:tr>
      <w:tr>
        <w:trPr/>
        <w:tc>
          <w:tcPr>
            <w:tcW w:w="444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Bradshaw International, Inc. (Revolver)</w:t>
            </w:r>
          </w:p>
        </w:tc>
        <w:tc>
          <w:tcPr>
            <w:tcW w:w="282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328"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w:t>
            </w:r>
          </w:p>
        </w:tc>
        <w:tc>
          <w:tcPr>
            <w:tcW w:w="195" w:type="dxa"/>
            <w:tcBorders/>
            <w:shd w:fill="FFFFFF" w:val="clear"/>
            <w:vAlign w:val="center"/>
          </w:tcPr>
          <w:p>
            <w:pPr>
              <w:pStyle w:val="TableContents"/>
              <w:bidi w:val="0"/>
              <w:spacing w:before="0" w:after="283"/>
              <w:jc w:val="left"/>
              <w:rPr/>
            </w:pPr>
            <w:r>
              <w:rPr/>
              <w:t> </w:t>
            </w:r>
          </w:p>
        </w:tc>
      </w:tr>
      <w:tr>
        <w:trPr/>
        <w:tc>
          <w:tcPr>
            <w:tcW w:w="444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Critical Nurse Staffing, LLC (Revolver)</w:t>
            </w:r>
          </w:p>
        </w:tc>
        <w:tc>
          <w:tcPr>
            <w:tcW w:w="282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55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328" w:type="dxa"/>
            <w:tcBorders/>
            <w:shd w:fill="CFF0FC" w:val="clear"/>
            <w:vAlign w:val="center"/>
          </w:tcPr>
          <w:p>
            <w:pPr>
              <w:pStyle w:val="TableContents"/>
              <w:bidi w:val="0"/>
              <w:spacing w:before="0" w:after="283"/>
              <w:jc w:val="left"/>
              <w:rPr/>
            </w:pPr>
            <w:r>
              <w:rPr/>
              <w:t> </w:t>
            </w:r>
          </w:p>
        </w:tc>
        <w:tc>
          <w:tcPr>
            <w:tcW w:w="115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95" w:type="dxa"/>
            <w:tcBorders/>
            <w:shd w:fill="CFF0FC" w:val="clear"/>
            <w:vAlign w:val="center"/>
          </w:tcPr>
          <w:p>
            <w:pPr>
              <w:pStyle w:val="TableContents"/>
              <w:bidi w:val="0"/>
              <w:spacing w:before="0" w:after="283"/>
              <w:jc w:val="left"/>
              <w:rPr/>
            </w:pPr>
            <w:r>
              <w:rPr/>
              <w:t> </w:t>
            </w:r>
          </w:p>
        </w:tc>
      </w:tr>
      <w:tr>
        <w:trPr/>
        <w:tc>
          <w:tcPr>
            <w:tcW w:w="4444"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Dentive, LLC</w:t>
            </w:r>
            <w:r>
              <w:rPr>
                <w:rFonts w:ascii="Times New Roman" w:hAnsi="Times New Roman"/>
                <w:color w:val="000000"/>
                <w:sz w:val="11"/>
              </w:rPr>
              <w:t>(1)</w:t>
            </w:r>
          </w:p>
        </w:tc>
        <w:tc>
          <w:tcPr>
            <w:tcW w:w="282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FFFFFF" w:val="clear"/>
            <w:vAlign w:val="center"/>
          </w:tcPr>
          <w:p>
            <w:pPr>
              <w:pStyle w:val="TableContents"/>
              <w:bidi w:val="0"/>
              <w:spacing w:before="0" w:after="283"/>
              <w:jc w:val="righ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c>
          <w:tcPr>
            <w:tcW w:w="328"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w:t>
            </w:r>
          </w:p>
        </w:tc>
        <w:tc>
          <w:tcPr>
            <w:tcW w:w="195" w:type="dxa"/>
            <w:tcBorders/>
            <w:shd w:fill="FFFFFF" w:val="clear"/>
            <w:vAlign w:val="center"/>
          </w:tcPr>
          <w:p>
            <w:pPr>
              <w:pStyle w:val="TableContents"/>
              <w:bidi w:val="0"/>
              <w:spacing w:before="0" w:after="283"/>
              <w:jc w:val="left"/>
              <w:rPr/>
            </w:pPr>
            <w:r>
              <w:rPr/>
              <w:t> </w:t>
            </w:r>
          </w:p>
        </w:tc>
      </w:tr>
      <w:tr>
        <w:trPr/>
        <w:tc>
          <w:tcPr>
            <w:tcW w:w="444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Dentive, LLC (Revolver)</w:t>
            </w:r>
          </w:p>
        </w:tc>
        <w:tc>
          <w:tcPr>
            <w:tcW w:w="282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55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328" w:type="dxa"/>
            <w:tcBorders/>
            <w:shd w:fill="CFF0FC" w:val="clear"/>
            <w:vAlign w:val="center"/>
          </w:tcPr>
          <w:p>
            <w:pPr>
              <w:pStyle w:val="TableContents"/>
              <w:bidi w:val="0"/>
              <w:spacing w:before="0" w:after="283"/>
              <w:jc w:val="left"/>
              <w:rPr/>
            </w:pPr>
            <w:r>
              <w:rPr/>
              <w:t> </w:t>
            </w:r>
          </w:p>
        </w:tc>
        <w:tc>
          <w:tcPr>
            <w:tcW w:w="115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w:t>
            </w:r>
          </w:p>
        </w:tc>
        <w:tc>
          <w:tcPr>
            <w:tcW w:w="195" w:type="dxa"/>
            <w:tcBorders/>
            <w:shd w:fill="CFF0FC" w:val="clear"/>
            <w:vAlign w:val="center"/>
          </w:tcPr>
          <w:p>
            <w:pPr>
              <w:pStyle w:val="TableContents"/>
              <w:bidi w:val="0"/>
              <w:spacing w:before="0" w:after="283"/>
              <w:jc w:val="left"/>
              <w:rPr/>
            </w:pPr>
            <w:r>
              <w:rPr/>
              <w:t> </w:t>
            </w:r>
          </w:p>
        </w:tc>
      </w:tr>
      <w:tr>
        <w:trPr/>
        <w:tc>
          <w:tcPr>
            <w:tcW w:w="4444"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Fortis Payment Systems, LLC</w:t>
            </w:r>
            <w:r>
              <w:rPr>
                <w:rFonts w:ascii="Times New Roman" w:hAnsi="Times New Roman"/>
                <w:color w:val="000000"/>
                <w:sz w:val="11"/>
              </w:rPr>
              <w:t>(1)</w:t>
            </w:r>
          </w:p>
        </w:tc>
        <w:tc>
          <w:tcPr>
            <w:tcW w:w="282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85"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5" w:type="dxa"/>
            <w:tcBorders/>
            <w:shd w:fill="FFFFFF" w:val="clear"/>
            <w:vAlign w:val="center"/>
          </w:tcPr>
          <w:p>
            <w:pPr>
              <w:pStyle w:val="TableContents"/>
              <w:bidi w:val="0"/>
              <w:spacing w:before="0" w:after="283"/>
              <w:jc w:val="right"/>
              <w:rPr/>
            </w:pPr>
            <w:r>
              <w:rPr/>
              <w:t> </w:t>
            </w:r>
          </w:p>
        </w:tc>
      </w:tr>
      <w:tr>
        <w:trPr/>
        <w:tc>
          <w:tcPr>
            <w:tcW w:w="444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Great Lakes Funding II LLC - Series A</w:t>
            </w:r>
          </w:p>
        </w:tc>
        <w:tc>
          <w:tcPr>
            <w:tcW w:w="282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Joint Venture</w:t>
            </w:r>
          </w:p>
        </w:tc>
        <w:tc>
          <w:tcPr>
            <w:tcW w:w="196"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55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328" w:type="dxa"/>
            <w:tcBorders/>
            <w:shd w:fill="CFF0FC" w:val="clear"/>
            <w:vAlign w:val="center"/>
          </w:tcPr>
          <w:p>
            <w:pPr>
              <w:pStyle w:val="TableContents"/>
              <w:bidi w:val="0"/>
              <w:spacing w:before="0" w:after="283"/>
              <w:jc w:val="left"/>
              <w:rPr/>
            </w:pPr>
            <w:r>
              <w:rPr/>
              <w:t> </w:t>
            </w:r>
          </w:p>
        </w:tc>
        <w:tc>
          <w:tcPr>
            <w:tcW w:w="115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95" w:type="dxa"/>
            <w:tcBorders/>
            <w:shd w:fill="CFF0FC" w:val="clear"/>
            <w:vAlign w:val="center"/>
          </w:tcPr>
          <w:p>
            <w:pPr>
              <w:pStyle w:val="TableContents"/>
              <w:bidi w:val="0"/>
              <w:spacing w:before="0" w:after="283"/>
              <w:jc w:val="left"/>
              <w:rPr/>
            </w:pPr>
            <w:r>
              <w:rPr/>
              <w:t> </w:t>
            </w:r>
          </w:p>
        </w:tc>
      </w:tr>
      <w:tr>
        <w:trPr/>
        <w:tc>
          <w:tcPr>
            <w:tcW w:w="444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GreenPark Infrastructure, LLC - Series M-1</w:t>
            </w:r>
          </w:p>
        </w:tc>
        <w:tc>
          <w:tcPr>
            <w:tcW w:w="282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Common Stock and Membership Units</w:t>
            </w:r>
          </w:p>
        </w:tc>
        <w:tc>
          <w:tcPr>
            <w:tcW w:w="196"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328"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w:t>
            </w:r>
          </w:p>
        </w:tc>
        <w:tc>
          <w:tcPr>
            <w:tcW w:w="195" w:type="dxa"/>
            <w:tcBorders/>
            <w:shd w:fill="FFFFFF" w:val="clear"/>
            <w:vAlign w:val="center"/>
          </w:tcPr>
          <w:p>
            <w:pPr>
              <w:pStyle w:val="TableContents"/>
              <w:bidi w:val="0"/>
              <w:spacing w:before="0" w:after="283"/>
              <w:jc w:val="left"/>
              <w:rPr/>
            </w:pPr>
            <w:r>
              <w:rPr/>
              <w:t> </w:t>
            </w:r>
          </w:p>
        </w:tc>
      </w:tr>
      <w:tr>
        <w:trPr/>
        <w:tc>
          <w:tcPr>
            <w:tcW w:w="4444"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IDC Infusion Services, LLC</w:t>
            </w:r>
            <w:r>
              <w:rPr>
                <w:rFonts w:ascii="Times New Roman" w:hAnsi="Times New Roman"/>
                <w:color w:val="000000"/>
                <w:sz w:val="11"/>
              </w:rPr>
              <w:t>(1)</w:t>
            </w:r>
          </w:p>
        </w:tc>
        <w:tc>
          <w:tcPr>
            <w:tcW w:w="282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55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798</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328" w:type="dxa"/>
            <w:tcBorders/>
            <w:shd w:fill="CFF0FC" w:val="clear"/>
            <w:vAlign w:val="center"/>
          </w:tcPr>
          <w:p>
            <w:pPr>
              <w:pStyle w:val="TableContents"/>
              <w:bidi w:val="0"/>
              <w:spacing w:before="0" w:after="283"/>
              <w:jc w:val="left"/>
              <w:rPr/>
            </w:pPr>
            <w:r>
              <w:rPr/>
              <w:t> </w:t>
            </w:r>
          </w:p>
        </w:tc>
        <w:tc>
          <w:tcPr>
            <w:tcW w:w="115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799</w:t>
            </w:r>
          </w:p>
        </w:tc>
        <w:tc>
          <w:tcPr>
            <w:tcW w:w="195" w:type="dxa"/>
            <w:tcBorders/>
            <w:shd w:fill="CFF0FC" w:val="clear"/>
            <w:vAlign w:val="center"/>
          </w:tcPr>
          <w:p>
            <w:pPr>
              <w:pStyle w:val="TableContents"/>
              <w:bidi w:val="0"/>
              <w:spacing w:before="0" w:after="283"/>
              <w:jc w:val="left"/>
              <w:rPr/>
            </w:pPr>
            <w:r>
              <w:rPr/>
              <w:t> </w:t>
            </w:r>
          </w:p>
        </w:tc>
      </w:tr>
      <w:tr>
        <w:trPr/>
        <w:tc>
          <w:tcPr>
            <w:tcW w:w="444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Morae Global Corporation (Revolver)</w:t>
            </w:r>
          </w:p>
        </w:tc>
        <w:tc>
          <w:tcPr>
            <w:tcW w:w="282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328"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w:t>
            </w:r>
          </w:p>
        </w:tc>
        <w:tc>
          <w:tcPr>
            <w:tcW w:w="195" w:type="dxa"/>
            <w:tcBorders/>
            <w:shd w:fill="FFFFFF" w:val="clear"/>
            <w:vAlign w:val="center"/>
          </w:tcPr>
          <w:p>
            <w:pPr>
              <w:pStyle w:val="TableContents"/>
              <w:bidi w:val="0"/>
              <w:spacing w:before="0" w:after="283"/>
              <w:jc w:val="left"/>
              <w:rPr/>
            </w:pPr>
            <w:r>
              <w:rPr/>
              <w:t> </w:t>
            </w:r>
          </w:p>
        </w:tc>
      </w:tr>
      <w:tr>
        <w:trPr/>
        <w:tc>
          <w:tcPr>
            <w:tcW w:w="4444"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Orthopaedic (ITC) Buyer, LLC</w:t>
            </w:r>
            <w:r>
              <w:rPr>
                <w:rFonts w:ascii="Times New Roman" w:hAnsi="Times New Roman"/>
                <w:color w:val="000000"/>
                <w:sz w:val="11"/>
              </w:rPr>
              <w:t>(1)</w:t>
            </w:r>
          </w:p>
        </w:tc>
        <w:tc>
          <w:tcPr>
            <w:tcW w:w="282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55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328" w:type="dxa"/>
            <w:tcBorders/>
            <w:shd w:fill="CFF0FC" w:val="clear"/>
            <w:vAlign w:val="center"/>
          </w:tcPr>
          <w:p>
            <w:pPr>
              <w:pStyle w:val="TableContents"/>
              <w:bidi w:val="0"/>
              <w:spacing w:before="0" w:after="283"/>
              <w:jc w:val="left"/>
              <w:rPr/>
            </w:pPr>
            <w:r>
              <w:rPr/>
              <w:t> </w:t>
            </w:r>
          </w:p>
        </w:tc>
        <w:tc>
          <w:tcPr>
            <w:tcW w:w="115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w:t>
            </w:r>
          </w:p>
        </w:tc>
        <w:tc>
          <w:tcPr>
            <w:tcW w:w="195" w:type="dxa"/>
            <w:tcBorders/>
            <w:shd w:fill="CFF0FC" w:val="clear"/>
            <w:vAlign w:val="center"/>
          </w:tcPr>
          <w:p>
            <w:pPr>
              <w:pStyle w:val="TableContents"/>
              <w:bidi w:val="0"/>
              <w:spacing w:before="0" w:after="283"/>
              <w:jc w:val="left"/>
              <w:rPr/>
            </w:pPr>
            <w:r>
              <w:rPr/>
              <w:t> </w:t>
            </w:r>
          </w:p>
        </w:tc>
      </w:tr>
      <w:tr>
        <w:trPr/>
        <w:tc>
          <w:tcPr>
            <w:tcW w:w="4444"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PhyNet Dermatology LLC</w:t>
            </w:r>
            <w:r>
              <w:rPr>
                <w:rFonts w:ascii="Times New Roman" w:hAnsi="Times New Roman"/>
                <w:color w:val="000000"/>
                <w:sz w:val="11"/>
              </w:rPr>
              <w:t>(1)</w:t>
            </w:r>
          </w:p>
        </w:tc>
        <w:tc>
          <w:tcPr>
            <w:tcW w:w="282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328"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w:t>
            </w:r>
          </w:p>
        </w:tc>
        <w:tc>
          <w:tcPr>
            <w:tcW w:w="195" w:type="dxa"/>
            <w:tcBorders/>
            <w:shd w:fill="FFFFFF" w:val="clear"/>
            <w:vAlign w:val="center"/>
          </w:tcPr>
          <w:p>
            <w:pPr>
              <w:pStyle w:val="TableContents"/>
              <w:bidi w:val="0"/>
              <w:spacing w:before="0" w:after="283"/>
              <w:jc w:val="left"/>
              <w:rPr/>
            </w:pPr>
            <w:r>
              <w:rPr/>
              <w:t> </w:t>
            </w:r>
          </w:p>
        </w:tc>
      </w:tr>
      <w:tr>
        <w:trPr/>
        <w:tc>
          <w:tcPr>
            <w:tcW w:w="4444"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Riddell, Inc.</w:t>
            </w:r>
            <w:r>
              <w:rPr>
                <w:rFonts w:ascii="Times New Roman" w:hAnsi="Times New Roman"/>
                <w:color w:val="000000"/>
                <w:sz w:val="11"/>
              </w:rPr>
              <w:t>(1)</w:t>
            </w:r>
          </w:p>
        </w:tc>
        <w:tc>
          <w:tcPr>
            <w:tcW w:w="282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55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85"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5" w:type="dxa"/>
            <w:tcBorders/>
            <w:shd w:fill="CFF0FC" w:val="clear"/>
            <w:vAlign w:val="center"/>
          </w:tcPr>
          <w:p>
            <w:pPr>
              <w:pStyle w:val="TableContents"/>
              <w:bidi w:val="0"/>
              <w:spacing w:before="0" w:after="283"/>
              <w:jc w:val="right"/>
              <w:rPr/>
            </w:pPr>
            <w:r>
              <w:rPr/>
              <w:t> </w:t>
            </w:r>
          </w:p>
        </w:tc>
      </w:tr>
      <w:tr>
        <w:trPr/>
        <w:tc>
          <w:tcPr>
            <w:tcW w:w="4444"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Tactical Air Support, Inc.</w:t>
            </w:r>
            <w:r>
              <w:rPr>
                <w:rFonts w:ascii="Times New Roman" w:hAnsi="Times New Roman"/>
                <w:color w:val="000000"/>
                <w:sz w:val="11"/>
              </w:rPr>
              <w:t>(1)</w:t>
            </w:r>
          </w:p>
        </w:tc>
        <w:tc>
          <w:tcPr>
            <w:tcW w:w="282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328"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w:t>
            </w:r>
          </w:p>
        </w:tc>
        <w:tc>
          <w:tcPr>
            <w:tcW w:w="195" w:type="dxa"/>
            <w:tcBorders/>
            <w:shd w:fill="FFFFFF" w:val="clear"/>
            <w:vAlign w:val="center"/>
          </w:tcPr>
          <w:p>
            <w:pPr>
              <w:pStyle w:val="TableContents"/>
              <w:bidi w:val="0"/>
              <w:spacing w:before="0" w:after="283"/>
              <w:jc w:val="left"/>
              <w:rPr/>
            </w:pPr>
            <w:r>
              <w:rPr/>
              <w:t> </w:t>
            </w:r>
          </w:p>
        </w:tc>
      </w:tr>
      <w:tr>
        <w:trPr/>
        <w:tc>
          <w:tcPr>
            <w:tcW w:w="444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Taoglas Group Holdings Limited (Revolver)</w:t>
            </w:r>
          </w:p>
        </w:tc>
        <w:tc>
          <w:tcPr>
            <w:tcW w:w="282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55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328" w:type="dxa"/>
            <w:tcBorders/>
            <w:shd w:fill="CFF0FC" w:val="clear"/>
            <w:vAlign w:val="center"/>
          </w:tcPr>
          <w:p>
            <w:pPr>
              <w:pStyle w:val="TableContents"/>
              <w:bidi w:val="0"/>
              <w:spacing w:before="0" w:after="283"/>
              <w:jc w:val="left"/>
              <w:rPr/>
            </w:pPr>
            <w:r>
              <w:rPr/>
              <w:t> </w:t>
            </w:r>
          </w:p>
        </w:tc>
        <w:tc>
          <w:tcPr>
            <w:tcW w:w="115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w:t>
            </w:r>
          </w:p>
        </w:tc>
        <w:tc>
          <w:tcPr>
            <w:tcW w:w="195" w:type="dxa"/>
            <w:tcBorders/>
            <w:shd w:fill="CFF0FC" w:val="clear"/>
            <w:vAlign w:val="center"/>
          </w:tcPr>
          <w:p>
            <w:pPr>
              <w:pStyle w:val="TableContents"/>
              <w:bidi w:val="0"/>
              <w:spacing w:before="0" w:after="283"/>
              <w:jc w:val="left"/>
              <w:rPr/>
            </w:pPr>
            <w:r>
              <w:rPr/>
              <w:t> </w:t>
            </w:r>
          </w:p>
        </w:tc>
      </w:tr>
      <w:tr>
        <w:trPr/>
        <w:tc>
          <w:tcPr>
            <w:tcW w:w="4444"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VBC Spine Opco, LLC (DxTx Pain and Spine LLC)</w:t>
            </w:r>
            <w:r>
              <w:rPr>
                <w:rFonts w:ascii="Times New Roman" w:hAnsi="Times New Roman"/>
                <w:color w:val="000000"/>
                <w:sz w:val="11"/>
              </w:rPr>
              <w:t>(1)</w:t>
            </w:r>
          </w:p>
        </w:tc>
        <w:tc>
          <w:tcPr>
            <w:tcW w:w="282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328"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713</w:t>
            </w:r>
          </w:p>
        </w:tc>
        <w:tc>
          <w:tcPr>
            <w:tcW w:w="195" w:type="dxa"/>
            <w:tcBorders/>
            <w:shd w:fill="FFFFFF" w:val="clear"/>
            <w:vAlign w:val="center"/>
          </w:tcPr>
          <w:p>
            <w:pPr>
              <w:pStyle w:val="TableContents"/>
              <w:bidi w:val="0"/>
              <w:spacing w:before="0" w:after="283"/>
              <w:jc w:val="left"/>
              <w:rPr/>
            </w:pPr>
            <w:r>
              <w:rPr/>
              <w:t> </w:t>
            </w:r>
          </w:p>
        </w:tc>
      </w:tr>
      <w:tr>
        <w:trPr/>
        <w:tc>
          <w:tcPr>
            <w:tcW w:w="444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VBC Spine Opco, LLC (DxTx Pain and Spine LLC) (Revolver)</w:t>
            </w:r>
          </w:p>
        </w:tc>
        <w:tc>
          <w:tcPr>
            <w:tcW w:w="282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55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328" w:type="dxa"/>
            <w:tcBorders/>
            <w:shd w:fill="CFF0FC" w:val="clear"/>
            <w:vAlign w:val="center"/>
          </w:tcPr>
          <w:p>
            <w:pPr>
              <w:pStyle w:val="TableContents"/>
              <w:bidi w:val="0"/>
              <w:spacing w:before="0" w:after="283"/>
              <w:jc w:val="left"/>
              <w:rPr/>
            </w:pPr>
            <w:r>
              <w:rPr/>
              <w:t> </w:t>
            </w:r>
          </w:p>
        </w:tc>
        <w:tc>
          <w:tcPr>
            <w:tcW w:w="115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195" w:type="dxa"/>
            <w:tcBorders/>
            <w:shd w:fill="CFF0FC" w:val="clear"/>
            <w:vAlign w:val="center"/>
          </w:tcPr>
          <w:p>
            <w:pPr>
              <w:pStyle w:val="TableContents"/>
              <w:bidi w:val="0"/>
              <w:spacing w:before="0" w:after="283"/>
              <w:jc w:val="left"/>
              <w:rPr/>
            </w:pPr>
            <w:r>
              <w:rPr/>
              <w:t> </w:t>
            </w:r>
          </w:p>
        </w:tc>
      </w:tr>
      <w:tr>
        <w:trPr/>
        <w:tc>
          <w:tcPr>
            <w:tcW w:w="444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Wealth Enhancement Group, LLC (Revolver)</w:t>
            </w:r>
          </w:p>
        </w:tc>
        <w:tc>
          <w:tcPr>
            <w:tcW w:w="282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4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Unfunded Commitments</w:t>
            </w:r>
          </w:p>
        </w:tc>
        <w:tc>
          <w:tcPr>
            <w:tcW w:w="282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9,173</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pBdr>
          <w:top w:val="single" w:sz="6" w:space="1" w:color="000000"/>
        </w:pBdr>
        <w:bidi w:val="0"/>
        <w:jc w:val="both"/>
        <w:rPr/>
      </w:pPr>
      <w:r>
        <w:rPr/>
        <w:t> </w:t>
      </w:r>
    </w:p>
    <w:p>
      <w:pPr>
        <w:pStyle w:val="TextBody"/>
        <w:bidi w:val="0"/>
        <w:jc w:val="both"/>
        <w:rPr>
          <w:rFonts w:ascii="Times New Roman" w:hAnsi="Times New Roman"/>
          <w:sz w:val="20"/>
        </w:rPr>
      </w:pPr>
      <w:r>
        <w:rPr>
          <w:rFonts w:ascii="Times New Roman" w:hAnsi="Times New Roman"/>
          <w:color w:val="000000"/>
          <w:sz w:val="11"/>
        </w:rPr>
        <w:t>(1)</w:t>
      </w:r>
      <w:r>
        <w:rPr>
          <w:rFonts w:ascii="Times New Roman" w:hAnsi="Times New Roman"/>
          <w:color w:val="000000"/>
          <w:sz w:val="20"/>
        </w:rPr>
        <w:t xml:space="preserve"> </w:t>
      </w:r>
      <w:r>
        <w:rPr>
          <w:rFonts w:ascii="Times New Roman" w:hAnsi="Times New Roman"/>
          <w:color w:val="000000"/>
          <w:sz w:val="16"/>
        </w:rPr>
        <w:t>Delayed-draw term loan.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June 30, 2024</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the ordinary course of business, the Company may enter into contracts or agreements that contain indemnifications or warranties. Future events could occur that could lead to the execution of these provisions against the Company. Based on its history and experience, management believes that the likelihood of such an event is remote.</w:t>
      </w:r>
    </w:p>
    <w:p>
      <w:pPr>
        <w:pStyle w:val="TextBody"/>
        <w:bidi w:val="0"/>
        <w:spacing w:before="120" w:after="283"/>
        <w:jc w:val="both"/>
        <w:rPr>
          <w:rFonts w:ascii="Times New Roman" w:hAnsi="Times New Roman"/>
          <w:sz w:val="20"/>
        </w:rPr>
      </w:pPr>
      <w:r>
        <w:rPr>
          <w:rFonts w:ascii="Times New Roman" w:hAnsi="Times New Roman"/>
          <w:color w:val="000000"/>
          <w:sz w:val="16"/>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 or result in direct losses to the Company. The nature of litigation can make it difficult to predict the impact a particular lawsuit will have on the Company. There are many reasons that the Company cannot make these assessments, including, among others, one or more of the following: the proceeding is in its early stages; the damages sought are unspecified, unsupportable, unexplained or uncertain; discovery has not started or is not complete; there are significant facts in dispute; and there are other parties who may share in any ultimate liability.</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16"/>
        </w:rPr>
        <w:t>In management’s opinion, no</w:t>
      </w:r>
      <w:r>
        <w:rPr>
          <w:rFonts w:ascii="Times New Roman" w:hAnsi="Times New Roman"/>
          <w:color w:val="000000"/>
          <w:sz w:val="20"/>
        </w:rPr>
        <w:t xml:space="preserve"> </w:t>
      </w:r>
      <w:r>
        <w:rPr>
          <w:rFonts w:ascii="Times New Roman" w:hAnsi="Times New Roman"/>
          <w:color w:val="000000"/>
          <w:sz w:val="16"/>
        </w:rPr>
        <w:t>direct losses with respect to litigation contingencies were probable as of June 30, 2024 and December 31, 2023. Management is of the opinion that the ultimate resolution of such claims, if any, will not materially affect the Company’s business, financial position, results of operations, or liquidity. Furthermore, in management’s opinion, it is not possible to estimate a range of reasonably possible losses with respect to litigation contingencies.</w:t>
      </w:r>
    </w:p>
    <w:p>
      <w:pPr>
        <w:pStyle w:val="TextBody"/>
        <w:bidi w:val="0"/>
        <w:spacing w:before="120" w:after="120"/>
        <w:jc w:val="left"/>
        <w:rPr>
          <w:rFonts w:ascii="Times New Roman" w:hAnsi="Times New Roman"/>
          <w:b/>
          <w:color w:val="000000"/>
          <w:sz w:val="16"/>
        </w:rPr>
      </w:pPr>
      <w:r>
        <w:rPr>
          <w:rFonts w:ascii="Times New Roman" w:hAnsi="Times New Roman"/>
          <w:b/>
          <w:color w:val="000000"/>
          <w:sz w:val="16"/>
        </w:rPr>
        <w:t>Income Taxes</w:t>
      </w:r>
    </w:p>
    <w:p>
      <w:pPr>
        <w:pStyle w:val="TextBody"/>
        <w:bidi w:val="0"/>
        <w:jc w:val="both"/>
        <w:rPr>
          <w:rFonts w:ascii="Times New Roman" w:hAnsi="Times New Roman"/>
          <w:sz w:val="20"/>
        </w:rPr>
      </w:pPr>
      <w:r>
        <w:rPr>
          <w:rFonts w:ascii="Times New Roman" w:hAnsi="Times New Roman"/>
          <w:color w:val="000000"/>
          <w:sz w:val="16"/>
        </w:rPr>
        <w:t>The Company has elected to be treated for U.S. federal income tax purposes and intends to comply with the requirements to qualify annually as a RIC under Subchapter M of the Code and, among other things, intends to make the requisite distributions to its stockholders which will relieve the Company from U.S. federal income taxes.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order to qualify for tax treatment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certain undistributed income if it does not distribute an amount at least equal to the sum of (i) 98.0% of its ordinary income for the calendar year, (ii) 98.2% of its capital gains in excess of capital losses for the one-year period ending on October 31 of the calendar year, and (iii) any ordinary income and capital gain net income that it recognized for preceding years, but was not distributed during such years, and on which it paid no U.S. federal income tax.</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U.S. federal excise tax purposes, the Company accrues excise tax, if any, on estimated excess taxable income as taxable income is earned. Since the Company’s IPO, the Company has not accrued or paid excise tax.</w:t>
      </w:r>
    </w:p>
    <w:p>
      <w:pPr>
        <w:pStyle w:val="TextBody"/>
        <w:bidi w:val="0"/>
        <w:spacing w:before="120" w:after="283"/>
        <w:jc w:val="both"/>
        <w:rPr>
          <w:rFonts w:ascii="Times New Roman" w:hAnsi="Times New Roman"/>
          <w:sz w:val="20"/>
        </w:rPr>
      </w:pPr>
      <w:r>
        <w:rPr>
          <w:rFonts w:ascii="Times New Roman" w:hAnsi="Times New Roman"/>
          <w:color w:val="000000"/>
          <w:sz w:val="16"/>
        </w:rPr>
        <w:t>The tax years ended December 31, 2023, 2022, 2021 and 2020 remain subject to examination by U.S. federal, state, and local tax authorities.</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 xml:space="preserve"> </w:t>
      </w:r>
      <w:r>
        <w:rPr>
          <w:rFonts w:ascii="Times New Roman" w:hAnsi="Times New Roman"/>
          <w:color w:val="000000"/>
          <w:sz w:val="16"/>
        </w:rPr>
        <w:t>material interest expense or penalties have been assessed for the three and six months ended June 30, 2024 and 2023. If the Company was required to recognize interest and penalties, if any, related to unrecognized tax benefits this would be recognized as income tax expense in the consolidated statements of operations.</w:t>
      </w:r>
    </w:p>
    <w:p>
      <w:pPr>
        <w:pStyle w:val="TextBody"/>
        <w:bidi w:val="0"/>
        <w:spacing w:before="120" w:after="283"/>
        <w:jc w:val="both"/>
        <w:rPr>
          <w:rFonts w:ascii="Times New Roman" w:hAnsi="Times New Roman"/>
          <w:sz w:val="20"/>
        </w:rPr>
      </w:pPr>
      <w:r>
        <w:rPr>
          <w:rFonts w:ascii="Times New Roman" w:hAnsi="Times New Roman"/>
          <w:color w:val="000000"/>
          <w:sz w:val="16"/>
        </w:rPr>
        <w:t>For U.S. federal income tax purposes, as of June 30, 2024, the aggregate net unrealized depreciation for all securities was $9.1 million. As of June 30, 2024, gross unrealized appreciation was $16.4 million and gross unrealized depreciation was $25.5 million. The aggregate cost of securities for U.S. federal income tax purposes was $208.0</w:t>
      </w:r>
      <w:r>
        <w:rPr>
          <w:rFonts w:ascii="Times New Roman" w:hAnsi="Times New Roman"/>
          <w:color w:val="000000"/>
          <w:sz w:val="20"/>
        </w:rPr>
        <w:t xml:space="preserve"> </w:t>
      </w:r>
      <w:r>
        <w:rPr>
          <w:rFonts w:ascii="Times New Roman" w:hAnsi="Times New Roman"/>
          <w:color w:val="000000"/>
          <w:sz w:val="16"/>
        </w:rPr>
        <w:t>million as of June 30, 2024. For U.S. federal income tax purposes, as of December 31, 2023, the aggregate net unrealized depreciation for all securities was $11.5</w:t>
      </w:r>
      <w:r>
        <w:rPr>
          <w:rFonts w:ascii="Times New Roman" w:hAnsi="Times New Roman"/>
          <w:color w:val="000000"/>
          <w:sz w:val="20"/>
        </w:rPr>
        <w:t xml:space="preserve"> </w:t>
      </w:r>
      <w:r>
        <w:rPr>
          <w:rFonts w:ascii="Times New Roman" w:hAnsi="Times New Roman"/>
          <w:color w:val="000000"/>
          <w:sz w:val="16"/>
        </w:rPr>
        <w:t>million. As of December 31, 2023, gross unrealized appreciation was $11.1</w:t>
      </w:r>
      <w:r>
        <w:rPr>
          <w:rFonts w:ascii="Times New Roman" w:hAnsi="Times New Roman"/>
          <w:color w:val="000000"/>
          <w:sz w:val="20"/>
        </w:rPr>
        <w:t xml:space="preserve"> </w:t>
      </w:r>
      <w:r>
        <w:rPr>
          <w:rFonts w:ascii="Times New Roman" w:hAnsi="Times New Roman"/>
          <w:color w:val="000000"/>
          <w:sz w:val="16"/>
        </w:rPr>
        <w:t>million and gross unrealized depreciation was $22.6</w:t>
      </w:r>
      <w:r>
        <w:rPr>
          <w:rFonts w:ascii="Times New Roman" w:hAnsi="Times New Roman"/>
          <w:color w:val="000000"/>
          <w:sz w:val="20"/>
        </w:rPr>
        <w:t xml:space="preserve"> </w:t>
      </w:r>
      <w:r>
        <w:rPr>
          <w:rFonts w:ascii="Times New Roman" w:hAnsi="Times New Roman"/>
          <w:color w:val="000000"/>
          <w:sz w:val="16"/>
        </w:rPr>
        <w:t>million. The aggregate cost of securities for U.S. federal income tax purposes was $201.2</w:t>
      </w:r>
      <w:r>
        <w:rPr>
          <w:rFonts w:ascii="Times New Roman" w:hAnsi="Times New Roman"/>
          <w:color w:val="000000"/>
          <w:sz w:val="20"/>
        </w:rPr>
        <w:t xml:space="preserve"> </w:t>
      </w:r>
      <w:r>
        <w:rPr>
          <w:rFonts w:ascii="Times New Roman" w:hAnsi="Times New Roman"/>
          <w:color w:val="000000"/>
          <w:sz w:val="16"/>
        </w:rPr>
        <w:t>million as of December 31, 2023.</w:t>
      </w:r>
    </w:p>
    <w:p>
      <w:pPr>
        <w:pStyle w:val="TextBody"/>
        <w:bidi w:val="0"/>
        <w:spacing w:before="120" w:after="283"/>
        <w:jc w:val="both"/>
        <w:rPr>
          <w:rFonts w:ascii="Times New Roman" w:hAnsi="Times New Roman"/>
          <w:sz w:val="20"/>
        </w:rPr>
      </w:pPr>
      <w:r>
        <w:rPr>
          <w:rFonts w:ascii="Times New Roman" w:hAnsi="Times New Roman"/>
          <w:color w:val="000000"/>
          <w:sz w:val="16"/>
        </w:rPr>
        <w:t>The Company’s Taxable Subsidiaries record deferred tax assets or liabilities related to temporary book versus tax differences on the income or loss generated by the underlying equity investments held by the Taxable Subsidiaries. As of both June 30, 2024 and December 31, 2023, the Company recorded a net deferred tax asset of zero. For both the three and six months ended June 30, 2024 and 2023, no</w:t>
      </w:r>
      <w:r>
        <w:rPr>
          <w:rFonts w:ascii="Times New Roman" w:hAnsi="Times New Roman"/>
          <w:color w:val="000000"/>
          <w:sz w:val="20"/>
        </w:rPr>
        <w:t xml:space="preserve"> </w:t>
      </w:r>
      <w:r>
        <w:rPr>
          <w:rFonts w:ascii="Times New Roman" w:hAnsi="Times New Roman"/>
          <w:color w:val="000000"/>
          <w:sz w:val="16"/>
        </w:rPr>
        <w:t>tax provision was recorded by the Company. As of June 30, 2024 and December 31, 2023, the valuation allowance on the Company’s net deferred tax asset was $3.4</w:t>
      </w:r>
      <w:r>
        <w:rPr>
          <w:rFonts w:ascii="Times New Roman" w:hAnsi="Times New Roman"/>
          <w:color w:val="000000"/>
          <w:sz w:val="20"/>
        </w:rPr>
        <w:t xml:space="preserve"> </w:t>
      </w:r>
      <w:r>
        <w:rPr>
          <w:rFonts w:ascii="Times New Roman" w:hAnsi="Times New Roman"/>
          <w:color w:val="000000"/>
          <w:sz w:val="16"/>
        </w:rPr>
        <w:t>million and $3.9</w:t>
      </w:r>
      <w:r>
        <w:rPr>
          <w:rFonts w:ascii="Times New Roman" w:hAnsi="Times New Roman"/>
          <w:color w:val="000000"/>
          <w:sz w:val="20"/>
        </w:rPr>
        <w:t xml:space="preserve"> </w:t>
      </w:r>
      <w:r>
        <w:rPr>
          <w:rFonts w:ascii="Times New Roman" w:hAnsi="Times New Roman"/>
          <w:color w:val="000000"/>
          <w:sz w:val="16"/>
        </w:rPr>
        <w:t>million, respectively. During the three and six months ended June 30, 2024, the Company recognized a decrease in the valuation allowance of $0.5</w:t>
      </w:r>
      <w:r>
        <w:rPr>
          <w:rFonts w:ascii="Times New Roman" w:hAnsi="Times New Roman"/>
          <w:color w:val="000000"/>
          <w:sz w:val="20"/>
        </w:rPr>
        <w:t xml:space="preserve"> </w:t>
      </w:r>
      <w:r>
        <w:rPr>
          <w:rFonts w:ascii="Times New Roman" w:hAnsi="Times New Roman"/>
          <w:color w:val="000000"/>
          <w:sz w:val="16"/>
        </w:rPr>
        <w:t>million. During the three and six months ended June 30, 2023, the Company recognized a decrease in the valuation allowance of $0.1</w:t>
      </w:r>
      <w:r>
        <w:rPr>
          <w:rFonts w:ascii="Times New Roman" w:hAnsi="Times New Roman"/>
          <w:color w:val="000000"/>
          <w:sz w:val="20"/>
        </w:rPr>
        <w:t xml:space="preserve"> </w:t>
      </w:r>
      <w:r>
        <w:rPr>
          <w:rFonts w:ascii="Times New Roman" w:hAnsi="Times New Roman"/>
          <w:color w:val="000000"/>
          <w:sz w:val="16"/>
        </w:rPr>
        <w:t>million.</w:t>
      </w:r>
    </w:p>
    <w:p>
      <w:pPr>
        <w:pStyle w:val="TextBody"/>
        <w:bidi w:val="0"/>
        <w:spacing w:before="120" w:after="283"/>
        <w:jc w:val="both"/>
        <w:rPr>
          <w:rFonts w:ascii="Times New Roman" w:hAnsi="Times New Roman"/>
          <w:sz w:val="20"/>
        </w:rPr>
      </w:pPr>
      <w:r>
        <w:rPr>
          <w:rFonts w:ascii="Times New Roman" w:hAnsi="Times New Roman"/>
          <w:color w:val="000000"/>
          <w:sz w:val="16"/>
        </w:rPr>
        <w:t>In accordance with certain applicable U.S. Treasury regulations and guidance issued by the Internal Revenue Service, a publicly offered RIC may treat a distribution of its own stock as fulfilling its RIC distribution requirements if each stockholder may elect to receive its entire distribution in either cash or stock of the RIC, subject to a limitation on the aggregate amount of cash available to be distributed to all stockholders, which limitation must be at least 20.0% of the aggregate declared distribution. If too many stockholders elect to receive cash, the cash available for distribution must be allocated pro rata among the stockholders electing to receive cash (with the balance of the distribution paid in stock). In no event will any stockholder, electing to receive cash, receive less than 20.0% of its entire distribution in cash. If these and certain other requirements are met, for U.S. federal income tax purposes, the amount of the dividend paid in stock will be equal to the amount of cash that could have been received instead of stock.</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16"/>
        </w:rPr>
        <w:t xml:space="preserve">ASC Topic 740 — </w:t>
      </w:r>
      <w:r>
        <w:rPr>
          <w:rFonts w:ascii="Times New Roman" w:hAnsi="Times New Roman"/>
          <w:i/>
          <w:color w:val="000000"/>
          <w:sz w:val="16"/>
        </w:rPr>
        <w:t>Income Taxes</w:t>
      </w:r>
      <w:r>
        <w:rPr>
          <w:rFonts w:ascii="Times New Roman" w:hAnsi="Times New Roman"/>
          <w:color w:val="000000"/>
          <w:sz w:val="20"/>
        </w:rPr>
        <w:t xml:space="preserve"> </w:t>
      </w:r>
      <w:r>
        <w:rPr>
          <w:rFonts w:ascii="Times New Roman" w:hAnsi="Times New Roman"/>
          <w:color w:val="000000"/>
          <w:sz w:val="16"/>
        </w:rPr>
        <w:t>(“ASC 740”), provides guidance for how uncertain tax positions should be recognized, measured, presented, and disclosed in the consolidated financial statements. ASC 740 requires the evaluation of tax positions taken or expected to be taken in the course of preparing the Company’s U.S. federal income tax returns to determine whether the tax positions are “more-likely-than-not” to be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June 30, 2024 and December 31, 2023, there were no</w:t>
      </w:r>
      <w:r>
        <w:rPr>
          <w:rFonts w:ascii="Times New Roman" w:hAnsi="Times New Roman"/>
          <w:color w:val="000000"/>
          <w:sz w:val="20"/>
        </w:rPr>
        <w:t xml:space="preserve"> </w:t>
      </w:r>
      <w:r>
        <w:rPr>
          <w:rFonts w:ascii="Times New Roman" w:hAnsi="Times New Roman"/>
          <w:color w:val="000000"/>
          <w:sz w:val="16"/>
        </w:rPr>
        <w:t>uncertain tax positions.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 is required to determine whether a tax position of the Company is more-likely-than-not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 has concluded that it was not necessary to record a liability for any such tax positions as of June 30, 2024 and December 31, 2023. However, the Company’s conclusions regarding this policy may be subject to review and adjustment at a later date based on factors including, but not limited to, ongoing analyses of, and changes to, tax laws, regulations and interpretations thereof.</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June 30, 2024</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spacing w:before="120" w:after="120"/>
        <w:jc w:val="left"/>
        <w:rPr>
          <w:rFonts w:ascii="Times New Roman" w:hAnsi="Times New Roman"/>
          <w:b/>
          <w:color w:val="000000"/>
          <w:sz w:val="16"/>
        </w:rPr>
      </w:pPr>
      <w:r>
        <w:rPr>
          <w:rFonts w:ascii="Times New Roman" w:hAnsi="Times New Roman"/>
          <w:b/>
          <w:color w:val="000000"/>
          <w:sz w:val="16"/>
        </w:rPr>
        <w:t>Distributions</w:t>
      </w:r>
    </w:p>
    <w:p>
      <w:pPr>
        <w:pStyle w:val="TextBody"/>
        <w:bidi w:val="0"/>
        <w:jc w:val="both"/>
        <w:rPr>
          <w:rFonts w:ascii="Times New Roman" w:hAnsi="Times New Roman"/>
          <w:sz w:val="20"/>
        </w:rPr>
      </w:pPr>
      <w:r>
        <w:rPr>
          <w:rFonts w:ascii="Times New Roman" w:hAnsi="Times New Roman"/>
          <w:color w:val="000000"/>
          <w:sz w:val="16"/>
        </w:rPr>
        <w:t>Distributions to the Company’s common stockholders are recorded on the record date. The amount to be paid out as a dividend is determined by the Board. Net capital gains, if any, are generally distributed at least annually, although we may decide to retain such capital gains for reinvestment.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 has adopted an “opt out” dividend reinvestment plan (“DRIP”) for the Company’s common stockholders. As a result, if the Company declares a distribution, then stockholders’ cash distributions will be automatically reinvested in additional shares of the Company’s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the Company’s DRIP will not receive any corresponding cash distributions with which to pay any such applicable taxes.</w:t>
      </w:r>
    </w:p>
    <w:p>
      <w:pPr>
        <w:pStyle w:val="TextBody"/>
        <w:bidi w:val="0"/>
        <w:spacing w:before="120" w:after="120"/>
        <w:jc w:val="left"/>
        <w:rPr>
          <w:rFonts w:ascii="Times New Roman" w:hAnsi="Times New Roman"/>
          <w:sz w:val="20"/>
        </w:rPr>
      </w:pPr>
      <w:r>
        <w:rPr>
          <w:rFonts w:ascii="Times New Roman" w:hAnsi="Times New Roman"/>
          <w:b/>
          <w:color w:val="000000"/>
          <w:sz w:val="16"/>
        </w:rPr>
        <w:t>Company Investment Risk, Concentration of Credit Risk and Liquidity Risk</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16"/>
        </w:rPr>
        <w:t>The Investment Adviser has broad discretion in making investments for the Company. Investments will generally consist of debt and equity instruments that may be affected by business, financial market, or legal uncertainties. Prices of investments may be volatile, and a variety of factors that are inherently difficult to predict, such as domestic or international economic and political developments, may significantly affect the results of the Company’s activities and the value of its investments. In addition, the value of the Company’s portfolio may fluctuate as the general level of interest rates fluctuate.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value of the Company’s investments may be detrimentally affected to the extent, among other things, that a borrower defaults on its obligations, there is insufficient collateral and/or there are extensive legal and other costs incurred in collecting on a defaulted loan. The value of the Company’s investments may also be detrimentally affected to the extent observable primary or secondary market yields for similar instruments issued by comparable companies increase materially or risk premiums in the market between smaller companies, such as our borrowers, and those for which market yields are observable increase materially.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Investment Adviser may attempt to minimize this risk by maintaining low debt-to-liquidation values with each debt investment and the collateral underlying the debt investment.</w:t>
      </w:r>
    </w:p>
    <w:p>
      <w:pPr>
        <w:pStyle w:val="TextBody"/>
        <w:bidi w:val="0"/>
        <w:spacing w:before="120" w:after="283"/>
        <w:jc w:val="both"/>
        <w:rPr>
          <w:rFonts w:ascii="Times New Roman" w:hAnsi="Times New Roman"/>
          <w:sz w:val="20"/>
        </w:rPr>
      </w:pPr>
      <w:r>
        <w:rPr>
          <w:rFonts w:ascii="Times New Roman" w:hAnsi="Times New Roman"/>
          <w:color w:val="000000"/>
          <w:sz w:val="16"/>
        </w:rPr>
        <w:t>The Company’s assets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r>
        <w:rPr>
          <w:rFonts w:ascii="Times New Roman" w:hAnsi="Times New Roman"/>
          <w:color w:val="000000"/>
          <w:sz w:val="20"/>
        </w:rPr>
        <w:t xml:space="preserve"> </w:t>
      </w:r>
    </w:p>
    <w:p>
      <w:pPr>
        <w:pStyle w:val="TextBody"/>
        <w:bidi w:val="0"/>
        <w:spacing w:before="120" w:after="283"/>
        <w:jc w:val="both"/>
        <w:rPr>
          <w:rFonts w:ascii="Times New Roman" w:hAnsi="Times New Roman"/>
          <w:b/>
          <w:color w:val="000000"/>
          <w:sz w:val="16"/>
        </w:rPr>
      </w:pPr>
      <w:r>
        <w:rPr>
          <w:rFonts w:ascii="Times New Roman" w:hAnsi="Times New Roman"/>
          <w:b/>
          <w:color w:val="000000"/>
          <w:sz w:val="16"/>
        </w:rPr>
        <w:t>Recent Accounting Pronouncements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November 2023, the Financial Accounting Standards Board issued Accounting Standards Update 2023-07, Segment Reporting – Improvements to Reportable Segment Disclosures. The accounting standard update clarifies the segment disclosure requirements in Topic 280 and requires public entities to disclose significant segment expenses, provide all annual disclosures about a reportable segment's profit or loss and assets in interim periods, and clarify the reporting of additional measures of segment profit or loss. The amendments aim to improve consistency and comparability in segment reporting. The amendments are effective for fiscal years beginning after December 15, 2023, and interim periods within fiscal years beginning after December 15, 2024. The Company has evaluated the impact of adopting this new accounting standard and has concluded that the impact of the adoption will not be material to the consolidated financial statements.</w:t>
      </w:r>
    </w:p>
    <w:p>
      <w:pPr>
        <w:pStyle w:val="TextBody"/>
        <w:bidi w:val="0"/>
        <w:spacing w:before="120" w:after="120"/>
        <w:jc w:val="left"/>
        <w:rPr>
          <w:rFonts w:ascii="Times New Roman" w:hAnsi="Times New Roman"/>
          <w:b/>
          <w:color w:val="000000"/>
          <w:sz w:val="16"/>
        </w:rPr>
      </w:pPr>
      <w:r>
        <w:rPr>
          <w:rFonts w:ascii="Times New Roman" w:hAnsi="Times New Roman"/>
          <w:b/>
          <w:color w:val="000000"/>
          <w:sz w:val="16"/>
        </w:rPr>
        <w:t>Note 3. Investments and Fair Value Measurements</w:t>
      </w:r>
    </w:p>
    <w:p>
      <w:pPr>
        <w:pStyle w:val="TextBody"/>
        <w:bidi w:val="0"/>
        <w:jc w:val="both"/>
        <w:rPr>
          <w:rFonts w:ascii="Times New Roman" w:hAnsi="Times New Roman"/>
          <w:sz w:val="20"/>
        </w:rPr>
      </w:pPr>
      <w:r>
        <w:rPr>
          <w:rFonts w:ascii="Times New Roman" w:hAnsi="Times New Roman"/>
          <w:color w:val="000000"/>
          <w:sz w:val="16"/>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in first lien loans, and, to a lesser extent, second lien loans and equity securities issued by lower middle-market and traditional middle-market companies.</w:t>
      </w:r>
      <w:r>
        <w:rPr>
          <w:rFonts w:ascii="Times New Roman" w:hAnsi="Times New Roman"/>
          <w:color w:val="000000"/>
          <w:sz w:val="20"/>
        </w:rPr>
        <w:t xml:space="preserve"> </w:t>
      </w:r>
      <w:r>
        <w:rPr>
          <w:rFonts w:ascii="Times New Roman" w:hAnsi="Times New Roman"/>
          <w:color w:val="000000"/>
          <w:sz w:val="16"/>
        </w:rPr>
        <w:t>As of June 30, 2024, our portfolio consisted of investments in 61</w:t>
      </w:r>
      <w:r>
        <w:rPr>
          <w:rFonts w:ascii="Times New Roman" w:hAnsi="Times New Roman"/>
          <w:color w:val="000000"/>
          <w:sz w:val="20"/>
        </w:rPr>
        <w:t xml:space="preserve"> </w:t>
      </w:r>
      <w:r>
        <w:rPr>
          <w:rFonts w:ascii="Times New Roman" w:hAnsi="Times New Roman"/>
          <w:color w:val="000000"/>
          <w:sz w:val="16"/>
        </w:rPr>
        <w:t>portfolio companies with a fair value of approximately $195.6</w:t>
      </w:r>
      <w:r>
        <w:rPr>
          <w:rFonts w:ascii="Times New Roman" w:hAnsi="Times New Roman"/>
          <w:color w:val="000000"/>
          <w:sz w:val="20"/>
        </w:rPr>
        <w:t xml:space="preserve"> </w:t>
      </w:r>
      <w:r>
        <w:rPr>
          <w:rFonts w:ascii="Times New Roman" w:hAnsi="Times New Roman"/>
          <w:color w:val="000000"/>
          <w:sz w:val="16"/>
        </w:rPr>
        <w:t>million. As of December 31, 2023, our portfolio consisted of investments in 60</w:t>
      </w:r>
      <w:r>
        <w:rPr>
          <w:rFonts w:ascii="Times New Roman" w:hAnsi="Times New Roman"/>
          <w:color w:val="000000"/>
          <w:sz w:val="20"/>
        </w:rPr>
        <w:t xml:space="preserve"> </w:t>
      </w:r>
      <w:r>
        <w:rPr>
          <w:rFonts w:ascii="Times New Roman" w:hAnsi="Times New Roman"/>
          <w:color w:val="000000"/>
          <w:sz w:val="16"/>
        </w:rPr>
        <w:t>portfolio companies with a fair value of approximately $189.7</w:t>
      </w:r>
      <w:r>
        <w:rPr>
          <w:rFonts w:ascii="Times New Roman" w:hAnsi="Times New Roman"/>
          <w:color w:val="000000"/>
          <w:sz w:val="20"/>
        </w:rPr>
        <w:t xml:space="preserve"> </w:t>
      </w:r>
      <w:r>
        <w:rPr>
          <w:rFonts w:ascii="Times New Roman" w:hAnsi="Times New Roman"/>
          <w:color w:val="000000"/>
          <w:sz w:val="16"/>
        </w:rPr>
        <w:t>million.</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delayed draw facilities, or revolving credit facilities. Unitranche debt, a form of first lien loan, typically involves issuing one debt security that blends the risk and return profiles of both senior secured and subordinated debt, bifurcating the loan into a first-out tranche and last-out tranche. As of June 30, 2024 and December 31, 2023, none of the fair value of our first lien loans consisted of last-out loans.</w:t>
      </w:r>
    </w:p>
    <w:p>
      <w:pPr>
        <w:pStyle w:val="TextBody"/>
        <w:bidi w:val="0"/>
        <w:spacing w:before="120" w:after="283"/>
        <w:jc w:val="both"/>
        <w:rPr>
          <w:rFonts w:ascii="Times New Roman" w:hAnsi="Times New Roman"/>
          <w:sz w:val="20"/>
        </w:rPr>
      </w:pPr>
      <w:r>
        <w:rPr>
          <w:rFonts w:ascii="Times New Roman" w:hAnsi="Times New Roman"/>
          <w:color w:val="000000"/>
          <w:sz w:val="16"/>
        </w:rPr>
        <w:t>The Company also invests in debt instruments structured as second lien loans. Second lien loans are loans which have a second priority security interest in all or substantially all of the borrower’s assets, and in some cases, may be subject to the interruption of cash interest payments upon certain events of default, at the discretion of the first lien lender.</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color w:val="000000"/>
          <w:sz w:val="16"/>
        </w:rPr>
        <w:t>During the three months ended June 30, 2024, we made approximately $1.5</w:t>
      </w:r>
      <w:r>
        <w:rPr>
          <w:rFonts w:ascii="Times New Roman" w:hAnsi="Times New Roman"/>
          <w:color w:val="000000"/>
          <w:sz w:val="20"/>
        </w:rPr>
        <w:t xml:space="preserve"> </w:t>
      </w:r>
      <w:r>
        <w:rPr>
          <w:rFonts w:ascii="Times New Roman" w:hAnsi="Times New Roman"/>
          <w:color w:val="000000"/>
          <w:sz w:val="16"/>
        </w:rPr>
        <w:t>million of investments and had approximately $5.6</w:t>
      </w:r>
      <w:r>
        <w:rPr>
          <w:rFonts w:ascii="Times New Roman" w:hAnsi="Times New Roman"/>
          <w:color w:val="000000"/>
          <w:sz w:val="20"/>
        </w:rPr>
        <w:t xml:space="preserve"> </w:t>
      </w:r>
      <w:r>
        <w:rPr>
          <w:rFonts w:ascii="Times New Roman" w:hAnsi="Times New Roman"/>
          <w:color w:val="000000"/>
          <w:sz w:val="16"/>
        </w:rPr>
        <w:t>million in repayments and sales, resulting in net repayments and sales of approximately $4.1</w:t>
      </w:r>
      <w:r>
        <w:rPr>
          <w:rFonts w:ascii="Times New Roman" w:hAnsi="Times New Roman"/>
          <w:color w:val="FF0000"/>
          <w:sz w:val="20"/>
        </w:rPr>
        <w:t xml:space="preserve"> </w:t>
      </w:r>
      <w:r>
        <w:rPr>
          <w:rFonts w:ascii="Times New Roman" w:hAnsi="Times New Roman"/>
          <w:color w:val="000000"/>
          <w:sz w:val="16"/>
        </w:rPr>
        <w:t>million for the period. During the three months ended June 30, 2023, the Company made approximately $4.8</w:t>
      </w:r>
      <w:r>
        <w:rPr>
          <w:rFonts w:ascii="Times New Roman" w:hAnsi="Times New Roman"/>
          <w:color w:val="000000"/>
          <w:sz w:val="20"/>
        </w:rPr>
        <w:t xml:space="preserve"> </w:t>
      </w:r>
      <w:r>
        <w:rPr>
          <w:rFonts w:ascii="Times New Roman" w:hAnsi="Times New Roman"/>
          <w:color w:val="000000"/>
          <w:sz w:val="16"/>
        </w:rPr>
        <w:t>million of investments and had approximately $4.4</w:t>
      </w:r>
      <w:r>
        <w:rPr>
          <w:rFonts w:ascii="Times New Roman" w:hAnsi="Times New Roman"/>
          <w:color w:val="000000"/>
          <w:sz w:val="20"/>
        </w:rPr>
        <w:t xml:space="preserve"> </w:t>
      </w:r>
      <w:r>
        <w:rPr>
          <w:rFonts w:ascii="Times New Roman" w:hAnsi="Times New Roman"/>
          <w:color w:val="000000"/>
          <w:sz w:val="16"/>
        </w:rPr>
        <w:t>million in repayments and sales, resulting in net deployment of approximately $0.4</w:t>
      </w:r>
      <w:r>
        <w:rPr>
          <w:rFonts w:ascii="Times New Roman" w:hAnsi="Times New Roman"/>
          <w:color w:val="000000"/>
          <w:sz w:val="20"/>
        </w:rPr>
        <w:t xml:space="preserve"> </w:t>
      </w:r>
      <w:r>
        <w:rPr>
          <w:rFonts w:ascii="Times New Roman" w:hAnsi="Times New Roman"/>
          <w:color w:val="000000"/>
          <w:sz w:val="16"/>
        </w:rPr>
        <w:t>million for the period.</w:t>
      </w:r>
    </w:p>
    <w:p>
      <w:pPr>
        <w:pStyle w:val="TextBody"/>
        <w:bidi w:val="0"/>
        <w:jc w:val="both"/>
        <w:rPr>
          <w:rFonts w:ascii="Times New Roman" w:hAnsi="Times New Roman"/>
          <w:sz w:val="20"/>
        </w:rPr>
      </w:pPr>
      <w:r>
        <w:rPr>
          <w:rFonts w:ascii="Times New Roman" w:hAnsi="Times New Roman"/>
          <w:color w:val="000000"/>
          <w:sz w:val="16"/>
        </w:rPr>
        <w:t>During the six months ended June 30, 2024, we made approximately $11.3</w:t>
      </w:r>
      <w:r>
        <w:rPr>
          <w:rFonts w:ascii="Times New Roman" w:hAnsi="Times New Roman"/>
          <w:color w:val="000000"/>
          <w:sz w:val="20"/>
        </w:rPr>
        <w:t xml:space="preserve"> </w:t>
      </w:r>
      <w:r>
        <w:rPr>
          <w:rFonts w:ascii="Times New Roman" w:hAnsi="Times New Roman"/>
          <w:color w:val="000000"/>
          <w:sz w:val="16"/>
        </w:rPr>
        <w:t>million of investments and had approximately $6.5</w:t>
      </w:r>
      <w:r>
        <w:rPr>
          <w:rFonts w:ascii="Times New Roman" w:hAnsi="Times New Roman"/>
          <w:color w:val="000000"/>
          <w:sz w:val="20"/>
        </w:rPr>
        <w:t xml:space="preserve"> </w:t>
      </w:r>
      <w:r>
        <w:rPr>
          <w:rFonts w:ascii="Times New Roman" w:hAnsi="Times New Roman"/>
          <w:color w:val="000000"/>
          <w:sz w:val="16"/>
        </w:rPr>
        <w:t>million in repayments and sales, resulting in net deployment of approximately $4.8</w:t>
      </w:r>
      <w:r>
        <w:rPr>
          <w:rFonts w:ascii="Times New Roman" w:hAnsi="Times New Roman"/>
          <w:color w:val="000000"/>
          <w:sz w:val="20"/>
        </w:rPr>
        <w:t xml:space="preserve"> </w:t>
      </w:r>
      <w:r>
        <w:rPr>
          <w:rFonts w:ascii="Times New Roman" w:hAnsi="Times New Roman"/>
          <w:color w:val="000000"/>
          <w:sz w:val="16"/>
        </w:rPr>
        <w:t>million for the period. During the six months ended June 30, 2023, the Company made approximately $12.2</w:t>
      </w:r>
      <w:r>
        <w:rPr>
          <w:rFonts w:ascii="Times New Roman" w:hAnsi="Times New Roman"/>
          <w:color w:val="000000"/>
          <w:sz w:val="20"/>
        </w:rPr>
        <w:t xml:space="preserve"> </w:t>
      </w:r>
      <w:r>
        <w:rPr>
          <w:rFonts w:ascii="Times New Roman" w:hAnsi="Times New Roman"/>
          <w:color w:val="000000"/>
          <w:sz w:val="16"/>
        </w:rPr>
        <w:t>million of investments and had approximately $11.2</w:t>
      </w:r>
      <w:r>
        <w:rPr>
          <w:rFonts w:ascii="Times New Roman" w:hAnsi="Times New Roman"/>
          <w:color w:val="000000"/>
          <w:sz w:val="20"/>
        </w:rPr>
        <w:t xml:space="preserve"> </w:t>
      </w:r>
      <w:r>
        <w:rPr>
          <w:rFonts w:ascii="Times New Roman" w:hAnsi="Times New Roman"/>
          <w:color w:val="000000"/>
          <w:sz w:val="16"/>
        </w:rPr>
        <w:t>million in repayments and sales, resulting in net repayments and sales of approximately $1.0</w:t>
      </w:r>
      <w:r>
        <w:rPr>
          <w:rFonts w:ascii="Times New Roman" w:hAnsi="Times New Roman"/>
          <w:color w:val="000000"/>
          <w:sz w:val="20"/>
        </w:rPr>
        <w:t xml:space="preserve"> </w:t>
      </w:r>
      <w:r>
        <w:rPr>
          <w:rFonts w:ascii="Times New Roman" w:hAnsi="Times New Roman"/>
          <w:color w:val="000000"/>
          <w:sz w:val="16"/>
        </w:rPr>
        <w:t>million for the period.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As of June 30, 2024, the Company’s Investment Adviser approved the fair value of the Company’s investment portfolio of approximately $195.6</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in good faith in accordance with the Company’s valuation procedures. The Company’s Investment Adviser approved the fair value of the Company’s investment portfolio as of June 30, 2024 with input from third-party valuation firms and the Investment Adviser, as valuation designee, based on information known or knowable as of the valuation date, including trailing and forward looking data.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June 30, 2024</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The composition of our investments as of June 30, 2024, at amortized cost and fair value was as follows (dollars in thousands):</w:t>
      </w:r>
    </w:p>
    <w:tbl>
      <w:tblPr>
        <w:tblW w:w="8559" w:type="dxa"/>
        <w:jc w:val="left"/>
        <w:tblInd w:w="0" w:type="dxa"/>
        <w:tblLayout w:type="fixed"/>
        <w:tblCellMar>
          <w:top w:w="28" w:type="dxa"/>
          <w:left w:w="28" w:type="dxa"/>
          <w:bottom w:w="28" w:type="dxa"/>
          <w:right w:w="28" w:type="dxa"/>
        </w:tblCellMar>
      </w:tblPr>
      <w:tblGrid>
        <w:gridCol w:w="2311"/>
        <w:gridCol w:w="146"/>
        <w:gridCol w:w="274"/>
        <w:gridCol w:w="971"/>
        <w:gridCol w:w="146"/>
        <w:gridCol w:w="146"/>
        <w:gridCol w:w="276"/>
        <w:gridCol w:w="969"/>
        <w:gridCol w:w="241"/>
        <w:gridCol w:w="146"/>
        <w:gridCol w:w="255"/>
        <w:gridCol w:w="900"/>
        <w:gridCol w:w="146"/>
        <w:gridCol w:w="146"/>
        <w:gridCol w:w="266"/>
        <w:gridCol w:w="934"/>
        <w:gridCol w:w="28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b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br/>
              <w:t>Percentage of</w:t>
              <w:br/>
              <w:t>Total Portfolio</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Percentage of</w:t>
              <w:br/>
              <w:t>Total Portfolio</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133,516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125,133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Joint Venture</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202,830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195,553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120"/>
        <w:jc w:val="both"/>
        <w:rPr>
          <w:rFonts w:ascii="Times New Roman" w:hAnsi="Times New Roman"/>
          <w:color w:val="000000"/>
          <w:sz w:val="16"/>
        </w:rPr>
      </w:pPr>
      <w:r>
        <w:rPr>
          <w:rFonts w:ascii="Times New Roman" w:hAnsi="Times New Roman"/>
          <w:color w:val="000000"/>
          <w:sz w:val="16"/>
        </w:rPr>
        <w:t>The composition of our investments as of December 31, 2023, at amortized cost and fair value was as follows (dollars in thousands):</w:t>
      </w:r>
    </w:p>
    <w:tbl>
      <w:tblPr>
        <w:tblW w:w="8559" w:type="dxa"/>
        <w:jc w:val="left"/>
        <w:tblInd w:w="0" w:type="dxa"/>
        <w:tblLayout w:type="fixed"/>
        <w:tblCellMar>
          <w:top w:w="28" w:type="dxa"/>
          <w:left w:w="28" w:type="dxa"/>
          <w:bottom w:w="28" w:type="dxa"/>
          <w:right w:w="28" w:type="dxa"/>
        </w:tblCellMar>
      </w:tblPr>
      <w:tblGrid>
        <w:gridCol w:w="2311"/>
        <w:gridCol w:w="146"/>
        <w:gridCol w:w="274"/>
        <w:gridCol w:w="971"/>
        <w:gridCol w:w="146"/>
        <w:gridCol w:w="146"/>
        <w:gridCol w:w="276"/>
        <w:gridCol w:w="969"/>
        <w:gridCol w:w="241"/>
        <w:gridCol w:w="146"/>
        <w:gridCol w:w="255"/>
        <w:gridCol w:w="900"/>
        <w:gridCol w:w="146"/>
        <w:gridCol w:w="146"/>
        <w:gridCol w:w="266"/>
        <w:gridCol w:w="934"/>
        <w:gridCol w:w="28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b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br/>
              <w:t>Percentage of</w:t>
              <w:br/>
              <w:t>Total Portfolio</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Percentage of</w:t>
              <w:br/>
              <w:t>Total Portfolio</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128,537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65.4</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65.4</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Joint Venture</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196,518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189,658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120"/>
        <w:jc w:val="both"/>
        <w:rPr>
          <w:rFonts w:ascii="Times New Roman" w:hAnsi="Times New Roman"/>
          <w:color w:val="000000"/>
          <w:sz w:val="16"/>
        </w:rPr>
      </w:pPr>
      <w:r>
        <w:rPr>
          <w:rFonts w:ascii="Times New Roman" w:hAnsi="Times New Roman"/>
          <w:color w:val="000000"/>
          <w:sz w:val="16"/>
        </w:rPr>
        <w:t>The following table shows the portfolio composition by industry grouping at fair value as of June 30, 2024 and December 31, 2023 (dollars in thousands):</w:t>
      </w:r>
    </w:p>
    <w:tbl>
      <w:tblPr>
        <w:tblW w:w="10205" w:type="dxa"/>
        <w:jc w:val="left"/>
        <w:tblInd w:w="0" w:type="dxa"/>
        <w:tblLayout w:type="fixed"/>
        <w:tblCellMar>
          <w:top w:w="28" w:type="dxa"/>
          <w:left w:w="28" w:type="dxa"/>
          <w:bottom w:w="28" w:type="dxa"/>
          <w:right w:w="28" w:type="dxa"/>
        </w:tblCellMar>
      </w:tblPr>
      <w:tblGrid>
        <w:gridCol w:w="2797"/>
        <w:gridCol w:w="146"/>
        <w:gridCol w:w="249"/>
        <w:gridCol w:w="882"/>
        <w:gridCol w:w="146"/>
        <w:gridCol w:w="146"/>
        <w:gridCol w:w="414"/>
        <w:gridCol w:w="1456"/>
        <w:gridCol w:w="241"/>
        <w:gridCol w:w="146"/>
        <w:gridCol w:w="249"/>
        <w:gridCol w:w="882"/>
        <w:gridCol w:w="146"/>
        <w:gridCol w:w="146"/>
        <w:gridCol w:w="414"/>
        <w:gridCol w:w="1456"/>
        <w:gridCol w:w="289"/>
      </w:tblGrid>
      <w:tr>
        <w:trPr/>
        <w:tc>
          <w:tcPr>
            <w:tcW w:w="2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79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Investments at </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Total Portfolio</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Investments at </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Total Portfolio</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Healthcare</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Business Services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Financials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Information Technology</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Industrials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Discretionary</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Healthcare Management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Automobile Part Manufacturer</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Advertising &amp; Marketing Services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Communication Services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Medical Device Distributor</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Textile Equipment Manufacturer</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Financial Services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Online Merchandise Retailer</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Staples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Household Product Manufacturer</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Oil &amp; Gas Engineering and Consulting Services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Data Processing &amp; Digital Marketing</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Electronic Machine Repair</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Industrial</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Testing Laboratories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color w:val="000000"/>
              </w:rPr>
            </w:pPr>
            <w:r>
              <w:rPr>
                <w:color w:val="000000"/>
              </w:rPr>
              <w:t>—</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24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195,553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189,658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8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120"/>
        <w:jc w:val="both"/>
        <w:rPr>
          <w:rFonts w:ascii="Times New Roman" w:hAnsi="Times New Roman"/>
          <w:color w:val="000000"/>
          <w:sz w:val="16"/>
        </w:rPr>
      </w:pPr>
      <w:r>
        <w:rPr>
          <w:rFonts w:ascii="Times New Roman" w:hAnsi="Times New Roman"/>
          <w:color w:val="000000"/>
          <w:sz w:val="16"/>
        </w:rPr>
        <w:t>As noted above, the Company values all investments in accordance with Rule 2a-5 under the 1940 Act and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tbl>
      <w:tblPr>
        <w:tblW w:w="9879" w:type="dxa"/>
        <w:jc w:val="left"/>
        <w:tblInd w:w="0" w:type="dxa"/>
        <w:tblLayout w:type="fixed"/>
        <w:tblCellMar>
          <w:top w:w="28" w:type="dxa"/>
          <w:left w:w="28" w:type="dxa"/>
          <w:bottom w:w="28" w:type="dxa"/>
          <w:right w:w="28" w:type="dxa"/>
        </w:tblCellMar>
      </w:tblPr>
      <w:tblGrid>
        <w:gridCol w:w="124"/>
        <w:gridCol w:w="109"/>
        <w:gridCol w:w="96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4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646"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Level 1 — Valuations based on quoted prices in active markets for identical assets or liabilities that the Company has the ability to access.</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June 30, 2024</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tbl>
      <w:tblPr>
        <w:tblW w:w="9474" w:type="dxa"/>
        <w:jc w:val="left"/>
        <w:tblInd w:w="0" w:type="dxa"/>
        <w:tblLayout w:type="fixed"/>
        <w:tblCellMar>
          <w:top w:w="28" w:type="dxa"/>
          <w:left w:w="28" w:type="dxa"/>
          <w:bottom w:w="28" w:type="dxa"/>
          <w:right w:w="28" w:type="dxa"/>
        </w:tblCellMar>
      </w:tblPr>
      <w:tblGrid>
        <w:gridCol w:w="124"/>
        <w:gridCol w:w="109"/>
        <w:gridCol w:w="92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41"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Level 2 — Valuations based on inputs other than quoted prices in active markets, which are either directly or indirectly observable.</w:t>
            </w:r>
          </w:p>
        </w:tc>
      </w:tr>
    </w:tbl>
    <w:tbl>
      <w:tblPr>
        <w:tblW w:w="8289" w:type="dxa"/>
        <w:jc w:val="left"/>
        <w:tblInd w:w="0" w:type="dxa"/>
        <w:tblLayout w:type="fixed"/>
        <w:tblCellMar>
          <w:top w:w="28" w:type="dxa"/>
          <w:left w:w="28" w:type="dxa"/>
          <w:bottom w:w="28" w:type="dxa"/>
          <w:right w:w="28" w:type="dxa"/>
        </w:tblCellMar>
      </w:tblPr>
      <w:tblGrid>
        <w:gridCol w:w="124"/>
        <w:gridCol w:w="109"/>
        <w:gridCol w:w="80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6"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Level 3 — Valuations based on inputs that are unobservable and significant to the overall fair value measurement.</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 employs the valuation policy approved by the Board that is consistent with ASC 820 (see Note 2). Consistent with the Company’s valuation policy, the Company evaluates the source of inputs, including any markets in which its investments are trading, in determining fair value.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estimating the fair value of portfolio investments, the Company starts with the cost basis of the investment, which includes amortized original issue discount and PIK income, if any. The transaction price is typically the best estimate of fair value at inception. When evidence supports a subsequent change to the carrying value from the original transaction price, adjustments are made to reflect the expected fair values.</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The following table presents the fair value measurements of investments, by major class, as of June 30, 2024, according to the fair value hierarchy (dollars in thousands):</w:t>
      </w:r>
    </w:p>
    <w:tbl>
      <w:tblPr>
        <w:tblW w:w="7422" w:type="dxa"/>
        <w:jc w:val="left"/>
        <w:tblInd w:w="0" w:type="dxa"/>
        <w:tblLayout w:type="fixed"/>
        <w:tblCellMar>
          <w:top w:w="28" w:type="dxa"/>
          <w:left w:w="28" w:type="dxa"/>
          <w:bottom w:w="28" w:type="dxa"/>
          <w:right w:w="28" w:type="dxa"/>
        </w:tblCellMar>
      </w:tblPr>
      <w:tblGrid>
        <w:gridCol w:w="2311"/>
        <w:gridCol w:w="146"/>
        <w:gridCol w:w="228"/>
        <w:gridCol w:w="402"/>
        <w:gridCol w:w="146"/>
        <w:gridCol w:w="146"/>
        <w:gridCol w:w="228"/>
        <w:gridCol w:w="402"/>
        <w:gridCol w:w="146"/>
        <w:gridCol w:w="146"/>
        <w:gridCol w:w="196"/>
        <w:gridCol w:w="691"/>
        <w:gridCol w:w="146"/>
        <w:gridCol w:w="146"/>
        <w:gridCol w:w="196"/>
        <w:gridCol w:w="376"/>
        <w:gridCol w:w="146"/>
        <w:gridCol w:w="146"/>
        <w:gridCol w:w="196"/>
        <w:gridCol w:w="69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77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125,133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125,133</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8,012</w:t>
            </w:r>
          </w:p>
        </w:tc>
        <w:tc>
          <w:tcPr>
            <w:tcW w:w="191" w:type="dxa"/>
            <w:tcBorders/>
            <w:shd w:fill="FFFFFF" w:val="cle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23,218</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1,596</w:t>
            </w:r>
          </w:p>
        </w:tc>
        <w:tc>
          <w:tcPr>
            <w:tcW w:w="191" w:type="dxa"/>
            <w:tcBorders/>
            <w:shd w:fill="FFFFFF" w:val="cle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Joint Venture</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37,187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195,146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195,553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16"/>
        </w:rPr>
      </w:pPr>
      <w:r>
        <w:rPr>
          <w:rFonts w:ascii="Times New Roman" w:hAnsi="Times New Roman"/>
          <w:color w:val="000000"/>
          <w:sz w:val="16"/>
        </w:rPr>
        <w:t>The following table presents fair value measurements of investments, by major class, as of December 31, 2023, according to the fair value hierarchy (dollars in thousands):</w:t>
      </w:r>
    </w:p>
    <w:tbl>
      <w:tblPr>
        <w:tblW w:w="7422" w:type="dxa"/>
        <w:jc w:val="left"/>
        <w:tblInd w:w="0" w:type="dxa"/>
        <w:tblLayout w:type="fixed"/>
        <w:tblCellMar>
          <w:top w:w="28" w:type="dxa"/>
          <w:left w:w="28" w:type="dxa"/>
          <w:bottom w:w="28" w:type="dxa"/>
          <w:right w:w="28" w:type="dxa"/>
        </w:tblCellMar>
      </w:tblPr>
      <w:tblGrid>
        <w:gridCol w:w="2311"/>
        <w:gridCol w:w="146"/>
        <w:gridCol w:w="228"/>
        <w:gridCol w:w="402"/>
        <w:gridCol w:w="146"/>
        <w:gridCol w:w="146"/>
        <w:gridCol w:w="228"/>
        <w:gridCol w:w="402"/>
        <w:gridCol w:w="146"/>
        <w:gridCol w:w="146"/>
        <w:gridCol w:w="196"/>
        <w:gridCol w:w="691"/>
        <w:gridCol w:w="146"/>
        <w:gridCol w:w="146"/>
        <w:gridCol w:w="196"/>
        <w:gridCol w:w="376"/>
        <w:gridCol w:w="146"/>
        <w:gridCol w:w="146"/>
        <w:gridCol w:w="196"/>
        <w:gridCol w:w="69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77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124,007</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7,918</w:t>
            </w:r>
          </w:p>
        </w:tc>
        <w:tc>
          <w:tcPr>
            <w:tcW w:w="191" w:type="dxa"/>
            <w:tcBorders/>
            <w:shd w:fill="FFFFFF" w:val="cle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23,548</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w:t>
            </w:r>
          </w:p>
        </w:tc>
        <w:tc>
          <w:tcPr>
            <w:tcW w:w="191" w:type="dxa"/>
            <w:tcBorders/>
            <w:shd w:fill="FFFFFF" w:val="cle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Joint Venture</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32,135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189,208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189,658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16"/>
        </w:rPr>
      </w:pPr>
      <w:r>
        <w:rPr>
          <w:rFonts w:ascii="Times New Roman" w:hAnsi="Times New Roman"/>
          <w:color w:val="000000"/>
          <w:sz w:val="16"/>
        </w:rPr>
        <w:t>The following table provides a reconciliation of the beginning and ending balances for investments that use Level 3 inputs for the six months ended June 30, 2024 (dollars in thousands):</w:t>
      </w:r>
    </w:p>
    <w:tbl>
      <w:tblPr>
        <w:tblW w:w="10205" w:type="dxa"/>
        <w:jc w:val="left"/>
        <w:tblInd w:w="0" w:type="dxa"/>
        <w:tblLayout w:type="fixed"/>
        <w:tblCellMar>
          <w:top w:w="28" w:type="dxa"/>
          <w:left w:w="28" w:type="dxa"/>
          <w:bottom w:w="28" w:type="dxa"/>
          <w:right w:w="28" w:type="dxa"/>
        </w:tblCellMar>
      </w:tblPr>
      <w:tblGrid>
        <w:gridCol w:w="2339"/>
        <w:gridCol w:w="146"/>
        <w:gridCol w:w="196"/>
        <w:gridCol w:w="691"/>
        <w:gridCol w:w="166"/>
        <w:gridCol w:w="146"/>
        <w:gridCol w:w="217"/>
        <w:gridCol w:w="568"/>
        <w:gridCol w:w="166"/>
        <w:gridCol w:w="146"/>
        <w:gridCol w:w="265"/>
        <w:gridCol w:w="816"/>
        <w:gridCol w:w="166"/>
        <w:gridCol w:w="146"/>
        <w:gridCol w:w="418"/>
        <w:gridCol w:w="1092"/>
        <w:gridCol w:w="166"/>
        <w:gridCol w:w="146"/>
        <w:gridCol w:w="196"/>
        <w:gridCol w:w="601"/>
        <w:gridCol w:w="166"/>
        <w:gridCol w:w="146"/>
        <w:gridCol w:w="196"/>
        <w:gridCol w:w="691"/>
        <w:gridCol w:w="213"/>
      </w:tblGrid>
      <w:tr>
        <w:trPr/>
        <w:tc>
          <w:tcPr>
            <w:tcW w:w="23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33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Lien</w:t>
              <w:br/>
              <w:t>Debt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 Lien</w:t>
              <w:br/>
              <w:t>Debt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Subordinated</w:t>
              <w:br/>
              <w:t>Debt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Collateralized Loan Obligations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January 1, 2024</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1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189,208</w:t>
            </w:r>
          </w:p>
        </w:tc>
        <w:tc>
          <w:tcPr>
            <w:tcW w:w="213" w:type="dxa"/>
            <w:tcBorders/>
            <w:shd w:fill="CFF0FC" w:val="clear"/>
            <w:vAlign w:val="center"/>
          </w:tcPr>
          <w:p>
            <w:pPr>
              <w:pStyle w:val="TableContents"/>
              <w:bidi w:val="0"/>
              <w:spacing w:before="0" w:after="283"/>
              <w:jc w:val="left"/>
              <w:rPr/>
            </w:pPr>
            <w:r>
              <w:rPr/>
              <w:t> </w:t>
            </w:r>
          </w:p>
        </w:tc>
      </w:tr>
      <w:tr>
        <w:trPr/>
        <w:tc>
          <w:tcPr>
            <w:tcW w:w="233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Repayments/sales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(5,914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18"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(6,441</w:t>
            </w:r>
          </w:p>
        </w:tc>
        <w:tc>
          <w:tcPr>
            <w:tcW w:w="21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3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56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18"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11,327</w:t>
            </w:r>
          </w:p>
        </w:tc>
        <w:tc>
          <w:tcPr>
            <w:tcW w:w="213" w:type="dxa"/>
            <w:tcBorders/>
            <w:shd w:fill="CFF0FC" w:val="clear"/>
            <w:vAlign w:val="center"/>
          </w:tcPr>
          <w:p>
            <w:pPr>
              <w:pStyle w:val="TableContents"/>
              <w:bidi w:val="0"/>
              <w:spacing w:before="0" w:after="283"/>
              <w:jc w:val="left"/>
              <w:rPr/>
            </w:pPr>
            <w:r>
              <w:rPr/>
              <w:t> </w:t>
            </w:r>
          </w:p>
        </w:tc>
      </w:tr>
      <w:tr>
        <w:trPr/>
        <w:tc>
          <w:tcPr>
            <w:tcW w:w="233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Payment-in-kind interest and dividends accrued</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18"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871</w:t>
            </w:r>
          </w:p>
        </w:tc>
        <w:tc>
          <w:tcPr>
            <w:tcW w:w="213" w:type="dxa"/>
            <w:tcBorders/>
            <w:shd w:fill="FFFFFF" w:val="clear"/>
            <w:vAlign w:val="center"/>
          </w:tcPr>
          <w:p>
            <w:pPr>
              <w:pStyle w:val="TableContents"/>
              <w:bidi w:val="0"/>
              <w:spacing w:before="0" w:after="283"/>
              <w:jc w:val="left"/>
              <w:rPr/>
            </w:pPr>
            <w:r>
              <w:rPr/>
              <w:t> </w:t>
            </w:r>
          </w:p>
        </w:tc>
      </w:tr>
      <w:tr>
        <w:trPr/>
        <w:tc>
          <w:tcPr>
            <w:tcW w:w="233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Accretion of original issue discount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56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18"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w:t>
            </w:r>
          </w:p>
        </w:tc>
        <w:tc>
          <w:tcPr>
            <w:tcW w:w="213" w:type="dxa"/>
            <w:tcBorders/>
            <w:shd w:fill="CFF0FC" w:val="clear"/>
            <w:vAlign w:val="center"/>
          </w:tcPr>
          <w:p>
            <w:pPr>
              <w:pStyle w:val="TableContents"/>
              <w:bidi w:val="0"/>
              <w:spacing w:before="0" w:after="283"/>
              <w:jc w:val="left"/>
              <w:rPr/>
            </w:pPr>
            <w:r>
              <w:rPr/>
              <w:t> </w:t>
            </w:r>
          </w:p>
        </w:tc>
      </w:tr>
      <w:tr>
        <w:trPr/>
        <w:tc>
          <w:tcPr>
            <w:tcW w:w="233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(loss) gain on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18"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213" w:type="dxa"/>
            <w:tcBorders/>
            <w:shd w:fill="FFFFFF" w:val="clear"/>
            <w:vAlign w:val="center"/>
          </w:tcPr>
          <w:p>
            <w:pPr>
              <w:pStyle w:val="TableContents"/>
              <w:bidi w:val="0"/>
              <w:spacing w:before="0" w:after="283"/>
              <w:jc w:val="left"/>
              <w:rPr/>
            </w:pPr>
            <w:r>
              <w:rPr/>
              <w:t> </w:t>
            </w:r>
          </w:p>
        </w:tc>
      </w:tr>
      <w:tr>
        <w:trPr/>
        <w:tc>
          <w:tcPr>
            <w:tcW w:w="233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appreciation (depreciation) on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56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418"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w:t>
            </w:r>
          </w:p>
        </w:tc>
        <w:tc>
          <w:tcPr>
            <w:tcW w:w="21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3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June 30, 2024</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125,133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8,012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23,218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1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37,187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195,146</w:t>
            </w:r>
          </w:p>
        </w:tc>
        <w:tc>
          <w:tcPr>
            <w:tcW w:w="21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16"/>
        </w:rPr>
      </w:pPr>
      <w:r>
        <w:rPr>
          <w:rFonts w:ascii="Times New Roman" w:hAnsi="Times New Roman"/>
          <w:color w:val="000000"/>
          <w:sz w:val="16"/>
        </w:rPr>
        <w:t>The following table provides a reconciliation of the beginning and ending balances for investments that use Level 3 inputs for the six months ended June 30, 2023 (dollars in thousands):</w:t>
      </w:r>
    </w:p>
    <w:tbl>
      <w:tblPr>
        <w:tblW w:w="10205" w:type="dxa"/>
        <w:jc w:val="left"/>
        <w:tblInd w:w="0" w:type="dxa"/>
        <w:tblLayout w:type="fixed"/>
        <w:tblCellMar>
          <w:top w:w="28" w:type="dxa"/>
          <w:left w:w="28" w:type="dxa"/>
          <w:bottom w:w="28" w:type="dxa"/>
          <w:right w:w="28" w:type="dxa"/>
        </w:tblCellMar>
      </w:tblPr>
      <w:tblGrid>
        <w:gridCol w:w="2353"/>
        <w:gridCol w:w="146"/>
        <w:gridCol w:w="196"/>
        <w:gridCol w:w="691"/>
        <w:gridCol w:w="166"/>
        <w:gridCol w:w="146"/>
        <w:gridCol w:w="218"/>
        <w:gridCol w:w="568"/>
        <w:gridCol w:w="146"/>
        <w:gridCol w:w="146"/>
        <w:gridCol w:w="265"/>
        <w:gridCol w:w="816"/>
        <w:gridCol w:w="166"/>
        <w:gridCol w:w="146"/>
        <w:gridCol w:w="386"/>
        <w:gridCol w:w="1129"/>
        <w:gridCol w:w="166"/>
        <w:gridCol w:w="146"/>
        <w:gridCol w:w="196"/>
        <w:gridCol w:w="601"/>
        <w:gridCol w:w="166"/>
        <w:gridCol w:w="146"/>
        <w:gridCol w:w="196"/>
        <w:gridCol w:w="691"/>
        <w:gridCol w:w="213"/>
      </w:tblGrid>
      <w:tr>
        <w:trPr/>
        <w:tc>
          <w:tcPr>
            <w:tcW w:w="23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3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Lien</w:t>
              <w:br/>
              <w:t>Debt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 Lien</w:t>
              <w:br/>
              <w:t>Debt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Subordinated</w:t>
              <w:br/>
              <w:t>Debt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Collateralized Loan Obligations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January 1, 2023</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136,896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203,189</w:t>
            </w:r>
          </w:p>
        </w:tc>
        <w:tc>
          <w:tcPr>
            <w:tcW w:w="213" w:type="dxa"/>
            <w:tcBorders/>
            <w:shd w:fill="CFF0FC" w:val="clear"/>
            <w:vAlign w:val="center"/>
          </w:tcPr>
          <w:p>
            <w:pPr>
              <w:pStyle w:val="TableContents"/>
              <w:bidi w:val="0"/>
              <w:spacing w:before="0" w:after="283"/>
              <w:jc w:val="left"/>
              <w:rPr/>
            </w:pPr>
            <w:r>
              <w:rPr/>
              <w:t> </w:t>
            </w:r>
          </w:p>
        </w:tc>
      </w:tr>
      <w:tr>
        <w:trPr/>
        <w:tc>
          <w:tcPr>
            <w:tcW w:w="235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Repayments/sales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(11,020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18"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(11,241</w:t>
            </w:r>
          </w:p>
        </w:tc>
        <w:tc>
          <w:tcPr>
            <w:tcW w:w="21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5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8" w:type="dxa"/>
            <w:tcBorders/>
            <w:shd w:fill="CFF0FC" w:val="clear"/>
            <w:vAlign w:val="center"/>
          </w:tcPr>
          <w:p>
            <w:pPr>
              <w:pStyle w:val="TableContents"/>
              <w:bidi w:val="0"/>
              <w:spacing w:before="0" w:after="283"/>
              <w:jc w:val="left"/>
              <w:rPr/>
            </w:pPr>
            <w:r>
              <w:rPr/>
              <w:t> </w:t>
            </w:r>
          </w:p>
        </w:tc>
        <w:tc>
          <w:tcPr>
            <w:tcW w:w="56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left"/>
              <w:rPr/>
            </w:pPr>
            <w:r>
              <w:rPr/>
              <w:t> </w:t>
            </w:r>
          </w:p>
        </w:tc>
        <w:tc>
          <w:tcPr>
            <w:tcW w:w="112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12,180</w:t>
            </w:r>
          </w:p>
        </w:tc>
        <w:tc>
          <w:tcPr>
            <w:tcW w:w="213" w:type="dxa"/>
            <w:tcBorders/>
            <w:shd w:fill="CFF0FC" w:val="clear"/>
            <w:vAlign w:val="center"/>
          </w:tcPr>
          <w:p>
            <w:pPr>
              <w:pStyle w:val="TableContents"/>
              <w:bidi w:val="0"/>
              <w:spacing w:before="0" w:after="283"/>
              <w:jc w:val="left"/>
              <w:rPr/>
            </w:pPr>
            <w:r>
              <w:rPr/>
              <w:t> </w:t>
            </w:r>
          </w:p>
        </w:tc>
      </w:tr>
      <w:tr>
        <w:trPr/>
        <w:tc>
          <w:tcPr>
            <w:tcW w:w="235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Payment-in-kind interest and dividends accrued</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8"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783</w:t>
            </w:r>
          </w:p>
        </w:tc>
        <w:tc>
          <w:tcPr>
            <w:tcW w:w="213" w:type="dxa"/>
            <w:tcBorders/>
            <w:shd w:fill="FFFFFF" w:val="clear"/>
            <w:vAlign w:val="center"/>
          </w:tcPr>
          <w:p>
            <w:pPr>
              <w:pStyle w:val="TableContents"/>
              <w:bidi w:val="0"/>
              <w:spacing w:before="0" w:after="283"/>
              <w:jc w:val="left"/>
              <w:rPr/>
            </w:pPr>
            <w:r>
              <w:rPr/>
              <w:t> </w:t>
            </w:r>
          </w:p>
        </w:tc>
      </w:tr>
      <w:tr>
        <w:trPr/>
        <w:tc>
          <w:tcPr>
            <w:tcW w:w="235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Accretion of original issue discount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8" w:type="dxa"/>
            <w:tcBorders/>
            <w:shd w:fill="CFF0FC" w:val="clear"/>
            <w:vAlign w:val="center"/>
          </w:tcPr>
          <w:p>
            <w:pPr>
              <w:pStyle w:val="TableContents"/>
              <w:bidi w:val="0"/>
              <w:spacing w:before="0" w:after="283"/>
              <w:jc w:val="left"/>
              <w:rPr/>
            </w:pPr>
            <w:r>
              <w:rPr/>
              <w:t> </w:t>
            </w:r>
          </w:p>
        </w:tc>
        <w:tc>
          <w:tcPr>
            <w:tcW w:w="56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left"/>
              <w:rPr/>
            </w:pPr>
            <w:r>
              <w:rPr/>
              <w:t> </w:t>
            </w:r>
          </w:p>
        </w:tc>
        <w:tc>
          <w:tcPr>
            <w:tcW w:w="11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736</w:t>
            </w:r>
          </w:p>
        </w:tc>
        <w:tc>
          <w:tcPr>
            <w:tcW w:w="213" w:type="dxa"/>
            <w:tcBorders/>
            <w:shd w:fill="CFF0FC" w:val="clear"/>
            <w:vAlign w:val="center"/>
          </w:tcPr>
          <w:p>
            <w:pPr>
              <w:pStyle w:val="TableContents"/>
              <w:bidi w:val="0"/>
              <w:spacing w:before="0" w:after="283"/>
              <w:jc w:val="left"/>
              <w:rPr/>
            </w:pPr>
            <w:r>
              <w:rPr/>
              <w:t> </w:t>
            </w:r>
          </w:p>
        </w:tc>
      </w:tr>
      <w:tr>
        <w:trPr/>
        <w:tc>
          <w:tcPr>
            <w:tcW w:w="235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(loss) gain on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8"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(3,993</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(3,868</w:t>
            </w:r>
          </w:p>
        </w:tc>
        <w:tc>
          <w:tcPr>
            <w:tcW w:w="21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5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(depreciation) appreciation on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18" w:type="dxa"/>
            <w:tcBorders/>
            <w:shd w:fill="CFF0FC" w:val="clear"/>
            <w:vAlign w:val="center"/>
          </w:tcPr>
          <w:p>
            <w:pPr>
              <w:pStyle w:val="TableContents"/>
              <w:bidi w:val="0"/>
              <w:spacing w:before="0" w:after="283"/>
              <w:jc w:val="left"/>
              <w:rPr/>
            </w:pPr>
            <w:r>
              <w:rPr/>
              <w:t> </w:t>
            </w:r>
          </w:p>
        </w:tc>
        <w:tc>
          <w:tcPr>
            <w:tcW w:w="56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left"/>
              <w:rPr/>
            </w:pPr>
            <w:r>
              <w:rPr/>
              <w:t> </w:t>
            </w:r>
          </w:p>
        </w:tc>
        <w:tc>
          <w:tcPr>
            <w:tcW w:w="11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4,350</w:t>
            </w:r>
          </w:p>
        </w:tc>
        <w:tc>
          <w:tcPr>
            <w:tcW w:w="213" w:type="dxa"/>
            <w:tcBorders/>
            <w:shd w:fill="CFF0FC" w:val="clear"/>
            <w:vAlign w:val="center"/>
          </w:tcPr>
          <w:p>
            <w:pPr>
              <w:pStyle w:val="TableContents"/>
              <w:bidi w:val="0"/>
              <w:spacing w:before="0" w:after="283"/>
              <w:jc w:val="left"/>
              <w:rPr/>
            </w:pPr>
            <w:r>
              <w:rPr/>
              <w:t> </w:t>
            </w:r>
          </w:p>
        </w:tc>
      </w:tr>
      <w:tr>
        <w:trPr/>
        <w:tc>
          <w:tcPr>
            <w:tcW w:w="235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Transfers out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(8,242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5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June 30, 2023</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130,440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197,887</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June 30, 2024</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16"/>
        </w:rPr>
        <w:t>The net change in unrealized appreciation (depreciation) on investments held was $(0.9) million and $4.5</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for the six months ended June 30, 2024 and 2023, respectively, and is included in net change in unrealized appreciation (depreciation) on investments on the consolidated statements of operations.</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The valuation techniques and significant unobservable inputs used in recurring Level 3 fair value measurements of assets as of June 30, 2024 were as follows:</w:t>
      </w:r>
    </w:p>
    <w:tbl>
      <w:tblPr>
        <w:tblW w:w="10205" w:type="dxa"/>
        <w:jc w:val="left"/>
        <w:tblInd w:w="0" w:type="dxa"/>
        <w:tblLayout w:type="fixed"/>
        <w:tblCellMar>
          <w:top w:w="28" w:type="dxa"/>
          <w:left w:w="28" w:type="dxa"/>
          <w:bottom w:w="28" w:type="dxa"/>
          <w:right w:w="28" w:type="dxa"/>
        </w:tblCellMar>
      </w:tblPr>
      <w:tblGrid>
        <w:gridCol w:w="2204"/>
        <w:gridCol w:w="146"/>
        <w:gridCol w:w="260"/>
        <w:gridCol w:w="678"/>
        <w:gridCol w:w="146"/>
        <w:gridCol w:w="146"/>
        <w:gridCol w:w="2473"/>
        <w:gridCol w:w="146"/>
        <w:gridCol w:w="1727"/>
        <w:gridCol w:w="146"/>
        <w:gridCol w:w="2133"/>
      </w:tblGrid>
      <w:tr>
        <w:trPr/>
        <w:tc>
          <w:tcPr>
            <w:tcW w:w="2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r>
      <w:tr>
        <w:trPr/>
        <w:tc>
          <w:tcPr>
            <w:tcW w:w="22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Valuation </w:t>
              <w:br/>
              <w:t>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w:t>
              <w:br/>
              <w:t>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Range of Input</w:t>
              <w:br/>
              <w:t> (Weighted Average)</w:t>
            </w:r>
            <w:r>
              <w:rPr>
                <w:rFonts w:ascii="Times New Roman" w:hAnsi="Times New Roman"/>
                <w:b/>
                <w:color w:val="000000"/>
                <w:sz w:val="11"/>
              </w:rPr>
              <w:t>(2)</w:t>
            </w:r>
          </w:p>
        </w:tc>
      </w:tr>
      <w:tr>
        <w:trPr/>
        <w:tc>
          <w:tcPr>
            <w:tcW w:w="220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7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Market</w:t>
            </w:r>
          </w:p>
        </w:tc>
        <w:tc>
          <w:tcPr>
            <w:tcW w:w="146" w:type="dxa"/>
            <w:tcBorders/>
            <w:shd w:fill="CFF0FC" w:val="clear"/>
            <w:vAlign w:val="center"/>
          </w:tcPr>
          <w:p>
            <w:pPr>
              <w:pStyle w:val="TableContents"/>
              <w:bidi w:val="0"/>
              <w:spacing w:before="0" w:after="283"/>
              <w:jc w:val="left"/>
              <w:rPr/>
            </w:pPr>
            <w:r>
              <w:rPr/>
              <w:t> </w:t>
            </w:r>
          </w:p>
        </w:tc>
        <w:tc>
          <w:tcPr>
            <w:tcW w:w="172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Broker/Dealer Quotes</w:t>
            </w:r>
          </w:p>
        </w:tc>
        <w:tc>
          <w:tcPr>
            <w:tcW w:w="146" w:type="dxa"/>
            <w:tcBorders/>
            <w:shd w:fill="CFF0FC" w:val="clear"/>
            <w:vAlign w:val="center"/>
          </w:tcPr>
          <w:p>
            <w:pPr>
              <w:pStyle w:val="TableContents"/>
              <w:bidi w:val="0"/>
              <w:spacing w:before="0" w:after="283"/>
              <w:jc w:val="left"/>
              <w:rPr/>
            </w:pPr>
            <w:r>
              <w:rPr/>
              <w:t> </w:t>
            </w:r>
          </w:p>
        </w:tc>
        <w:tc>
          <w:tcPr>
            <w:tcW w:w="213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w:t>
            </w:r>
          </w:p>
        </w:tc>
      </w:tr>
      <w:tr>
        <w:trPr/>
        <w:tc>
          <w:tcPr>
            <w:tcW w:w="220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7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w:t>
            </w:r>
          </w:p>
        </w:tc>
        <w:tc>
          <w:tcPr>
            <w:tcW w:w="146" w:type="dxa"/>
            <w:tcBorders/>
            <w:shd w:fill="FFFFFF" w:val="clear"/>
            <w:vAlign w:val="center"/>
          </w:tcPr>
          <w:p>
            <w:pPr>
              <w:pStyle w:val="TableContents"/>
              <w:bidi w:val="0"/>
              <w:spacing w:before="0" w:after="283"/>
              <w:jc w:val="left"/>
              <w:rPr/>
            </w:pPr>
            <w:r>
              <w:rPr/>
              <w:t> </w:t>
            </w:r>
          </w:p>
        </w:tc>
        <w:tc>
          <w:tcPr>
            <w:tcW w:w="172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Required Rate of Return</w:t>
            </w:r>
          </w:p>
        </w:tc>
        <w:tc>
          <w:tcPr>
            <w:tcW w:w="146" w:type="dxa"/>
            <w:tcBorders/>
            <w:shd w:fill="FFFFFF" w:val="clear"/>
            <w:vAlign w:val="center"/>
          </w:tcPr>
          <w:p>
            <w:pPr>
              <w:pStyle w:val="TableContents"/>
              <w:bidi w:val="0"/>
              <w:spacing w:before="0" w:after="283"/>
              <w:jc w:val="left"/>
              <w:rPr/>
            </w:pPr>
            <w:r>
              <w:rPr/>
              <w:t> </w:t>
            </w:r>
          </w:p>
        </w:tc>
        <w:tc>
          <w:tcPr>
            <w:tcW w:w="213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7.6% – 18.6% (11.2%)</w:t>
            </w:r>
          </w:p>
        </w:tc>
      </w:tr>
      <w:tr>
        <w:trPr/>
        <w:tc>
          <w:tcPr>
            <w:tcW w:w="220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7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Enterprise Market Value</w:t>
            </w:r>
          </w:p>
        </w:tc>
        <w:tc>
          <w:tcPr>
            <w:tcW w:w="146" w:type="dxa"/>
            <w:tcBorders/>
            <w:shd w:fill="CFF0FC" w:val="clear"/>
            <w:vAlign w:val="center"/>
          </w:tcPr>
          <w:p>
            <w:pPr>
              <w:pStyle w:val="TableContents"/>
              <w:bidi w:val="0"/>
              <w:spacing w:before="0" w:after="283"/>
              <w:jc w:val="left"/>
              <w:rPr/>
            </w:pPr>
            <w:r>
              <w:rPr/>
              <w:t> </w:t>
            </w:r>
          </w:p>
        </w:tc>
        <w:tc>
          <w:tcPr>
            <w:tcW w:w="172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EBITDA Multiple</w:t>
            </w:r>
          </w:p>
        </w:tc>
        <w:tc>
          <w:tcPr>
            <w:tcW w:w="146" w:type="dxa"/>
            <w:tcBorders/>
            <w:shd w:fill="CFF0FC" w:val="clear"/>
            <w:vAlign w:val="center"/>
          </w:tcPr>
          <w:p>
            <w:pPr>
              <w:pStyle w:val="TableContents"/>
              <w:bidi w:val="0"/>
              <w:spacing w:before="0" w:after="283"/>
              <w:jc w:val="left"/>
              <w:rPr/>
            </w:pPr>
            <w:r>
              <w:rPr/>
              <w:t> </w:t>
            </w:r>
          </w:p>
        </w:tc>
        <w:tc>
          <w:tcPr>
            <w:tcW w:w="213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7.0x</w:t>
            </w:r>
          </w:p>
        </w:tc>
      </w:tr>
      <w:tr>
        <w:trPr/>
        <w:tc>
          <w:tcPr>
            <w:tcW w:w="220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7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Enterprise Market Value</w:t>
            </w:r>
          </w:p>
        </w:tc>
        <w:tc>
          <w:tcPr>
            <w:tcW w:w="146" w:type="dxa"/>
            <w:tcBorders/>
            <w:shd w:fill="FFFFFF" w:val="clear"/>
            <w:vAlign w:val="center"/>
          </w:tcPr>
          <w:p>
            <w:pPr>
              <w:pStyle w:val="TableContents"/>
              <w:bidi w:val="0"/>
              <w:spacing w:before="0" w:after="283"/>
              <w:jc w:val="left"/>
              <w:rPr/>
            </w:pPr>
            <w:r>
              <w:rPr/>
              <w:t> </w:t>
            </w:r>
          </w:p>
        </w:tc>
        <w:tc>
          <w:tcPr>
            <w:tcW w:w="172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 Multiple</w:t>
            </w:r>
          </w:p>
        </w:tc>
        <w:tc>
          <w:tcPr>
            <w:tcW w:w="146" w:type="dxa"/>
            <w:tcBorders/>
            <w:shd w:fill="FFFFFF" w:val="clear"/>
            <w:vAlign w:val="center"/>
          </w:tcPr>
          <w:p>
            <w:pPr>
              <w:pStyle w:val="TableContents"/>
              <w:bidi w:val="0"/>
              <w:spacing w:before="0" w:after="283"/>
              <w:jc w:val="left"/>
              <w:rPr/>
            </w:pPr>
            <w:r>
              <w:rPr/>
              <w:t> </w:t>
            </w:r>
          </w:p>
        </w:tc>
        <w:tc>
          <w:tcPr>
            <w:tcW w:w="213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1.2x</w:t>
            </w:r>
          </w:p>
        </w:tc>
      </w:tr>
      <w:tr>
        <w:trPr/>
        <w:tc>
          <w:tcPr>
            <w:tcW w:w="220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7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Market</w:t>
            </w:r>
          </w:p>
        </w:tc>
        <w:tc>
          <w:tcPr>
            <w:tcW w:w="146" w:type="dxa"/>
            <w:tcBorders/>
            <w:shd w:fill="CFF0FC" w:val="clear"/>
            <w:vAlign w:val="center"/>
          </w:tcPr>
          <w:p>
            <w:pPr>
              <w:pStyle w:val="TableContents"/>
              <w:bidi w:val="0"/>
              <w:spacing w:before="0" w:after="283"/>
              <w:jc w:val="left"/>
              <w:rPr/>
            </w:pPr>
            <w:r>
              <w:rPr/>
              <w:t> </w:t>
            </w:r>
          </w:p>
        </w:tc>
        <w:tc>
          <w:tcPr>
            <w:tcW w:w="172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Broker/Dealer Quotes</w:t>
            </w:r>
          </w:p>
        </w:tc>
        <w:tc>
          <w:tcPr>
            <w:tcW w:w="146" w:type="dxa"/>
            <w:tcBorders/>
            <w:shd w:fill="CFF0FC" w:val="clear"/>
            <w:vAlign w:val="center"/>
          </w:tcPr>
          <w:p>
            <w:pPr>
              <w:pStyle w:val="TableContents"/>
              <w:bidi w:val="0"/>
              <w:spacing w:before="0" w:after="283"/>
              <w:jc w:val="left"/>
              <w:rPr/>
            </w:pPr>
            <w:r>
              <w:rPr/>
              <w:t> </w:t>
            </w:r>
          </w:p>
        </w:tc>
        <w:tc>
          <w:tcPr>
            <w:tcW w:w="213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w:t>
            </w:r>
          </w:p>
        </w:tc>
      </w:tr>
      <w:tr>
        <w:trPr/>
        <w:tc>
          <w:tcPr>
            <w:tcW w:w="220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7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w:t>
            </w:r>
          </w:p>
        </w:tc>
        <w:tc>
          <w:tcPr>
            <w:tcW w:w="146" w:type="dxa"/>
            <w:tcBorders/>
            <w:shd w:fill="FFFFFF" w:val="clear"/>
            <w:vAlign w:val="center"/>
          </w:tcPr>
          <w:p>
            <w:pPr>
              <w:pStyle w:val="TableContents"/>
              <w:bidi w:val="0"/>
              <w:spacing w:before="0" w:after="283"/>
              <w:jc w:val="left"/>
              <w:rPr/>
            </w:pPr>
            <w:r>
              <w:rPr/>
              <w:t> </w:t>
            </w:r>
          </w:p>
        </w:tc>
        <w:tc>
          <w:tcPr>
            <w:tcW w:w="172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Required Rate of Return</w:t>
            </w:r>
          </w:p>
        </w:tc>
        <w:tc>
          <w:tcPr>
            <w:tcW w:w="146" w:type="dxa"/>
            <w:tcBorders/>
            <w:shd w:fill="FFFFFF" w:val="clear"/>
            <w:vAlign w:val="center"/>
          </w:tcPr>
          <w:p>
            <w:pPr>
              <w:pStyle w:val="TableContents"/>
              <w:bidi w:val="0"/>
              <w:spacing w:before="0" w:after="283"/>
              <w:jc w:val="left"/>
              <w:rPr/>
            </w:pPr>
            <w:r>
              <w:rPr/>
              <w:t> </w:t>
            </w:r>
          </w:p>
        </w:tc>
        <w:tc>
          <w:tcPr>
            <w:tcW w:w="213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1.9% – 19.8% (15.9%)</w:t>
            </w:r>
          </w:p>
        </w:tc>
      </w:tr>
      <w:tr>
        <w:trPr/>
        <w:tc>
          <w:tcPr>
            <w:tcW w:w="220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7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w:t>
            </w:r>
          </w:p>
        </w:tc>
        <w:tc>
          <w:tcPr>
            <w:tcW w:w="146" w:type="dxa"/>
            <w:tcBorders/>
            <w:shd w:fill="CFF0FC" w:val="clear"/>
            <w:vAlign w:val="center"/>
          </w:tcPr>
          <w:p>
            <w:pPr>
              <w:pStyle w:val="TableContents"/>
              <w:bidi w:val="0"/>
              <w:spacing w:before="0" w:after="283"/>
              <w:jc w:val="left"/>
              <w:rPr/>
            </w:pPr>
            <w:r>
              <w:rPr/>
              <w:t> </w:t>
            </w:r>
          </w:p>
        </w:tc>
        <w:tc>
          <w:tcPr>
            <w:tcW w:w="172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Required Rate of Return</w:t>
            </w:r>
          </w:p>
        </w:tc>
        <w:tc>
          <w:tcPr>
            <w:tcW w:w="146" w:type="dxa"/>
            <w:tcBorders/>
            <w:shd w:fill="CFF0FC" w:val="clear"/>
            <w:vAlign w:val="center"/>
          </w:tcPr>
          <w:p>
            <w:pPr>
              <w:pStyle w:val="TableContents"/>
              <w:bidi w:val="0"/>
              <w:spacing w:before="0" w:after="283"/>
              <w:jc w:val="left"/>
              <w:rPr/>
            </w:pPr>
            <w:r>
              <w:rPr/>
              <w:t> </w:t>
            </w:r>
          </w:p>
        </w:tc>
        <w:tc>
          <w:tcPr>
            <w:tcW w:w="213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10.9% – 15.0% (10.9%)</w:t>
            </w:r>
          </w:p>
        </w:tc>
      </w:tr>
      <w:tr>
        <w:trPr/>
        <w:tc>
          <w:tcPr>
            <w:tcW w:w="220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7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Enterprise Market Value</w:t>
            </w:r>
          </w:p>
        </w:tc>
        <w:tc>
          <w:tcPr>
            <w:tcW w:w="146" w:type="dxa"/>
            <w:tcBorders/>
            <w:shd w:fill="FFFFFF" w:val="clear"/>
            <w:vAlign w:val="center"/>
          </w:tcPr>
          <w:p>
            <w:pPr>
              <w:pStyle w:val="TableContents"/>
              <w:bidi w:val="0"/>
              <w:spacing w:before="0" w:after="283"/>
              <w:jc w:val="left"/>
              <w:rPr/>
            </w:pPr>
            <w:r>
              <w:rPr/>
              <w:t> </w:t>
            </w:r>
          </w:p>
        </w:tc>
        <w:tc>
          <w:tcPr>
            <w:tcW w:w="172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EBITDA Multiple</w:t>
            </w:r>
          </w:p>
        </w:tc>
        <w:tc>
          <w:tcPr>
            <w:tcW w:w="146" w:type="dxa"/>
            <w:tcBorders/>
            <w:shd w:fill="FFFFFF" w:val="clear"/>
            <w:vAlign w:val="center"/>
          </w:tcPr>
          <w:p>
            <w:pPr>
              <w:pStyle w:val="TableContents"/>
              <w:bidi w:val="0"/>
              <w:spacing w:before="0" w:after="283"/>
              <w:jc w:val="left"/>
              <w:rPr/>
            </w:pPr>
            <w:r>
              <w:rPr/>
              <w:t> </w:t>
            </w:r>
          </w:p>
        </w:tc>
        <w:tc>
          <w:tcPr>
            <w:tcW w:w="213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5.6x</w:t>
            </w:r>
          </w:p>
        </w:tc>
      </w:tr>
      <w:tr>
        <w:trPr/>
        <w:tc>
          <w:tcPr>
            <w:tcW w:w="220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7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Enterprise Market Value</w:t>
            </w:r>
          </w:p>
        </w:tc>
        <w:tc>
          <w:tcPr>
            <w:tcW w:w="146" w:type="dxa"/>
            <w:tcBorders/>
            <w:shd w:fill="CFF0FC" w:val="clear"/>
            <w:vAlign w:val="center"/>
          </w:tcPr>
          <w:p>
            <w:pPr>
              <w:pStyle w:val="TableContents"/>
              <w:bidi w:val="0"/>
              <w:spacing w:before="0" w:after="283"/>
              <w:jc w:val="left"/>
              <w:rPr/>
            </w:pPr>
            <w:r>
              <w:rPr/>
              <w:t> </w:t>
            </w:r>
          </w:p>
        </w:tc>
        <w:tc>
          <w:tcPr>
            <w:tcW w:w="172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 Multiple</w:t>
            </w:r>
          </w:p>
        </w:tc>
        <w:tc>
          <w:tcPr>
            <w:tcW w:w="146" w:type="dxa"/>
            <w:tcBorders/>
            <w:shd w:fill="CFF0FC" w:val="clear"/>
            <w:vAlign w:val="center"/>
          </w:tcPr>
          <w:p>
            <w:pPr>
              <w:pStyle w:val="TableContents"/>
              <w:bidi w:val="0"/>
              <w:spacing w:before="0" w:after="283"/>
              <w:jc w:val="left"/>
              <w:rPr/>
            </w:pPr>
            <w:r>
              <w:rPr/>
              <w:t> </w:t>
            </w:r>
          </w:p>
        </w:tc>
        <w:tc>
          <w:tcPr>
            <w:tcW w:w="213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0.8x</w:t>
            </w:r>
          </w:p>
        </w:tc>
      </w:tr>
      <w:tr>
        <w:trPr/>
        <w:tc>
          <w:tcPr>
            <w:tcW w:w="220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7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w:t>
            </w:r>
          </w:p>
        </w:tc>
        <w:tc>
          <w:tcPr>
            <w:tcW w:w="146" w:type="dxa"/>
            <w:tcBorders/>
            <w:shd w:fill="FFFFFF" w:val="clear"/>
            <w:vAlign w:val="center"/>
          </w:tcPr>
          <w:p>
            <w:pPr>
              <w:pStyle w:val="TableContents"/>
              <w:bidi w:val="0"/>
              <w:spacing w:before="0" w:after="283"/>
              <w:jc w:val="left"/>
              <w:rPr/>
            </w:pPr>
            <w:r>
              <w:rPr/>
              <w:t> </w:t>
            </w:r>
          </w:p>
        </w:tc>
        <w:tc>
          <w:tcPr>
            <w:tcW w:w="172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Discount Margin</w:t>
            </w:r>
          </w:p>
        </w:tc>
        <w:tc>
          <w:tcPr>
            <w:tcW w:w="146" w:type="dxa"/>
            <w:tcBorders/>
            <w:shd w:fill="FFFFFF" w:val="clear"/>
            <w:vAlign w:val="center"/>
          </w:tcPr>
          <w:p>
            <w:pPr>
              <w:pStyle w:val="TableContents"/>
              <w:bidi w:val="0"/>
              <w:spacing w:before="0" w:after="283"/>
              <w:jc w:val="left"/>
              <w:rPr/>
            </w:pPr>
            <w:r>
              <w:rPr/>
              <w:t> </w:t>
            </w:r>
          </w:p>
        </w:tc>
        <w:tc>
          <w:tcPr>
            <w:tcW w:w="213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4.4% – 17.6% (15.4%)</w:t>
            </w:r>
          </w:p>
        </w:tc>
      </w:tr>
      <w:tr>
        <w:trPr/>
        <w:tc>
          <w:tcPr>
            <w:tcW w:w="220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7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w:t>
            </w:r>
          </w:p>
        </w:tc>
        <w:tc>
          <w:tcPr>
            <w:tcW w:w="146" w:type="dxa"/>
            <w:tcBorders/>
            <w:shd w:fill="CFF0FC" w:val="clear"/>
            <w:vAlign w:val="center"/>
          </w:tcPr>
          <w:p>
            <w:pPr>
              <w:pStyle w:val="TableContents"/>
              <w:bidi w:val="0"/>
              <w:spacing w:before="0" w:after="283"/>
              <w:jc w:val="left"/>
              <w:rPr/>
            </w:pPr>
            <w:r>
              <w:rPr/>
              <w:t> </w:t>
            </w:r>
          </w:p>
        </w:tc>
        <w:tc>
          <w:tcPr>
            <w:tcW w:w="172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Price</w:t>
              <w:br/>
              <w:t>Time to Exit (Years)</w:t>
              <w:br/>
              <w:t>Volatility</w:t>
            </w:r>
          </w:p>
        </w:tc>
        <w:tc>
          <w:tcPr>
            <w:tcW w:w="146" w:type="dxa"/>
            <w:tcBorders/>
            <w:shd w:fill="CFF0FC" w:val="clear"/>
            <w:vAlign w:val="center"/>
          </w:tcPr>
          <w:p>
            <w:pPr>
              <w:pStyle w:val="TableContents"/>
              <w:bidi w:val="0"/>
              <w:spacing w:before="0" w:after="283"/>
              <w:jc w:val="left"/>
              <w:rPr/>
            </w:pPr>
            <w:r>
              <w:rPr/>
              <w:t> </w:t>
            </w:r>
          </w:p>
        </w:tc>
        <w:tc>
          <w:tcPr>
            <w:tcW w:w="2133"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$98.2</w:t>
            </w:r>
            <w:r>
              <w:rPr>
                <w:rFonts w:ascii="Times New Roman" w:hAnsi="Times New Roman"/>
                <w:color w:val="000000"/>
                <w:sz w:val="20"/>
              </w:rPr>
              <w:t> </w:t>
            </w:r>
            <w:r>
              <w:rPr>
                <w:rFonts w:ascii="Times New Roman" w:hAnsi="Times New Roman"/>
                <w:color w:val="000000"/>
                <w:sz w:val="16"/>
              </w:rPr>
              <w:t>- $2,140.0</w:t>
            </w:r>
            <w:r>
              <w:rPr>
                <w:rFonts w:ascii="Times New Roman" w:hAnsi="Times New Roman"/>
                <w:color w:val="000000"/>
                <w:sz w:val="20"/>
              </w:rPr>
              <w:t> </w:t>
            </w:r>
            <w:r>
              <w:rPr>
                <w:rFonts w:ascii="Times New Roman" w:hAnsi="Times New Roman"/>
                <w:color w:val="000000"/>
                <w:sz w:val="16"/>
              </w:rPr>
              <w:t>($1,939.7)</w:t>
              <w:br/>
              <w:t>2.0</w:t>
            </w:r>
            <w:r>
              <w:rPr>
                <w:rFonts w:ascii="Times New Roman" w:hAnsi="Times New Roman"/>
                <w:color w:val="000000"/>
                <w:sz w:val="20"/>
              </w:rPr>
              <w:t> </w:t>
            </w:r>
            <w:r>
              <w:rPr>
                <w:rFonts w:ascii="Times New Roman" w:hAnsi="Times New Roman"/>
                <w:color w:val="000000"/>
                <w:sz w:val="16"/>
              </w:rPr>
              <w:t>- 4.5</w:t>
            </w:r>
            <w:r>
              <w:rPr>
                <w:rFonts w:ascii="Times New Roman" w:hAnsi="Times New Roman"/>
                <w:color w:val="000000"/>
                <w:sz w:val="20"/>
              </w:rPr>
              <w:t> </w:t>
            </w:r>
            <w:r>
              <w:rPr>
                <w:rFonts w:ascii="Times New Roman" w:hAnsi="Times New Roman"/>
                <w:color w:val="000000"/>
                <w:sz w:val="16"/>
              </w:rPr>
              <w:t>(4.3)</w:t>
              <w:br/>
              <w:t>35.0% - 40.0% (39.5%)</w:t>
            </w:r>
          </w:p>
        </w:tc>
      </w:tr>
      <w:tr>
        <w:trPr/>
        <w:tc>
          <w:tcPr>
            <w:tcW w:w="220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7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w:t>
            </w:r>
          </w:p>
        </w:tc>
        <w:tc>
          <w:tcPr>
            <w:tcW w:w="146" w:type="dxa"/>
            <w:tcBorders/>
            <w:shd w:fill="FFFFFF" w:val="clear"/>
            <w:vAlign w:val="center"/>
          </w:tcPr>
          <w:p>
            <w:pPr>
              <w:pStyle w:val="TableContents"/>
              <w:bidi w:val="0"/>
              <w:spacing w:before="0" w:after="283"/>
              <w:jc w:val="left"/>
              <w:rPr/>
            </w:pPr>
            <w:r>
              <w:rPr/>
              <w:t> </w:t>
            </w:r>
          </w:p>
        </w:tc>
        <w:tc>
          <w:tcPr>
            <w:tcW w:w="172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Required Rate of Return</w:t>
            </w:r>
          </w:p>
        </w:tc>
        <w:tc>
          <w:tcPr>
            <w:tcW w:w="146" w:type="dxa"/>
            <w:tcBorders/>
            <w:shd w:fill="FFFFFF" w:val="clear"/>
            <w:vAlign w:val="center"/>
          </w:tcPr>
          <w:p>
            <w:pPr>
              <w:pStyle w:val="TableContents"/>
              <w:bidi w:val="0"/>
              <w:spacing w:before="0" w:after="283"/>
              <w:jc w:val="left"/>
              <w:rPr/>
            </w:pPr>
            <w:r>
              <w:rPr/>
              <w:t> </w:t>
            </w:r>
          </w:p>
        </w:tc>
        <w:tc>
          <w:tcPr>
            <w:tcW w:w="213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16.9%</w:t>
            </w:r>
          </w:p>
        </w:tc>
      </w:tr>
      <w:tr>
        <w:trPr/>
        <w:tc>
          <w:tcPr>
            <w:tcW w:w="220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73"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Enterprise Market Value and Asset</w:t>
            </w:r>
            <w:r>
              <w:rPr>
                <w:rFonts w:ascii="Times New Roman" w:hAnsi="Times New Roman"/>
                <w:color w:val="000000"/>
                <w:sz w:val="11"/>
              </w:rPr>
              <w:t>(1)</w:t>
            </w:r>
          </w:p>
        </w:tc>
        <w:tc>
          <w:tcPr>
            <w:tcW w:w="146" w:type="dxa"/>
            <w:tcBorders/>
            <w:shd w:fill="CFF0FC" w:val="clear"/>
            <w:vAlign w:val="center"/>
          </w:tcPr>
          <w:p>
            <w:pPr>
              <w:pStyle w:val="TableContents"/>
              <w:bidi w:val="0"/>
              <w:spacing w:before="0" w:after="283"/>
              <w:jc w:val="left"/>
              <w:rPr/>
            </w:pPr>
            <w:r>
              <w:rPr/>
              <w:t> </w:t>
            </w:r>
          </w:p>
        </w:tc>
        <w:tc>
          <w:tcPr>
            <w:tcW w:w="172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EBITDA Multiple</w:t>
            </w:r>
          </w:p>
        </w:tc>
        <w:tc>
          <w:tcPr>
            <w:tcW w:w="146" w:type="dxa"/>
            <w:tcBorders/>
            <w:shd w:fill="CFF0FC" w:val="clear"/>
            <w:vAlign w:val="center"/>
          </w:tcPr>
          <w:p>
            <w:pPr>
              <w:pStyle w:val="TableContents"/>
              <w:bidi w:val="0"/>
              <w:spacing w:before="0" w:after="283"/>
              <w:jc w:val="left"/>
              <w:rPr/>
            </w:pPr>
            <w:r>
              <w:rPr/>
              <w:t> </w:t>
            </w:r>
          </w:p>
        </w:tc>
        <w:tc>
          <w:tcPr>
            <w:tcW w:w="213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0.2x – 18.0x (6.6x)</w:t>
            </w:r>
          </w:p>
        </w:tc>
      </w:tr>
      <w:tr>
        <w:trPr/>
        <w:tc>
          <w:tcPr>
            <w:tcW w:w="220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7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Enterprise Market Value</w:t>
            </w:r>
          </w:p>
        </w:tc>
        <w:tc>
          <w:tcPr>
            <w:tcW w:w="146" w:type="dxa"/>
            <w:tcBorders/>
            <w:shd w:fill="FFFFFF" w:val="clear"/>
            <w:vAlign w:val="center"/>
          </w:tcPr>
          <w:p>
            <w:pPr>
              <w:pStyle w:val="TableContents"/>
              <w:bidi w:val="0"/>
              <w:spacing w:before="0" w:after="283"/>
              <w:jc w:val="left"/>
              <w:rPr/>
            </w:pPr>
            <w:r>
              <w:rPr/>
              <w:t> </w:t>
            </w:r>
          </w:p>
        </w:tc>
        <w:tc>
          <w:tcPr>
            <w:tcW w:w="172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 Multiple</w:t>
            </w:r>
          </w:p>
        </w:tc>
        <w:tc>
          <w:tcPr>
            <w:tcW w:w="146" w:type="dxa"/>
            <w:tcBorders/>
            <w:shd w:fill="FFFFFF" w:val="clear"/>
            <w:vAlign w:val="center"/>
          </w:tcPr>
          <w:p>
            <w:pPr>
              <w:pStyle w:val="TableContents"/>
              <w:bidi w:val="0"/>
              <w:spacing w:before="0" w:after="283"/>
              <w:jc w:val="left"/>
              <w:rPr/>
            </w:pPr>
            <w:r>
              <w:rPr/>
              <w:t> </w:t>
            </w:r>
          </w:p>
        </w:tc>
        <w:tc>
          <w:tcPr>
            <w:tcW w:w="213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0.3x – 10.3x (1.0x)</w:t>
            </w:r>
          </w:p>
        </w:tc>
      </w:tr>
      <w:tr>
        <w:trPr/>
        <w:tc>
          <w:tcPr>
            <w:tcW w:w="2204"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7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3" w:type="dxa"/>
            <w:tcBorders/>
            <w:shd w:fill="CFF0FC" w:val="clear"/>
            <w:vAlign w:val="center"/>
          </w:tcPr>
          <w:p>
            <w:pPr>
              <w:pStyle w:val="TableContents"/>
              <w:bidi w:val="0"/>
              <w:spacing w:before="0" w:after="283"/>
              <w:jc w:val="left"/>
              <w:rPr/>
            </w:pPr>
            <w:r>
              <w:rPr/>
              <w:t> </w:t>
            </w:r>
          </w:p>
        </w:tc>
      </w:tr>
    </w:tbl>
    <w:p>
      <w:pPr>
        <w:pStyle w:val="TextBody"/>
        <w:pBdr>
          <w:top w:val="single" w:sz="6" w:space="1" w:color="000000"/>
        </w:pBdr>
        <w:bidi w:val="0"/>
        <w:spacing w:before="120" w:after="283"/>
        <w:jc w:val="both"/>
        <w:rPr/>
      </w:pPr>
      <w:r>
        <w:rPr/>
        <w:t> </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(1)</w:t>
      </w:r>
    </w:p>
    <w:p>
      <w:pPr>
        <w:pStyle w:val="TextBody"/>
        <w:bidi w:val="0"/>
        <w:spacing w:before="0" w:after="0"/>
        <w:jc w:val="both"/>
        <w:rPr>
          <w:rFonts w:ascii="Times New Roman" w:hAnsi="Times New Roman"/>
          <w:sz w:val="16"/>
        </w:rPr>
      </w:pPr>
      <w:r>
        <w:rPr>
          <w:rFonts w:ascii="Times New Roman" w:hAnsi="Times New Roman"/>
          <w:color w:val="000000"/>
          <w:sz w:val="14"/>
        </w:rPr>
        <w:t>$1.0</w:t>
      </w:r>
      <w:r>
        <w:rPr>
          <w:rFonts w:ascii="Times New Roman" w:hAnsi="Times New Roman"/>
          <w:color w:val="000000"/>
          <w:sz w:val="16"/>
        </w:rPr>
        <w:t xml:space="preserve"> </w:t>
      </w:r>
      <w:r>
        <w:rPr>
          <w:rFonts w:ascii="Times New Roman" w:hAnsi="Times New Roman"/>
          <w:color w:val="000000"/>
          <w:sz w:val="14"/>
        </w:rPr>
        <w:t>million</w:t>
      </w:r>
      <w:r>
        <w:rPr>
          <w:rFonts w:ascii="Times New Roman" w:hAnsi="Times New Roman"/>
          <w:color w:val="000000"/>
          <w:sz w:val="16"/>
        </w:rPr>
        <w:t xml:space="preserve"> </w:t>
      </w:r>
      <w:r>
        <w:rPr>
          <w:rFonts w:ascii="Times New Roman" w:hAnsi="Times New Roman"/>
          <w:color w:val="000000"/>
          <w:sz w:val="14"/>
        </w:rPr>
        <w:t>in equity was valued using the asset approach.</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(2)</w:t>
      </w:r>
    </w:p>
    <w:p>
      <w:pPr>
        <w:pStyle w:val="TextBody"/>
        <w:bidi w:val="0"/>
        <w:jc w:val="both"/>
        <w:rPr>
          <w:rFonts w:ascii="Times New Roman" w:hAnsi="Times New Roman"/>
          <w:color w:val="000000"/>
          <w:sz w:val="14"/>
        </w:rPr>
      </w:pPr>
      <w:r>
        <w:rPr>
          <w:rFonts w:ascii="Times New Roman" w:hAnsi="Times New Roman"/>
          <w:color w:val="000000"/>
          <w:sz w:val="14"/>
        </w:rPr>
        <w:t>The weighted averages disclosed in the table above were weighted by their relative fair value.</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The valuation techniques and significant unobservable inputs used in recurring Level 3 fair value measurements of assets as of December 31, 2023 were as follows:</w:t>
      </w:r>
    </w:p>
    <w:tbl>
      <w:tblPr>
        <w:tblW w:w="10205" w:type="dxa"/>
        <w:jc w:val="left"/>
        <w:tblInd w:w="0" w:type="dxa"/>
        <w:tblLayout w:type="fixed"/>
        <w:tblCellMar>
          <w:top w:w="28" w:type="dxa"/>
          <w:left w:w="28" w:type="dxa"/>
          <w:bottom w:w="28" w:type="dxa"/>
          <w:right w:w="28" w:type="dxa"/>
        </w:tblCellMar>
      </w:tblPr>
      <w:tblGrid>
        <w:gridCol w:w="2297"/>
        <w:gridCol w:w="146"/>
        <w:gridCol w:w="265"/>
        <w:gridCol w:w="691"/>
        <w:gridCol w:w="146"/>
        <w:gridCol w:w="146"/>
        <w:gridCol w:w="2606"/>
        <w:gridCol w:w="146"/>
        <w:gridCol w:w="1778"/>
        <w:gridCol w:w="146"/>
        <w:gridCol w:w="1838"/>
      </w:tblGrid>
      <w:tr>
        <w:trPr/>
        <w:tc>
          <w:tcPr>
            <w:tcW w:w="22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r>
      <w:tr>
        <w:trPr/>
        <w:tc>
          <w:tcPr>
            <w:tcW w:w="22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Valuation </w:t>
              <w:br/>
              <w:t>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w:t>
              <w:br/>
              <w:t>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Range of Input</w:t>
              <w:br/>
              <w:t> (Weighted Average)</w:t>
            </w:r>
            <w:r>
              <w:rPr>
                <w:rFonts w:ascii="Times New Roman" w:hAnsi="Times New Roman"/>
                <w:b/>
                <w:color w:val="000000"/>
                <w:sz w:val="11"/>
              </w:rPr>
              <w:t>(2)</w:t>
            </w:r>
          </w:p>
        </w:tc>
      </w:tr>
      <w:tr>
        <w:trPr/>
        <w:tc>
          <w:tcPr>
            <w:tcW w:w="22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Market</w:t>
            </w:r>
          </w:p>
        </w:tc>
        <w:tc>
          <w:tcPr>
            <w:tcW w:w="146" w:type="dxa"/>
            <w:tcBorders/>
            <w:shd w:fill="FFFFFF" w:val="clear"/>
            <w:vAlign w:val="center"/>
          </w:tcPr>
          <w:p>
            <w:pPr>
              <w:pStyle w:val="TableContents"/>
              <w:bidi w:val="0"/>
              <w:spacing w:before="0" w:after="283"/>
              <w:jc w:val="left"/>
              <w:rPr/>
            </w:pPr>
            <w:r>
              <w:rPr/>
              <w:t> </w:t>
            </w:r>
          </w:p>
        </w:tc>
        <w:tc>
          <w:tcPr>
            <w:tcW w:w="177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Broker/Dealer Quotes</w:t>
            </w:r>
          </w:p>
        </w:tc>
        <w:tc>
          <w:tcPr>
            <w:tcW w:w="146" w:type="dxa"/>
            <w:tcBorders/>
            <w:shd w:fill="FFFFFF" w:val="clear"/>
            <w:vAlign w:val="center"/>
          </w:tcPr>
          <w:p>
            <w:pPr>
              <w:pStyle w:val="TableContents"/>
              <w:bidi w:val="0"/>
              <w:spacing w:before="0" w:after="283"/>
              <w:jc w:val="left"/>
              <w:rPr/>
            </w:pPr>
            <w:r>
              <w:rPr/>
              <w:t> </w:t>
            </w:r>
          </w:p>
        </w:tc>
        <w:tc>
          <w:tcPr>
            <w:tcW w:w="183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w:t>
            </w:r>
          </w:p>
        </w:tc>
      </w:tr>
      <w:tr>
        <w:trPr/>
        <w:tc>
          <w:tcPr>
            <w:tcW w:w="22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w:t>
            </w:r>
          </w:p>
        </w:tc>
        <w:tc>
          <w:tcPr>
            <w:tcW w:w="146" w:type="dxa"/>
            <w:tcBorders/>
            <w:shd w:fill="CFF0FC" w:val="clear"/>
            <w:vAlign w:val="center"/>
          </w:tcPr>
          <w:p>
            <w:pPr>
              <w:pStyle w:val="TableContents"/>
              <w:bidi w:val="0"/>
              <w:spacing w:before="0" w:after="283"/>
              <w:jc w:val="left"/>
              <w:rPr/>
            </w:pPr>
            <w:r>
              <w:rPr/>
              <w:t> </w:t>
            </w:r>
          </w:p>
        </w:tc>
        <w:tc>
          <w:tcPr>
            <w:tcW w:w="177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Required Rate of Return</w:t>
            </w:r>
          </w:p>
        </w:tc>
        <w:tc>
          <w:tcPr>
            <w:tcW w:w="146" w:type="dxa"/>
            <w:tcBorders/>
            <w:shd w:fill="CFF0FC" w:val="clear"/>
            <w:vAlign w:val="center"/>
          </w:tcPr>
          <w:p>
            <w:pPr>
              <w:pStyle w:val="TableContents"/>
              <w:bidi w:val="0"/>
              <w:spacing w:before="0" w:after="283"/>
              <w:jc w:val="left"/>
              <w:rPr/>
            </w:pPr>
            <w:r>
              <w:rPr/>
              <w:t> </w:t>
            </w:r>
          </w:p>
        </w:tc>
        <w:tc>
          <w:tcPr>
            <w:tcW w:w="183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7.8% – 30.0% (13.5%)</w:t>
            </w:r>
          </w:p>
        </w:tc>
      </w:tr>
      <w:tr>
        <w:trPr/>
        <w:tc>
          <w:tcPr>
            <w:tcW w:w="22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Market</w:t>
            </w:r>
          </w:p>
        </w:tc>
        <w:tc>
          <w:tcPr>
            <w:tcW w:w="146" w:type="dxa"/>
            <w:tcBorders/>
            <w:shd w:fill="FFFFFF" w:val="clear"/>
            <w:vAlign w:val="center"/>
          </w:tcPr>
          <w:p>
            <w:pPr>
              <w:pStyle w:val="TableContents"/>
              <w:bidi w:val="0"/>
              <w:spacing w:before="0" w:after="283"/>
              <w:jc w:val="left"/>
              <w:rPr/>
            </w:pPr>
            <w:r>
              <w:rPr/>
              <w:t> </w:t>
            </w:r>
          </w:p>
        </w:tc>
        <w:tc>
          <w:tcPr>
            <w:tcW w:w="177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Broker/Dealer Quotes</w:t>
            </w:r>
          </w:p>
        </w:tc>
        <w:tc>
          <w:tcPr>
            <w:tcW w:w="146" w:type="dxa"/>
            <w:tcBorders/>
            <w:shd w:fill="FFFFFF" w:val="clear"/>
            <w:vAlign w:val="center"/>
          </w:tcPr>
          <w:p>
            <w:pPr>
              <w:pStyle w:val="TableContents"/>
              <w:bidi w:val="0"/>
              <w:spacing w:before="0" w:after="283"/>
              <w:jc w:val="left"/>
              <w:rPr/>
            </w:pPr>
            <w:r>
              <w:rPr/>
              <w:t> </w:t>
            </w:r>
          </w:p>
        </w:tc>
        <w:tc>
          <w:tcPr>
            <w:tcW w:w="183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w:t>
            </w:r>
          </w:p>
        </w:tc>
      </w:tr>
      <w:tr>
        <w:trPr/>
        <w:tc>
          <w:tcPr>
            <w:tcW w:w="22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w:t>
            </w:r>
          </w:p>
        </w:tc>
        <w:tc>
          <w:tcPr>
            <w:tcW w:w="146" w:type="dxa"/>
            <w:tcBorders/>
            <w:shd w:fill="CFF0FC" w:val="clear"/>
            <w:vAlign w:val="center"/>
          </w:tcPr>
          <w:p>
            <w:pPr>
              <w:pStyle w:val="TableContents"/>
              <w:bidi w:val="0"/>
              <w:spacing w:before="0" w:after="283"/>
              <w:jc w:val="left"/>
              <w:rPr/>
            </w:pPr>
            <w:r>
              <w:rPr/>
              <w:t> </w:t>
            </w:r>
          </w:p>
        </w:tc>
        <w:tc>
          <w:tcPr>
            <w:tcW w:w="177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Required Rate of Return</w:t>
            </w:r>
          </w:p>
        </w:tc>
        <w:tc>
          <w:tcPr>
            <w:tcW w:w="146" w:type="dxa"/>
            <w:tcBorders/>
            <w:shd w:fill="CFF0FC" w:val="clear"/>
            <w:vAlign w:val="center"/>
          </w:tcPr>
          <w:p>
            <w:pPr>
              <w:pStyle w:val="TableContents"/>
              <w:bidi w:val="0"/>
              <w:spacing w:before="0" w:after="283"/>
              <w:jc w:val="left"/>
              <w:rPr/>
            </w:pPr>
            <w:r>
              <w:rPr/>
              <w:t> </w:t>
            </w:r>
          </w:p>
        </w:tc>
        <w:tc>
          <w:tcPr>
            <w:tcW w:w="183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2.2% – 17.9% (15.7%)</w:t>
            </w:r>
          </w:p>
        </w:tc>
      </w:tr>
      <w:tr>
        <w:trPr/>
        <w:tc>
          <w:tcPr>
            <w:tcW w:w="22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w:t>
            </w:r>
          </w:p>
        </w:tc>
        <w:tc>
          <w:tcPr>
            <w:tcW w:w="146" w:type="dxa"/>
            <w:tcBorders/>
            <w:shd w:fill="FFFFFF" w:val="clear"/>
            <w:vAlign w:val="center"/>
          </w:tcPr>
          <w:p>
            <w:pPr>
              <w:pStyle w:val="TableContents"/>
              <w:bidi w:val="0"/>
              <w:spacing w:before="0" w:after="283"/>
              <w:jc w:val="left"/>
              <w:rPr/>
            </w:pPr>
            <w:r>
              <w:rPr/>
              <w:t> </w:t>
            </w:r>
          </w:p>
        </w:tc>
        <w:tc>
          <w:tcPr>
            <w:tcW w:w="177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Required Rate of Return</w:t>
            </w:r>
          </w:p>
        </w:tc>
        <w:tc>
          <w:tcPr>
            <w:tcW w:w="146" w:type="dxa"/>
            <w:tcBorders/>
            <w:shd w:fill="FFFFFF" w:val="clear"/>
            <w:vAlign w:val="center"/>
          </w:tcPr>
          <w:p>
            <w:pPr>
              <w:pStyle w:val="TableContents"/>
              <w:bidi w:val="0"/>
              <w:spacing w:before="0" w:after="283"/>
              <w:jc w:val="left"/>
              <w:rPr/>
            </w:pPr>
            <w:r>
              <w:rPr/>
              <w:t> </w:t>
            </w:r>
          </w:p>
        </w:tc>
        <w:tc>
          <w:tcPr>
            <w:tcW w:w="183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11.0%</w:t>
            </w:r>
          </w:p>
        </w:tc>
      </w:tr>
      <w:tr>
        <w:trPr/>
        <w:tc>
          <w:tcPr>
            <w:tcW w:w="22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Enterprise Market Value</w:t>
            </w:r>
          </w:p>
        </w:tc>
        <w:tc>
          <w:tcPr>
            <w:tcW w:w="146" w:type="dxa"/>
            <w:tcBorders/>
            <w:shd w:fill="CFF0FC" w:val="clear"/>
            <w:vAlign w:val="center"/>
          </w:tcPr>
          <w:p>
            <w:pPr>
              <w:pStyle w:val="TableContents"/>
              <w:bidi w:val="0"/>
              <w:spacing w:before="0" w:after="283"/>
              <w:jc w:val="left"/>
              <w:rPr/>
            </w:pPr>
            <w:r>
              <w:rPr/>
              <w:t> </w:t>
            </w:r>
          </w:p>
        </w:tc>
        <w:tc>
          <w:tcPr>
            <w:tcW w:w="177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EBITDA Multiple</w:t>
            </w:r>
          </w:p>
        </w:tc>
        <w:tc>
          <w:tcPr>
            <w:tcW w:w="146" w:type="dxa"/>
            <w:tcBorders/>
            <w:shd w:fill="CFF0FC" w:val="clear"/>
            <w:vAlign w:val="center"/>
          </w:tcPr>
          <w:p>
            <w:pPr>
              <w:pStyle w:val="TableContents"/>
              <w:bidi w:val="0"/>
              <w:spacing w:before="0" w:after="283"/>
              <w:jc w:val="left"/>
              <w:rPr/>
            </w:pPr>
            <w:r>
              <w:rPr/>
              <w:t> </w:t>
            </w:r>
          </w:p>
        </w:tc>
        <w:tc>
          <w:tcPr>
            <w:tcW w:w="183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4.5x</w:t>
            </w:r>
          </w:p>
        </w:tc>
      </w:tr>
      <w:tr>
        <w:trPr/>
        <w:tc>
          <w:tcPr>
            <w:tcW w:w="22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Enterprise Market Value</w:t>
            </w:r>
          </w:p>
        </w:tc>
        <w:tc>
          <w:tcPr>
            <w:tcW w:w="146" w:type="dxa"/>
            <w:tcBorders/>
            <w:shd w:fill="FFFFFF" w:val="clear"/>
            <w:vAlign w:val="center"/>
          </w:tcPr>
          <w:p>
            <w:pPr>
              <w:pStyle w:val="TableContents"/>
              <w:bidi w:val="0"/>
              <w:spacing w:before="0" w:after="283"/>
              <w:jc w:val="left"/>
              <w:rPr/>
            </w:pPr>
            <w:r>
              <w:rPr/>
              <w:t> </w:t>
            </w:r>
          </w:p>
        </w:tc>
        <w:tc>
          <w:tcPr>
            <w:tcW w:w="177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 Multiple</w:t>
            </w:r>
          </w:p>
        </w:tc>
        <w:tc>
          <w:tcPr>
            <w:tcW w:w="146" w:type="dxa"/>
            <w:tcBorders/>
            <w:shd w:fill="FFFFFF" w:val="clear"/>
            <w:vAlign w:val="center"/>
          </w:tcPr>
          <w:p>
            <w:pPr>
              <w:pStyle w:val="TableContents"/>
              <w:bidi w:val="0"/>
              <w:spacing w:before="0" w:after="283"/>
              <w:jc w:val="left"/>
              <w:rPr/>
            </w:pPr>
            <w:r>
              <w:rPr/>
              <w:t> </w:t>
            </w:r>
          </w:p>
        </w:tc>
        <w:tc>
          <w:tcPr>
            <w:tcW w:w="183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0.5x</w:t>
            </w:r>
          </w:p>
        </w:tc>
      </w:tr>
      <w:tr>
        <w:trPr/>
        <w:tc>
          <w:tcPr>
            <w:tcW w:w="22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w:t>
            </w:r>
          </w:p>
        </w:tc>
        <w:tc>
          <w:tcPr>
            <w:tcW w:w="146" w:type="dxa"/>
            <w:tcBorders/>
            <w:shd w:fill="CFF0FC" w:val="clear"/>
            <w:vAlign w:val="center"/>
          </w:tcPr>
          <w:p>
            <w:pPr>
              <w:pStyle w:val="TableContents"/>
              <w:bidi w:val="0"/>
              <w:spacing w:before="0" w:after="283"/>
              <w:jc w:val="left"/>
              <w:rPr/>
            </w:pPr>
            <w:r>
              <w:rPr/>
              <w:t> </w:t>
            </w:r>
          </w:p>
        </w:tc>
        <w:tc>
          <w:tcPr>
            <w:tcW w:w="177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Discount Margin</w:t>
            </w:r>
          </w:p>
        </w:tc>
        <w:tc>
          <w:tcPr>
            <w:tcW w:w="146" w:type="dxa"/>
            <w:tcBorders/>
            <w:shd w:fill="CFF0FC" w:val="clear"/>
            <w:vAlign w:val="center"/>
          </w:tcPr>
          <w:p>
            <w:pPr>
              <w:pStyle w:val="TableContents"/>
              <w:bidi w:val="0"/>
              <w:spacing w:before="0" w:after="283"/>
              <w:jc w:val="left"/>
              <w:rPr/>
            </w:pPr>
            <w:r>
              <w:rPr/>
              <w:t> </w:t>
            </w:r>
          </w:p>
        </w:tc>
        <w:tc>
          <w:tcPr>
            <w:tcW w:w="183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22.4% – 24.1% (23.8%)</w:t>
            </w:r>
          </w:p>
        </w:tc>
      </w:tr>
      <w:tr>
        <w:trPr/>
        <w:tc>
          <w:tcPr>
            <w:tcW w:w="22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w:t>
            </w:r>
          </w:p>
        </w:tc>
        <w:tc>
          <w:tcPr>
            <w:tcW w:w="146" w:type="dxa"/>
            <w:tcBorders/>
            <w:shd w:fill="FFFFFF" w:val="clear"/>
            <w:vAlign w:val="center"/>
          </w:tcPr>
          <w:p>
            <w:pPr>
              <w:pStyle w:val="TableContents"/>
              <w:bidi w:val="0"/>
              <w:spacing w:before="0" w:after="283"/>
              <w:jc w:val="left"/>
              <w:rPr/>
            </w:pPr>
            <w:r>
              <w:rPr/>
              <w:t> </w:t>
            </w:r>
          </w:p>
        </w:tc>
        <w:tc>
          <w:tcPr>
            <w:tcW w:w="177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Price</w:t>
              <w:br/>
              <w:t>Time to Exit (Years)</w:t>
              <w:br/>
              <w:t>Volatility</w:t>
            </w:r>
          </w:p>
        </w:tc>
        <w:tc>
          <w:tcPr>
            <w:tcW w:w="146" w:type="dxa"/>
            <w:tcBorders/>
            <w:shd w:fill="FFFFFF" w:val="clear"/>
            <w:vAlign w:val="center"/>
          </w:tcPr>
          <w:p>
            <w:pPr>
              <w:pStyle w:val="TableContents"/>
              <w:bidi w:val="0"/>
              <w:spacing w:before="0" w:after="283"/>
              <w:jc w:val="left"/>
              <w:rPr/>
            </w:pPr>
            <w:r>
              <w:rPr/>
              <w:t> </w:t>
            </w:r>
          </w:p>
        </w:tc>
        <w:tc>
          <w:tcPr>
            <w:tcW w:w="183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$102.49</w:t>
              <w:br/>
              <w:t>2.0</w:t>
              <w:br/>
              <w:t>35.0%</w:t>
            </w:r>
          </w:p>
        </w:tc>
      </w:tr>
      <w:tr>
        <w:trPr/>
        <w:tc>
          <w:tcPr>
            <w:tcW w:w="22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06"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Enterprise Market Value and Asset</w:t>
            </w:r>
            <w:r>
              <w:rPr>
                <w:rFonts w:ascii="Times New Roman" w:hAnsi="Times New Roman"/>
                <w:color w:val="000000"/>
                <w:sz w:val="11"/>
              </w:rPr>
              <w:t>(1)</w:t>
            </w:r>
          </w:p>
        </w:tc>
        <w:tc>
          <w:tcPr>
            <w:tcW w:w="146" w:type="dxa"/>
            <w:tcBorders/>
            <w:shd w:fill="CFF0FC" w:val="clear"/>
            <w:vAlign w:val="center"/>
          </w:tcPr>
          <w:p>
            <w:pPr>
              <w:pStyle w:val="TableContents"/>
              <w:bidi w:val="0"/>
              <w:spacing w:before="0" w:after="283"/>
              <w:jc w:val="left"/>
              <w:rPr/>
            </w:pPr>
            <w:r>
              <w:rPr/>
              <w:t> </w:t>
            </w:r>
          </w:p>
        </w:tc>
        <w:tc>
          <w:tcPr>
            <w:tcW w:w="177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EBITDA Multiple</w:t>
            </w:r>
          </w:p>
        </w:tc>
        <w:tc>
          <w:tcPr>
            <w:tcW w:w="146" w:type="dxa"/>
            <w:tcBorders/>
            <w:shd w:fill="CFF0FC" w:val="clear"/>
            <w:vAlign w:val="center"/>
          </w:tcPr>
          <w:p>
            <w:pPr>
              <w:pStyle w:val="TableContents"/>
              <w:bidi w:val="0"/>
              <w:spacing w:before="0" w:after="283"/>
              <w:jc w:val="left"/>
              <w:rPr/>
            </w:pPr>
            <w:r>
              <w:rPr/>
              <w:t> </w:t>
            </w:r>
          </w:p>
        </w:tc>
        <w:tc>
          <w:tcPr>
            <w:tcW w:w="183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2.3x – 18.0x (6.6x)</w:t>
            </w:r>
          </w:p>
        </w:tc>
      </w:tr>
      <w:tr>
        <w:trPr/>
        <w:tc>
          <w:tcPr>
            <w:tcW w:w="22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Enterprise Market Value</w:t>
            </w:r>
          </w:p>
        </w:tc>
        <w:tc>
          <w:tcPr>
            <w:tcW w:w="146" w:type="dxa"/>
            <w:tcBorders/>
            <w:shd w:fill="FFFFFF" w:val="clear"/>
            <w:vAlign w:val="center"/>
          </w:tcPr>
          <w:p>
            <w:pPr>
              <w:pStyle w:val="TableContents"/>
              <w:bidi w:val="0"/>
              <w:spacing w:before="0" w:after="283"/>
              <w:jc w:val="left"/>
              <w:rPr/>
            </w:pPr>
            <w:r>
              <w:rPr/>
              <w:t> </w:t>
            </w:r>
          </w:p>
        </w:tc>
        <w:tc>
          <w:tcPr>
            <w:tcW w:w="177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 Multiple</w:t>
            </w:r>
          </w:p>
        </w:tc>
        <w:tc>
          <w:tcPr>
            <w:tcW w:w="146" w:type="dxa"/>
            <w:tcBorders/>
            <w:shd w:fill="FFFFFF" w:val="clear"/>
            <w:vAlign w:val="center"/>
          </w:tcPr>
          <w:p>
            <w:pPr>
              <w:pStyle w:val="TableContents"/>
              <w:bidi w:val="0"/>
              <w:spacing w:before="0" w:after="283"/>
              <w:jc w:val="left"/>
              <w:rPr/>
            </w:pPr>
            <w:r>
              <w:rPr/>
              <w:t> </w:t>
            </w:r>
          </w:p>
        </w:tc>
        <w:tc>
          <w:tcPr>
            <w:tcW w:w="183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0.3x – 1.2x (0.9x)</w:t>
            </w:r>
          </w:p>
        </w:tc>
      </w:tr>
      <w:tr>
        <w:trPr/>
        <w:tc>
          <w:tcPr>
            <w:tcW w:w="2297"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0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38" w:type="dxa"/>
            <w:tcBorders/>
            <w:shd w:fill="CFF0FC" w:val="clear"/>
            <w:vAlign w:val="center"/>
          </w:tcPr>
          <w:p>
            <w:pPr>
              <w:pStyle w:val="TableContents"/>
              <w:bidi w:val="0"/>
              <w:spacing w:before="0" w:after="283"/>
              <w:jc w:val="left"/>
              <w:rPr/>
            </w:pPr>
            <w:r>
              <w:rPr/>
              <w:t> </w:t>
            </w:r>
          </w:p>
        </w:tc>
      </w:tr>
    </w:tbl>
    <w:p>
      <w:pPr>
        <w:pStyle w:val="TextBody"/>
        <w:pBdr>
          <w:top w:val="single" w:sz="6" w:space="1" w:color="000000"/>
        </w:pBdr>
        <w:bidi w:val="0"/>
        <w:spacing w:before="120" w:after="283"/>
        <w:jc w:val="both"/>
        <w:rPr/>
      </w:pPr>
      <w:r>
        <w:rPr/>
        <w:t> </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(1)</w:t>
      </w:r>
    </w:p>
    <w:p>
      <w:pPr>
        <w:pStyle w:val="TextBody"/>
        <w:bidi w:val="0"/>
        <w:spacing w:before="0" w:after="0"/>
        <w:jc w:val="both"/>
        <w:rPr>
          <w:rFonts w:ascii="Times New Roman" w:hAnsi="Times New Roman"/>
          <w:sz w:val="16"/>
        </w:rPr>
      </w:pPr>
      <w:r>
        <w:rPr>
          <w:rFonts w:ascii="Times New Roman" w:hAnsi="Times New Roman"/>
          <w:color w:val="000000"/>
          <w:sz w:val="14"/>
        </w:rPr>
        <w:t>$1.0</w:t>
      </w:r>
      <w:r>
        <w:rPr>
          <w:rFonts w:ascii="Times New Roman" w:hAnsi="Times New Roman"/>
          <w:color w:val="000000"/>
          <w:sz w:val="16"/>
        </w:rPr>
        <w:t xml:space="preserve"> </w:t>
      </w:r>
      <w:r>
        <w:rPr>
          <w:rFonts w:ascii="Times New Roman" w:hAnsi="Times New Roman"/>
          <w:color w:val="000000"/>
          <w:sz w:val="14"/>
        </w:rPr>
        <w:t>million in</w:t>
      </w:r>
      <w:r>
        <w:rPr>
          <w:rFonts w:ascii="Times New Roman" w:hAnsi="Times New Roman"/>
          <w:color w:val="000000"/>
          <w:sz w:val="16"/>
        </w:rPr>
        <w:t xml:space="preserve"> </w:t>
      </w:r>
      <w:r>
        <w:rPr>
          <w:rFonts w:ascii="Times New Roman" w:hAnsi="Times New Roman"/>
          <w:color w:val="000000"/>
          <w:sz w:val="14"/>
        </w:rPr>
        <w:t>equity was valued using the asset approach.</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(2)</w:t>
      </w:r>
    </w:p>
    <w:p>
      <w:pPr>
        <w:pStyle w:val="TextBody"/>
        <w:bidi w:val="0"/>
        <w:jc w:val="both"/>
        <w:rPr>
          <w:rFonts w:ascii="Times New Roman" w:hAnsi="Times New Roman"/>
          <w:color w:val="000000"/>
          <w:sz w:val="14"/>
        </w:rPr>
      </w:pPr>
      <w:r>
        <w:rPr>
          <w:rFonts w:ascii="Times New Roman" w:hAnsi="Times New Roman"/>
          <w:color w:val="000000"/>
          <w:sz w:val="14"/>
        </w:rPr>
        <w:t>The weighted averages disclosed in the table above were weighted by their relative fair value.</w:t>
      </w:r>
    </w:p>
    <w:p>
      <w:pPr>
        <w:pStyle w:val="TextBody"/>
        <w:bidi w:val="0"/>
        <w:spacing w:before="120" w:after="283"/>
        <w:jc w:val="both"/>
        <w:rPr>
          <w:rFonts w:ascii="Times New Roman" w:hAnsi="Times New Roman"/>
          <w:sz w:val="20"/>
        </w:rPr>
      </w:pPr>
      <w:r>
        <w:rPr>
          <w:rFonts w:ascii="Times New Roman" w:hAnsi="Times New Roman"/>
          <w:color w:val="000000"/>
          <w:sz w:val="16"/>
        </w:rPr>
        <w:t>The significant unobservable inputs used in the valuation of the Company’s investments are required rate of return, EBITDA multiples, revenue multiples, discount margin, stock price, projected time to exit and volatility. Changes in any of these unobservable inputs could have a significant impact on the Company’s estimate of fair value. An increase (decrease) in the required rate of return or discount margin will result in a lower (higher) estimate of fair value, respectively, while an increase (decrease) in adjusted EBITDA or revenue multiples, stock price, projected time to exit (option-pricing model) or volatility will result in a higher (lower) estimate of fair value, respectively.</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16"/>
        </w:rPr>
      </w:pPr>
      <w:r>
        <w:rPr>
          <w:rFonts w:ascii="Times New Roman" w:hAnsi="Times New Roman"/>
          <w:b/>
          <w:i/>
          <w:color w:val="000000"/>
          <w:sz w:val="16"/>
        </w:rPr>
        <w:t>Great Lakes Funding II LLC</w:t>
      </w:r>
    </w:p>
    <w:p>
      <w:pPr>
        <w:pStyle w:val="TextBody"/>
        <w:bidi w:val="0"/>
        <w:spacing w:before="120" w:after="283"/>
        <w:jc w:val="both"/>
        <w:rPr>
          <w:rFonts w:ascii="Times New Roman" w:hAnsi="Times New Roman"/>
          <w:sz w:val="20"/>
        </w:rPr>
      </w:pPr>
      <w:r>
        <w:rPr>
          <w:rFonts w:ascii="Times New Roman" w:hAnsi="Times New Roman"/>
          <w:color w:val="000000"/>
          <w:sz w:val="16"/>
        </w:rPr>
        <w:t>In August 2022, the Company invested in the Great Lakes II Joint Venture, a joint venture with an investment strategy to underwrite and hold senior, secured unitranche loans made to middle-market companies. The Company treats its investment in the Great Lakes II Joint Venture as a joint venture since an affiliate of the Investment Adviser controls a 50% voting interest in the Great Lakes II Joint Venture.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16"/>
        </w:rPr>
        <w:t>The Great Lakes II Joint Venture is a Delaware series limited liability company, and pursuant to the terms of the Great Lakes Funding II LLC Limited Liability Company Agreement (the “Great Lakes II LLC Agreement”), prior to the end of the investment period with respect to each series established under the Great Lakes II LLC Agreement, each member of the predecessor series would be offered the opportunity to roll its interests into any subsequent series of the Great Lakes II Joint Venture. The Company does not pay any advisory fees in connection with its investment in the Great Lakes II Joint Venture. Certain other funds managed by the Investment Adviser or its affiliates have also invested in the Great Lakes II Joint Venture.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16"/>
        </w:rPr>
        <w:t>The fair value of the Company’s investment in the Great Lakes II Joint Venture at June 30, 2024 and December 31, 2023 was $0.4</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and $0.5</w:t>
      </w:r>
      <w:r>
        <w:rPr>
          <w:rFonts w:ascii="Times New Roman" w:hAnsi="Times New Roman"/>
          <w:color w:val="000000"/>
          <w:sz w:val="20"/>
        </w:rPr>
        <w:t xml:space="preserve"> </w:t>
      </w:r>
      <w:r>
        <w:rPr>
          <w:rFonts w:ascii="Times New Roman" w:hAnsi="Times New Roman"/>
          <w:color w:val="000000"/>
          <w:sz w:val="16"/>
        </w:rPr>
        <w:t>million, respectively. Fair value has been determined utilizing the net asset value as a practical expedient pursuant to U.S. GAAP. Pursuant to the terms of the Great Lakes II LLC</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June 30, 2024</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16"/>
        </w:rPr>
        <w:t>Agreement, the Company generally may not effect any direct or indirect sale, transfer, assignment, hypothecation, pledge or other disposition of or encumbrance upon its interests in the Great Lakes II Joint Venture, except that the Company may sell or otherwise transfer its interests with the consent of the managing members of the Great Lakes II Joint Venture or to an affiliate or a successor to substantially all of the assets of the Company.</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16"/>
        </w:rPr>
        <w:t>As of June 30, 2024, the Company has an unfunded commitment to the Great Lakes II Joint Venture of $0.1</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p>
    <w:p>
      <w:pPr>
        <w:pStyle w:val="TextBody"/>
        <w:bidi w:val="0"/>
        <w:spacing w:before="120" w:after="120"/>
        <w:jc w:val="left"/>
        <w:rPr>
          <w:rFonts w:ascii="Times New Roman" w:hAnsi="Times New Roman"/>
          <w:b/>
          <w:color w:val="000000"/>
          <w:sz w:val="16"/>
        </w:rPr>
      </w:pPr>
      <w:r>
        <w:rPr>
          <w:rFonts w:ascii="Times New Roman" w:hAnsi="Times New Roman"/>
          <w:b/>
          <w:color w:val="000000"/>
          <w:sz w:val="16"/>
        </w:rPr>
        <w:t>Note 4. Transactions With Affiliated Companies</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During the six months ended June 30, 2024, the Company had investments in portfolio companies designated as affiliates under the 1940 Act. Transactions with affiliates were as follows (dollars in thousands):</w:t>
      </w:r>
    </w:p>
    <w:tbl>
      <w:tblPr>
        <w:tblW w:w="10205" w:type="dxa"/>
        <w:jc w:val="left"/>
        <w:tblInd w:w="0" w:type="dxa"/>
        <w:tblLayout w:type="fixed"/>
        <w:tblCellMar>
          <w:top w:w="28" w:type="dxa"/>
          <w:left w:w="28" w:type="dxa"/>
          <w:bottom w:w="28" w:type="dxa"/>
          <w:right w:w="28" w:type="dxa"/>
        </w:tblCellMar>
      </w:tblPr>
      <w:tblGrid>
        <w:gridCol w:w="1036"/>
        <w:gridCol w:w="146"/>
        <w:gridCol w:w="1171"/>
        <w:gridCol w:w="184"/>
        <w:gridCol w:w="420"/>
        <w:gridCol w:w="146"/>
        <w:gridCol w:w="146"/>
        <w:gridCol w:w="257"/>
        <w:gridCol w:w="540"/>
        <w:gridCol w:w="146"/>
        <w:gridCol w:w="146"/>
        <w:gridCol w:w="186"/>
        <w:gridCol w:w="490"/>
        <w:gridCol w:w="146"/>
        <w:gridCol w:w="146"/>
        <w:gridCol w:w="197"/>
        <w:gridCol w:w="448"/>
        <w:gridCol w:w="146"/>
        <w:gridCol w:w="146"/>
        <w:gridCol w:w="237"/>
        <w:gridCol w:w="498"/>
        <w:gridCol w:w="151"/>
        <w:gridCol w:w="146"/>
        <w:gridCol w:w="194"/>
        <w:gridCol w:w="406"/>
        <w:gridCol w:w="146"/>
        <w:gridCol w:w="146"/>
        <w:gridCol w:w="282"/>
        <w:gridCol w:w="643"/>
        <w:gridCol w:w="151"/>
        <w:gridCol w:w="146"/>
        <w:gridCol w:w="169"/>
        <w:gridCol w:w="446"/>
        <w:gridCol w:w="201"/>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Company</w:t>
            </w:r>
            <w:r>
              <w:rPr>
                <w:rFonts w:ascii="Times New Roman" w:hAnsi="Times New Roman"/>
                <w:b/>
                <w:color w:val="000000"/>
                <w:sz w:val="8"/>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Type of Investment</w:t>
            </w:r>
          </w:p>
        </w:tc>
        <w:tc>
          <w:tcPr>
            <w:tcW w:w="6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Principal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Amount of Interest, Fees or Dividends Credited to Income</w:t>
            </w:r>
            <w:r>
              <w:rPr>
                <w:rFonts w:ascii="Times New Roman" w:hAnsi="Times New Roman"/>
                <w:b/>
                <w:color w:val="000000"/>
                <w:sz w:val="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December 31, </w:t>
              <w:br/>
              <w:t>2023</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Gross Additions</w:t>
            </w:r>
            <w:r>
              <w:rPr>
                <w:rFonts w:ascii="Times New Roman" w:hAnsi="Times New Roman"/>
                <w:b/>
                <w:color w:val="000000"/>
                <w:sz w:val="8"/>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Gross Reductions</w:t>
            </w:r>
            <w:r>
              <w:rPr>
                <w:rFonts w:ascii="Times New Roman" w:hAnsi="Times New Roman"/>
                <w:b/>
                <w:color w:val="000000"/>
                <w:sz w:val="8"/>
              </w:rPr>
              <w:t>(3)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Realized Gain/(Loss)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Unrealized Appreciation (Depreciation)</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June 30, 2024</w:t>
              <w:br/>
              <w:t>Fair Value</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3" w:type="dxa"/>
            <w:gridSpan w:val="3"/>
            <w:tcBorders/>
            <w:shd w:fill="CFF0FC" w:val="clear"/>
            <w:vAlign w:val="center"/>
          </w:tcPr>
          <w:p>
            <w:pPr>
              <w:pStyle w:val="TableContents"/>
              <w:bidi w:val="0"/>
              <w:spacing w:before="0" w:after="283"/>
              <w:jc w:val="left"/>
              <w:rPr>
                <w:rFonts w:ascii="Times New Roman" w:hAnsi="Times New Roman"/>
                <w:b/>
                <w:i/>
                <w:color w:val="000000"/>
                <w:sz w:val="12"/>
                <w:u w:val="single"/>
              </w:rPr>
            </w:pPr>
            <w:r>
              <w:rPr>
                <w:rFonts w:ascii="Times New Roman" w:hAnsi="Times New Roman"/>
                <w:b/>
                <w:i/>
                <w:color w:val="000000"/>
                <w:sz w:val="12"/>
                <w:u w:val="single"/>
              </w:rPr>
              <w:t>Affiliate investments</w:t>
            </w:r>
          </w:p>
        </w:tc>
        <w:tc>
          <w:tcPr>
            <w:tcW w:w="604"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25"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5" w:type="dxa"/>
            <w:gridSpan w:val="2"/>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r>
      <w:tr>
        <w:trPr/>
        <w:tc>
          <w:tcPr>
            <w:tcW w:w="103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Burgaflex Holdings, LLC</w:t>
            </w:r>
          </w:p>
        </w:tc>
        <w:tc>
          <w:tcPr>
            <w:tcW w:w="14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Common Stock Class A (1,253,198</w:t>
            </w:r>
            <w:r>
              <w:rPr>
                <w:rFonts w:ascii="Times New Roman" w:hAnsi="Times New Roman"/>
                <w:color w:val="000000"/>
                <w:sz w:val="20"/>
              </w:rPr>
              <w:t> </w:t>
            </w:r>
            <w:r>
              <w:rPr>
                <w:rFonts w:ascii="Times New Roman" w:hAnsi="Times New Roman"/>
                <w:color w:val="000000"/>
                <w:sz w:val="12"/>
              </w:rPr>
              <w:t>shares)</w:t>
            </w:r>
          </w:p>
        </w:tc>
        <w:tc>
          <w:tcPr>
            <w:tcW w:w="18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4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3,760</w:t>
            </w:r>
          </w:p>
        </w:tc>
        <w:tc>
          <w:tcPr>
            <w:tcW w:w="201" w:type="dxa"/>
            <w:tcBorders/>
            <w:shd w:fill="FFFFFF" w:val="clear"/>
            <w:vAlign w:val="center"/>
          </w:tcPr>
          <w:p>
            <w:pPr>
              <w:pStyle w:val="TableContents"/>
              <w:bidi w:val="0"/>
              <w:spacing w:before="0" w:after="283"/>
              <w:jc w:val="left"/>
              <w:rPr/>
            </w:pPr>
            <w:r>
              <w:rPr/>
              <w:t> </w:t>
            </w:r>
          </w:p>
        </w:tc>
      </w:tr>
      <w:tr>
        <w:trPr/>
        <w:tc>
          <w:tcPr>
            <w:tcW w:w="103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Burgaflex Holdings, LLC</w:t>
            </w:r>
          </w:p>
        </w:tc>
        <w:tc>
          <w:tcPr>
            <w:tcW w:w="146"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Common Stock Class B (1,085,073</w:t>
            </w:r>
            <w:r>
              <w:rPr>
                <w:rFonts w:ascii="Times New Roman" w:hAnsi="Times New Roman"/>
                <w:color w:val="000000"/>
                <w:sz w:val="20"/>
              </w:rPr>
              <w:t> </w:t>
            </w:r>
            <w:r>
              <w:rPr>
                <w:rFonts w:ascii="Times New Roman" w:hAnsi="Times New Roman"/>
                <w:color w:val="000000"/>
                <w:sz w:val="12"/>
              </w:rPr>
              <w:t>shares)</w:t>
            </w:r>
          </w:p>
        </w:tc>
        <w:tc>
          <w:tcPr>
            <w:tcW w:w="184"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2,540</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left"/>
              <w:rPr/>
            </w:pPr>
            <w:r>
              <w:rPr/>
              <w:t> </w:t>
            </w:r>
          </w:p>
        </w:tc>
        <w:tc>
          <w:tcPr>
            <w:tcW w:w="604"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6,300</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3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GA Communications, Inc.</w:t>
            </w:r>
          </w:p>
        </w:tc>
        <w:tc>
          <w:tcPr>
            <w:tcW w:w="146"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Series A-1 Preferred Stock (1,998</w:t>
            </w:r>
            <w:r>
              <w:rPr>
                <w:rFonts w:ascii="Times New Roman" w:hAnsi="Times New Roman"/>
                <w:color w:val="000000"/>
                <w:sz w:val="20"/>
              </w:rPr>
              <w:t> </w:t>
            </w:r>
            <w:r>
              <w:rPr>
                <w:rFonts w:ascii="Times New Roman" w:hAnsi="Times New Roman"/>
                <w:color w:val="000000"/>
                <w:sz w:val="12"/>
              </w:rPr>
              <w:t>shares)</w:t>
            </w:r>
          </w:p>
        </w:tc>
        <w:tc>
          <w:tcPr>
            <w:tcW w:w="184"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54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490"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44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49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4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64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3,540</w:t>
            </w:r>
          </w:p>
        </w:tc>
        <w:tc>
          <w:tcPr>
            <w:tcW w:w="201" w:type="dxa"/>
            <w:tcBorders/>
            <w:shd w:fill="CFF0FC" w:val="clear"/>
            <w:vAlign w:val="center"/>
          </w:tcPr>
          <w:p>
            <w:pPr>
              <w:pStyle w:val="TableContents"/>
              <w:bidi w:val="0"/>
              <w:spacing w:before="0" w:after="283"/>
              <w:jc w:val="left"/>
              <w:rPr/>
            </w:pPr>
            <w:r>
              <w:rPr/>
              <w:t> </w:t>
            </w:r>
          </w:p>
        </w:tc>
      </w:tr>
      <w:tr>
        <w:trPr/>
        <w:tc>
          <w:tcPr>
            <w:tcW w:w="103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GA Communications, Inc.</w:t>
            </w:r>
          </w:p>
        </w:tc>
        <w:tc>
          <w:tcPr>
            <w:tcW w:w="14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Series B-1 Common Stock (200,000</w:t>
            </w:r>
            <w:r>
              <w:rPr>
                <w:rFonts w:ascii="Times New Roman" w:hAnsi="Times New Roman"/>
                <w:color w:val="000000"/>
                <w:sz w:val="20"/>
              </w:rPr>
              <w:t> </w:t>
            </w:r>
            <w:r>
              <w:rPr>
                <w:rFonts w:ascii="Times New Roman" w:hAnsi="Times New Roman"/>
                <w:color w:val="000000"/>
                <w:sz w:val="12"/>
              </w:rPr>
              <w:t>shares)</w:t>
            </w:r>
          </w:p>
        </w:tc>
        <w:tc>
          <w:tcPr>
            <w:tcW w:w="184"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359</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3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left"/>
              <w:rPr/>
            </w:pPr>
            <w:r>
              <w:rPr/>
              <w:t> </w:t>
            </w:r>
          </w:p>
        </w:tc>
        <w:tc>
          <w:tcPr>
            <w:tcW w:w="604"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3,899</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3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Great Lakes Funding II LLC</w:t>
            </w:r>
          </w:p>
        </w:tc>
        <w:tc>
          <w:tcPr>
            <w:tcW w:w="14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Series A</w:t>
            </w:r>
          </w:p>
        </w:tc>
        <w:tc>
          <w:tcPr>
            <w:tcW w:w="184"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407</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3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left"/>
              <w:rPr/>
            </w:pPr>
            <w:r>
              <w:rPr/>
              <w:t> </w:t>
            </w:r>
          </w:p>
        </w:tc>
        <w:tc>
          <w:tcPr>
            <w:tcW w:w="604"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407</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3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GreenPark Infrastructure, LLC</w:t>
            </w:r>
          </w:p>
        </w:tc>
        <w:tc>
          <w:tcPr>
            <w:tcW w:w="14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Series A (400</w:t>
            </w:r>
            <w:r>
              <w:rPr>
                <w:rFonts w:ascii="Times New Roman" w:hAnsi="Times New Roman"/>
                <w:color w:val="000000"/>
                <w:sz w:val="20"/>
              </w:rPr>
              <w:t> </w:t>
            </w:r>
            <w:r>
              <w:rPr>
                <w:rFonts w:ascii="Times New Roman" w:hAnsi="Times New Roman"/>
                <w:color w:val="000000"/>
                <w:sz w:val="12"/>
              </w:rPr>
              <w:t>Units)</w:t>
            </w:r>
          </w:p>
        </w:tc>
        <w:tc>
          <w:tcPr>
            <w:tcW w:w="184"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w:t>
            </w:r>
          </w:p>
        </w:tc>
        <w:tc>
          <w:tcPr>
            <w:tcW w:w="201" w:type="dxa"/>
            <w:tcBorders/>
            <w:shd w:fill="FFFFFF" w:val="clear"/>
            <w:vAlign w:val="center"/>
          </w:tcPr>
          <w:p>
            <w:pPr>
              <w:pStyle w:val="TableContents"/>
              <w:bidi w:val="0"/>
              <w:spacing w:before="0" w:after="283"/>
              <w:jc w:val="left"/>
              <w:rPr/>
            </w:pPr>
            <w:r>
              <w:rPr/>
              <w:t> </w:t>
            </w:r>
          </w:p>
        </w:tc>
      </w:tr>
      <w:tr>
        <w:trPr/>
        <w:tc>
          <w:tcPr>
            <w:tcW w:w="103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GreenPark Infrastructure, LLC</w:t>
            </w:r>
          </w:p>
        </w:tc>
        <w:tc>
          <w:tcPr>
            <w:tcW w:w="146"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Series M-1 (200</w:t>
            </w:r>
            <w:r>
              <w:rPr>
                <w:rFonts w:ascii="Times New Roman" w:hAnsi="Times New Roman"/>
                <w:color w:val="000000"/>
                <w:sz w:val="20"/>
              </w:rPr>
              <w:t> </w:t>
            </w:r>
            <w:r>
              <w:rPr>
                <w:rFonts w:ascii="Times New Roman" w:hAnsi="Times New Roman"/>
                <w:color w:val="000000"/>
                <w:sz w:val="12"/>
              </w:rPr>
              <w:t>Units)</w:t>
            </w:r>
          </w:p>
        </w:tc>
        <w:tc>
          <w:tcPr>
            <w:tcW w:w="184"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left"/>
              <w:rPr/>
            </w:pPr>
            <w:r>
              <w:rPr/>
              <w:t> </w:t>
            </w:r>
          </w:p>
        </w:tc>
        <w:tc>
          <w:tcPr>
            <w:tcW w:w="604"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269</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3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46"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First Lien Debt (Due</w:t>
            </w:r>
            <w:r>
              <w:rPr>
                <w:rFonts w:ascii="Times New Roman" w:hAnsi="Times New Roman"/>
                <w:color w:val="000000"/>
                <w:sz w:val="20"/>
              </w:rPr>
              <w:t xml:space="preserve"> </w:t>
            </w:r>
            <w:r>
              <w:rPr>
                <w:rFonts w:ascii="Times New Roman" w:hAnsi="Times New Roman"/>
                <w:color w:val="000000"/>
                <w:sz w:val="12"/>
              </w:rPr>
              <w:t>6/28/24)</w:t>
            </w:r>
          </w:p>
        </w:tc>
        <w:tc>
          <w:tcPr>
            <w:tcW w:w="184"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54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490"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44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49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4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64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2,543</w:t>
            </w:r>
          </w:p>
        </w:tc>
        <w:tc>
          <w:tcPr>
            <w:tcW w:w="201" w:type="dxa"/>
            <w:tcBorders/>
            <w:shd w:fill="CFF0FC" w:val="clear"/>
            <w:vAlign w:val="center"/>
          </w:tcPr>
          <w:p>
            <w:pPr>
              <w:pStyle w:val="TableContents"/>
              <w:bidi w:val="0"/>
              <w:spacing w:before="0" w:after="283"/>
              <w:jc w:val="left"/>
              <w:rPr/>
            </w:pPr>
            <w:r>
              <w:rPr/>
              <w:t> </w:t>
            </w:r>
          </w:p>
        </w:tc>
      </w:tr>
      <w:tr>
        <w:trPr/>
        <w:tc>
          <w:tcPr>
            <w:tcW w:w="103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4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Second Lien Debt (Due 6/28/24)</w:t>
            </w:r>
          </w:p>
        </w:tc>
        <w:tc>
          <w:tcPr>
            <w:tcW w:w="184"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367</w:t>
            </w:r>
          </w:p>
        </w:tc>
        <w:tc>
          <w:tcPr>
            <w:tcW w:w="201" w:type="dxa"/>
            <w:tcBorders/>
            <w:shd w:fill="FFFFFF" w:val="clear"/>
            <w:vAlign w:val="center"/>
          </w:tcPr>
          <w:p>
            <w:pPr>
              <w:pStyle w:val="TableContents"/>
              <w:bidi w:val="0"/>
              <w:spacing w:before="0" w:after="283"/>
              <w:jc w:val="left"/>
              <w:rPr/>
            </w:pPr>
            <w:r>
              <w:rPr/>
              <w:t> </w:t>
            </w:r>
          </w:p>
        </w:tc>
      </w:tr>
      <w:tr>
        <w:trPr/>
        <w:tc>
          <w:tcPr>
            <w:tcW w:w="1036" w:type="dxa"/>
            <w:tcBorders/>
            <w:shd w:fill="CFF0FC"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MMI Holdings, LLC</w:t>
            </w:r>
            <w:r>
              <w:rPr>
                <w:rFonts w:ascii="Times New Roman" w:hAnsi="Times New Roman"/>
                <w:color w:val="000000"/>
                <w:sz w:val="8"/>
              </w:rPr>
              <w:t>(5)</w:t>
            </w:r>
          </w:p>
        </w:tc>
        <w:tc>
          <w:tcPr>
            <w:tcW w:w="146"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Preferred Units (1,000</w:t>
            </w:r>
            <w:r>
              <w:rPr>
                <w:rFonts w:ascii="Times New Roman" w:hAnsi="Times New Roman"/>
                <w:color w:val="000000"/>
                <w:sz w:val="20"/>
              </w:rPr>
              <w:t> </w:t>
            </w:r>
            <w:r>
              <w:rPr>
                <w:rFonts w:ascii="Times New Roman" w:hAnsi="Times New Roman"/>
                <w:color w:val="000000"/>
                <w:sz w:val="12"/>
              </w:rPr>
              <w:t>units)</w:t>
            </w:r>
          </w:p>
        </w:tc>
        <w:tc>
          <w:tcPr>
            <w:tcW w:w="184"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54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490"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44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49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4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64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1,229</w:t>
            </w:r>
          </w:p>
        </w:tc>
        <w:tc>
          <w:tcPr>
            <w:tcW w:w="201" w:type="dxa"/>
            <w:tcBorders/>
            <w:shd w:fill="CFF0FC" w:val="clear"/>
            <w:vAlign w:val="center"/>
          </w:tcPr>
          <w:p>
            <w:pPr>
              <w:pStyle w:val="TableContents"/>
              <w:bidi w:val="0"/>
              <w:spacing w:before="0" w:after="283"/>
              <w:jc w:val="left"/>
              <w:rPr/>
            </w:pPr>
            <w:r>
              <w:rPr/>
              <w:t> </w:t>
            </w:r>
          </w:p>
        </w:tc>
      </w:tr>
      <w:tr>
        <w:trPr/>
        <w:tc>
          <w:tcPr>
            <w:tcW w:w="103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4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Common Membership Units (45</w:t>
            </w:r>
            <w:r>
              <w:rPr>
                <w:rFonts w:ascii="Times New Roman" w:hAnsi="Times New Roman"/>
                <w:color w:val="000000"/>
                <w:sz w:val="20"/>
              </w:rPr>
              <w:t> </w:t>
            </w:r>
            <w:r>
              <w:rPr>
                <w:rFonts w:ascii="Times New Roman" w:hAnsi="Times New Roman"/>
                <w:color w:val="000000"/>
                <w:sz w:val="12"/>
              </w:rPr>
              <w:t>units)</w:t>
            </w:r>
          </w:p>
        </w:tc>
        <w:tc>
          <w:tcPr>
            <w:tcW w:w="184"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3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left"/>
              <w:rPr/>
            </w:pPr>
            <w:r>
              <w:rPr/>
              <w:t> </w:t>
            </w:r>
          </w:p>
        </w:tc>
        <w:tc>
          <w:tcPr>
            <w:tcW w:w="604"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4,139</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3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Nth Degree Investment Group, LLC</w:t>
            </w:r>
          </w:p>
        </w:tc>
        <w:tc>
          <w:tcPr>
            <w:tcW w:w="14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Membership Units (6,088,000</w:t>
            </w:r>
            <w:r>
              <w:rPr>
                <w:rFonts w:ascii="Times New Roman" w:hAnsi="Times New Roman"/>
                <w:color w:val="000000"/>
                <w:sz w:val="20"/>
              </w:rPr>
              <w:t> </w:t>
            </w:r>
            <w:r>
              <w:rPr>
                <w:rFonts w:ascii="Times New Roman" w:hAnsi="Times New Roman"/>
                <w:color w:val="000000"/>
                <w:sz w:val="12"/>
              </w:rPr>
              <w:t>units)</w:t>
            </w:r>
          </w:p>
        </w:tc>
        <w:tc>
          <w:tcPr>
            <w:tcW w:w="184"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15,465</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3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left"/>
              <w:rPr/>
            </w:pPr>
            <w:r>
              <w:rPr/>
              <w:t> </w:t>
            </w:r>
          </w:p>
        </w:tc>
        <w:tc>
          <w:tcPr>
            <w:tcW w:w="604"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5,125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15,465</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36"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RAM Payment, LLC</w:t>
            </w:r>
            <w:r>
              <w:rPr>
                <w:rFonts w:ascii="Times New Roman" w:hAnsi="Times New Roman"/>
                <w:color w:val="000000"/>
                <w:sz w:val="8"/>
              </w:rPr>
              <w:t>(5)</w:t>
            </w:r>
          </w:p>
        </w:tc>
        <w:tc>
          <w:tcPr>
            <w:tcW w:w="14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Preferred Units (86,000</w:t>
            </w:r>
            <w:r>
              <w:rPr>
                <w:rFonts w:ascii="Times New Roman" w:hAnsi="Times New Roman"/>
                <w:color w:val="000000"/>
                <w:sz w:val="20"/>
              </w:rPr>
              <w:t> </w:t>
            </w:r>
            <w:r>
              <w:rPr>
                <w:rFonts w:ascii="Times New Roman" w:hAnsi="Times New Roman"/>
                <w:color w:val="000000"/>
                <w:sz w:val="12"/>
              </w:rPr>
              <w:t>units, 6.00% PIK Dividend)</w:t>
            </w:r>
          </w:p>
        </w:tc>
        <w:tc>
          <w:tcPr>
            <w:tcW w:w="184"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2,243</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3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left"/>
              <w:rPr/>
            </w:pPr>
            <w:r>
              <w:rPr/>
              <w:t> </w:t>
            </w:r>
          </w:p>
        </w:tc>
        <w:tc>
          <w:tcPr>
            <w:tcW w:w="604"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2,243</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3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Riddell, Inc.</w:t>
            </w:r>
          </w:p>
        </w:tc>
        <w:tc>
          <w:tcPr>
            <w:tcW w:w="14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First Lien Debt (Due 3/29/29)</w:t>
            </w:r>
          </w:p>
        </w:tc>
        <w:tc>
          <w:tcPr>
            <w:tcW w:w="184"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3,550</w:t>
            </w:r>
          </w:p>
        </w:tc>
        <w:tc>
          <w:tcPr>
            <w:tcW w:w="201" w:type="dxa"/>
            <w:tcBorders/>
            <w:shd w:fill="FFFFFF" w:val="clear"/>
            <w:vAlign w:val="center"/>
          </w:tcPr>
          <w:p>
            <w:pPr>
              <w:pStyle w:val="TableContents"/>
              <w:bidi w:val="0"/>
              <w:spacing w:before="0" w:after="283"/>
              <w:jc w:val="left"/>
              <w:rPr/>
            </w:pPr>
            <w:r>
              <w:rPr/>
              <w:t> </w:t>
            </w:r>
          </w:p>
        </w:tc>
      </w:tr>
      <w:tr>
        <w:trPr/>
        <w:tc>
          <w:tcPr>
            <w:tcW w:w="103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EBSC Holdings LLC (Riddell, Inc.)</w:t>
            </w:r>
          </w:p>
        </w:tc>
        <w:tc>
          <w:tcPr>
            <w:tcW w:w="146"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Preferred Units (1,025</w:t>
            </w:r>
            <w:r>
              <w:rPr>
                <w:rFonts w:ascii="Times New Roman" w:hAnsi="Times New Roman"/>
                <w:color w:val="000000"/>
                <w:sz w:val="20"/>
              </w:rPr>
              <w:t> </w:t>
            </w:r>
            <w:r>
              <w:rPr>
                <w:rFonts w:ascii="Times New Roman" w:hAnsi="Times New Roman"/>
                <w:color w:val="000000"/>
                <w:sz w:val="12"/>
              </w:rPr>
              <w:t>units)</w:t>
            </w:r>
          </w:p>
        </w:tc>
        <w:tc>
          <w:tcPr>
            <w:tcW w:w="184"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1,014</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left"/>
              <w:rPr/>
            </w:pPr>
            <w:r>
              <w:rPr/>
              <w:t> </w:t>
            </w:r>
          </w:p>
        </w:tc>
        <w:tc>
          <w:tcPr>
            <w:tcW w:w="604"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4,564</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3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Sierra Hamilton Holdings Corporation</w:t>
            </w:r>
          </w:p>
        </w:tc>
        <w:tc>
          <w:tcPr>
            <w:tcW w:w="146"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Common Stock (27,396,364</w:t>
            </w:r>
            <w:r>
              <w:rPr>
                <w:rFonts w:ascii="Times New Roman" w:hAnsi="Times New Roman"/>
                <w:color w:val="000000"/>
                <w:sz w:val="20"/>
              </w:rPr>
              <w:t> </w:t>
            </w:r>
            <w:r>
              <w:rPr>
                <w:rFonts w:ascii="Times New Roman" w:hAnsi="Times New Roman"/>
                <w:color w:val="000000"/>
                <w:sz w:val="12"/>
              </w:rPr>
              <w:t>shares)</w:t>
            </w:r>
          </w:p>
        </w:tc>
        <w:tc>
          <w:tcPr>
            <w:tcW w:w="184"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580</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left"/>
              <w:rPr/>
            </w:pPr>
            <w:r>
              <w:rPr/>
              <w:t> </w:t>
            </w:r>
          </w:p>
        </w:tc>
        <w:tc>
          <w:tcPr>
            <w:tcW w:w="604"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580</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3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V12 Holdings, Inc.</w:t>
            </w:r>
          </w:p>
        </w:tc>
        <w:tc>
          <w:tcPr>
            <w:tcW w:w="146"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Second Lien Debt</w:t>
            </w:r>
          </w:p>
        </w:tc>
        <w:tc>
          <w:tcPr>
            <w:tcW w:w="184"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506</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left"/>
              <w:rPr/>
            </w:pPr>
            <w:r>
              <w:rPr/>
              <w:t> </w:t>
            </w:r>
          </w:p>
        </w:tc>
        <w:tc>
          <w:tcPr>
            <w:tcW w:w="604"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53" w:type="dxa"/>
            <w:gridSpan w:val="3"/>
            <w:tcBorders/>
            <w:shd w:fill="CFF0FC" w:val="clear"/>
            <w:vAlign w:val="center"/>
          </w:tcPr>
          <w:p>
            <w:pPr>
              <w:pStyle w:val="TableContents"/>
              <w:bidi w:val="0"/>
              <w:spacing w:before="0" w:after="283"/>
              <w:jc w:val="left"/>
              <w:rPr>
                <w:rFonts w:ascii="Times New Roman" w:hAnsi="Times New Roman"/>
                <w:b/>
                <w:i/>
                <w:color w:val="000000"/>
                <w:sz w:val="12"/>
                <w:u w:val="single"/>
              </w:rPr>
            </w:pPr>
            <w:r>
              <w:rPr>
                <w:rFonts w:ascii="Times New Roman" w:hAnsi="Times New Roman"/>
                <w:b/>
                <w:i/>
                <w:color w:val="000000"/>
                <w:sz w:val="12"/>
                <w:u w:val="single"/>
              </w:rPr>
              <w:t>Total Affiliate investments</w:t>
            </w:r>
          </w:p>
        </w:tc>
        <w:tc>
          <w:tcPr>
            <w:tcW w:w="604"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27,778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6,043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38,372</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top w:val="single" w:sz="6" w:space="1" w:color="000000"/>
        </w:pBdr>
        <w:bidi w:val="0"/>
        <w:spacing w:before="120" w:after="283"/>
        <w:jc w:val="both"/>
        <w:rPr/>
      </w:pPr>
      <w:r>
        <w:rPr/>
        <w:t> </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(1)</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Represents the total amount of interest, original issue discount, fees and dividends credited to income for the portion of the year an investment was included in Affiliate or Control categories, respectively.</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(2)</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Gross additions include increases in the cost basis of investments resulting from new portfolio investments, follow-on investments, accrued PIK and accretion of original issue discount. Gross additions also include transfers into Affiliate or Control classification.</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(3)</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Gross reductions include decreases in the cost basis of investments resulting from principal repayments and sales. Gross reductions also include transfers out of Affiliate or Control classification.</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(4)</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All debt investments are income producing. Equity and warrant investments are non-income producing, unless otherwise noted.</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(5)</w:t>
      </w:r>
    </w:p>
    <w:p>
      <w:pPr>
        <w:pStyle w:val="TextBody"/>
        <w:bidi w:val="0"/>
        <w:jc w:val="both"/>
        <w:rPr>
          <w:rFonts w:ascii="Times New Roman" w:hAnsi="Times New Roman"/>
          <w:color w:val="000000"/>
          <w:sz w:val="14"/>
        </w:rPr>
      </w:pPr>
      <w:r>
        <w:rPr>
          <w:rFonts w:ascii="Times New Roman" w:hAnsi="Times New Roman"/>
          <w:color w:val="000000"/>
          <w:sz w:val="14"/>
        </w:rPr>
        <w:t>The equity investment is income producing, based on rate disclosed.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June 30, 2024</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During the year ended December 31, 2023, the Company had investments in portfolio companies designated as affiliates under the 1940 Act. Transactions with affiliates were as follows (dollars in thousands):</w:t>
      </w:r>
    </w:p>
    <w:tbl>
      <w:tblPr>
        <w:tblW w:w="10205" w:type="dxa"/>
        <w:jc w:val="left"/>
        <w:tblInd w:w="0" w:type="dxa"/>
        <w:tblLayout w:type="fixed"/>
        <w:tblCellMar>
          <w:top w:w="28" w:type="dxa"/>
          <w:left w:w="28" w:type="dxa"/>
          <w:bottom w:w="28" w:type="dxa"/>
          <w:right w:w="28" w:type="dxa"/>
        </w:tblCellMar>
      </w:tblPr>
      <w:tblGrid>
        <w:gridCol w:w="1005"/>
        <w:gridCol w:w="146"/>
        <w:gridCol w:w="1189"/>
        <w:gridCol w:w="146"/>
        <w:gridCol w:w="179"/>
        <w:gridCol w:w="410"/>
        <w:gridCol w:w="146"/>
        <w:gridCol w:w="146"/>
        <w:gridCol w:w="230"/>
        <w:gridCol w:w="484"/>
        <w:gridCol w:w="151"/>
        <w:gridCol w:w="146"/>
        <w:gridCol w:w="184"/>
        <w:gridCol w:w="485"/>
        <w:gridCol w:w="146"/>
        <w:gridCol w:w="146"/>
        <w:gridCol w:w="204"/>
        <w:gridCol w:w="428"/>
        <w:gridCol w:w="146"/>
        <w:gridCol w:w="146"/>
        <w:gridCol w:w="203"/>
        <w:gridCol w:w="519"/>
        <w:gridCol w:w="151"/>
        <w:gridCol w:w="146"/>
        <w:gridCol w:w="188"/>
        <w:gridCol w:w="393"/>
        <w:gridCol w:w="146"/>
        <w:gridCol w:w="146"/>
        <w:gridCol w:w="249"/>
        <w:gridCol w:w="634"/>
        <w:gridCol w:w="151"/>
        <w:gridCol w:w="146"/>
        <w:gridCol w:w="184"/>
        <w:gridCol w:w="484"/>
        <w:gridCol w:w="202"/>
      </w:tblGrid>
      <w:tr>
        <w:trPr/>
        <w:tc>
          <w:tcPr>
            <w:tcW w:w="10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0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Company</w:t>
            </w:r>
            <w:r>
              <w:rPr>
                <w:rFonts w:ascii="Times New Roman" w:hAnsi="Times New Roman"/>
                <w:b/>
                <w:color w:val="000000"/>
                <w:sz w:val="8"/>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Type of 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Principal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Amount of Interest, Fees or Dividends Credited to Income</w:t>
            </w:r>
            <w:r>
              <w:rPr>
                <w:rFonts w:ascii="Times New Roman" w:hAnsi="Times New Roman"/>
                <w:b/>
                <w:color w:val="000000"/>
                <w:sz w:val="8"/>
              </w:rPr>
              <w:t>(1)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December 31, </w:t>
              <w:br/>
              <w:t>2022</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Gross Additions</w:t>
            </w:r>
            <w:r>
              <w:rPr>
                <w:rFonts w:ascii="Times New Roman" w:hAnsi="Times New Roman"/>
                <w:b/>
                <w:color w:val="000000"/>
                <w:sz w:val="8"/>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Gross Reductions</w:t>
            </w:r>
            <w:r>
              <w:rPr>
                <w:rFonts w:ascii="Times New Roman" w:hAnsi="Times New Roman"/>
                <w:b/>
                <w:color w:val="000000"/>
                <w:sz w:val="8"/>
              </w:rPr>
              <w:t>(3)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Realized Gain/(Loss)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Unrealized Appreciation (Depreciation)</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December 31,</w:t>
              <w:br/>
              <w:t>2023</w:t>
              <w:br/>
              <w:t>Fair Value</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0" w:type="dxa"/>
            <w:gridSpan w:val="3"/>
            <w:tcBorders/>
            <w:shd w:fill="CFF0FC" w:val="clear"/>
            <w:vAlign w:val="center"/>
          </w:tcPr>
          <w:p>
            <w:pPr>
              <w:pStyle w:val="TableContents"/>
              <w:bidi w:val="0"/>
              <w:spacing w:before="0" w:after="283"/>
              <w:jc w:val="left"/>
              <w:rPr>
                <w:rFonts w:ascii="Times New Roman" w:hAnsi="Times New Roman"/>
                <w:b/>
                <w:i/>
                <w:color w:val="000000"/>
                <w:sz w:val="12"/>
                <w:u w:val="single"/>
              </w:rPr>
            </w:pPr>
            <w:r>
              <w:rPr>
                <w:rFonts w:ascii="Times New Roman" w:hAnsi="Times New Roman"/>
                <w:b/>
                <w:i/>
                <w:color w:val="000000"/>
                <w:sz w:val="12"/>
                <w:u w:val="single"/>
              </w:rPr>
              <w:t>Affiliate investments</w:t>
            </w:r>
          </w:p>
        </w:tc>
        <w:tc>
          <w:tcPr>
            <w:tcW w:w="146" w:type="dxa"/>
            <w:tcBorders/>
            <w:shd w:fill="CFF0FC" w:val="clear"/>
            <w:vAlign w:val="center"/>
          </w:tcPr>
          <w:p>
            <w:pPr>
              <w:pStyle w:val="TableContents"/>
              <w:bidi w:val="0"/>
              <w:spacing w:before="0" w:after="283"/>
              <w:jc w:val="left"/>
              <w:rPr/>
            </w:pPr>
            <w:r>
              <w:rPr/>
              <w:t> </w:t>
            </w:r>
          </w:p>
        </w:tc>
        <w:tc>
          <w:tcPr>
            <w:tcW w:w="589"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14"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9"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2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3"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8" w:type="dxa"/>
            <w:gridSpan w:val="2"/>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r>
      <w:tr>
        <w:trPr/>
        <w:tc>
          <w:tcPr>
            <w:tcW w:w="10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Burgaflex Holdings, LLC</w:t>
            </w:r>
          </w:p>
        </w:tc>
        <w:tc>
          <w:tcPr>
            <w:tcW w:w="146"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Common Stock Class A (1,253,198</w:t>
            </w:r>
            <w:r>
              <w:rPr>
                <w:rFonts w:ascii="Times New Roman" w:hAnsi="Times New Roman"/>
                <w:color w:val="000000"/>
                <w:sz w:val="20"/>
              </w:rPr>
              <w:t> </w:t>
            </w:r>
            <w:r>
              <w:rPr>
                <w:rFonts w:ascii="Times New Roman" w:hAnsi="Times New Roman"/>
                <w:color w:val="000000"/>
                <w:sz w:val="12"/>
              </w:rPr>
              <w:t>shares)</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9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3,090</w:t>
            </w:r>
          </w:p>
        </w:tc>
        <w:tc>
          <w:tcPr>
            <w:tcW w:w="202" w:type="dxa"/>
            <w:tcBorders/>
            <w:shd w:fill="FFFFFF" w:val="clear"/>
            <w:vAlign w:val="center"/>
          </w:tcPr>
          <w:p>
            <w:pPr>
              <w:pStyle w:val="TableContents"/>
              <w:bidi w:val="0"/>
              <w:spacing w:before="0" w:after="283"/>
              <w:jc w:val="left"/>
              <w:rPr/>
            </w:pPr>
            <w:r>
              <w:rPr/>
              <w:t> </w:t>
            </w:r>
          </w:p>
        </w:tc>
      </w:tr>
      <w:tr>
        <w:trPr/>
        <w:tc>
          <w:tcPr>
            <w:tcW w:w="10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Burgaflex Holdings, LLC</w:t>
            </w:r>
          </w:p>
        </w:tc>
        <w:tc>
          <w:tcPr>
            <w:tcW w:w="146" w:type="dxa"/>
            <w:tcBorders/>
            <w:shd w:fill="CFF0FC" w:val="clear"/>
            <w:vAlign w:val="center"/>
          </w:tcPr>
          <w:p>
            <w:pPr>
              <w:pStyle w:val="TableContents"/>
              <w:bidi w:val="0"/>
              <w:spacing w:before="0" w:after="283"/>
              <w:jc w:val="left"/>
              <w:rPr/>
            </w:pPr>
            <w:r>
              <w:rPr/>
              <w:t> </w:t>
            </w:r>
          </w:p>
        </w:tc>
        <w:tc>
          <w:tcPr>
            <w:tcW w:w="118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Common Stock Class B (1,085,073</w:t>
            </w:r>
            <w:r>
              <w:rPr>
                <w:rFonts w:ascii="Times New Roman" w:hAnsi="Times New Roman"/>
                <w:color w:val="000000"/>
                <w:sz w:val="20"/>
              </w:rPr>
              <w:t> </w:t>
            </w:r>
            <w:r>
              <w:rPr>
                <w:rFonts w:ascii="Times New Roman" w:hAnsi="Times New Roman"/>
                <w:color w:val="000000"/>
                <w:sz w:val="12"/>
              </w:rPr>
              <w:t>shares)</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41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2,420</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9"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5,510</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GA Communications, Inc.</w:t>
            </w:r>
          </w:p>
        </w:tc>
        <w:tc>
          <w:tcPr>
            <w:tcW w:w="146" w:type="dxa"/>
            <w:tcBorders/>
            <w:shd w:fill="CFF0FC" w:val="clear"/>
            <w:vAlign w:val="center"/>
          </w:tcPr>
          <w:p>
            <w:pPr>
              <w:pStyle w:val="TableContents"/>
              <w:bidi w:val="0"/>
              <w:spacing w:before="0" w:after="283"/>
              <w:jc w:val="left"/>
              <w:rPr/>
            </w:pPr>
            <w:r>
              <w:rPr/>
              <w:t> </w:t>
            </w:r>
          </w:p>
        </w:tc>
        <w:tc>
          <w:tcPr>
            <w:tcW w:w="118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Series A-1 Preferred Stock (1,998</w:t>
            </w:r>
            <w:r>
              <w:rPr>
                <w:rFonts w:ascii="Times New Roman" w:hAnsi="Times New Roman"/>
                <w:color w:val="000000"/>
                <w:sz w:val="20"/>
              </w:rPr>
              <w:t> </w:t>
            </w:r>
            <w:r>
              <w:rPr>
                <w:rFonts w:ascii="Times New Roman" w:hAnsi="Times New Roman"/>
                <w:color w:val="000000"/>
                <w:sz w:val="12"/>
              </w:rPr>
              <w:t>shares)</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41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85"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42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3,540</w:t>
            </w:r>
          </w:p>
        </w:tc>
        <w:tc>
          <w:tcPr>
            <w:tcW w:w="202" w:type="dxa"/>
            <w:tcBorders/>
            <w:shd w:fill="CFF0FC" w:val="clear"/>
            <w:vAlign w:val="center"/>
          </w:tcPr>
          <w:p>
            <w:pPr>
              <w:pStyle w:val="TableContents"/>
              <w:bidi w:val="0"/>
              <w:spacing w:before="0" w:after="283"/>
              <w:jc w:val="left"/>
              <w:rPr/>
            </w:pPr>
            <w:r>
              <w:rPr/>
              <w:t> </w:t>
            </w:r>
          </w:p>
        </w:tc>
      </w:tr>
      <w:tr>
        <w:trPr/>
        <w:tc>
          <w:tcPr>
            <w:tcW w:w="10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GA Communications, Inc.</w:t>
            </w:r>
          </w:p>
        </w:tc>
        <w:tc>
          <w:tcPr>
            <w:tcW w:w="146"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Series B-1 Common Stock (200,000</w:t>
            </w:r>
            <w:r>
              <w:rPr>
                <w:rFonts w:ascii="Times New Roman" w:hAnsi="Times New Roman"/>
                <w:color w:val="000000"/>
                <w:sz w:val="20"/>
              </w:rPr>
              <w:t> </w:t>
            </w:r>
            <w:r>
              <w:rPr>
                <w:rFonts w:ascii="Times New Roman" w:hAnsi="Times New Roman"/>
                <w:color w:val="000000"/>
                <w:sz w:val="12"/>
              </w:rPr>
              <w:t>shares)</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620</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5"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18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9"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4,160</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Great Lakes Funding II LLC</w:t>
            </w:r>
          </w:p>
        </w:tc>
        <w:tc>
          <w:tcPr>
            <w:tcW w:w="146"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Series A</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5"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18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9"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GreenPark Infrastructure, LLC</w:t>
            </w:r>
          </w:p>
        </w:tc>
        <w:tc>
          <w:tcPr>
            <w:tcW w:w="146"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Series A (400</w:t>
            </w:r>
            <w:r>
              <w:rPr>
                <w:rFonts w:ascii="Times New Roman" w:hAnsi="Times New Roman"/>
                <w:color w:val="000000"/>
                <w:sz w:val="20"/>
              </w:rPr>
              <w:t> </w:t>
            </w:r>
            <w:r>
              <w:rPr>
                <w:rFonts w:ascii="Times New Roman" w:hAnsi="Times New Roman"/>
                <w:color w:val="000000"/>
                <w:sz w:val="12"/>
              </w:rPr>
              <w:t>Units)</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42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w:t>
            </w:r>
          </w:p>
        </w:tc>
        <w:tc>
          <w:tcPr>
            <w:tcW w:w="202" w:type="dxa"/>
            <w:tcBorders/>
            <w:shd w:fill="FFFFFF" w:val="clear"/>
            <w:vAlign w:val="center"/>
          </w:tcPr>
          <w:p>
            <w:pPr>
              <w:pStyle w:val="TableContents"/>
              <w:bidi w:val="0"/>
              <w:spacing w:before="0" w:after="283"/>
              <w:jc w:val="left"/>
              <w:rPr/>
            </w:pPr>
            <w:r>
              <w:rPr/>
              <w:t> </w:t>
            </w:r>
          </w:p>
        </w:tc>
      </w:tr>
      <w:tr>
        <w:trPr/>
        <w:tc>
          <w:tcPr>
            <w:tcW w:w="10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GreenPark Infrastructure, LLC</w:t>
            </w:r>
          </w:p>
        </w:tc>
        <w:tc>
          <w:tcPr>
            <w:tcW w:w="146" w:type="dxa"/>
            <w:tcBorders/>
            <w:shd w:fill="CFF0FC" w:val="clear"/>
            <w:vAlign w:val="center"/>
          </w:tcPr>
          <w:p>
            <w:pPr>
              <w:pStyle w:val="TableContents"/>
              <w:bidi w:val="0"/>
              <w:spacing w:before="0" w:after="283"/>
              <w:jc w:val="left"/>
              <w:rPr/>
            </w:pPr>
            <w:r>
              <w:rPr/>
              <w:t> </w:t>
            </w:r>
          </w:p>
        </w:tc>
        <w:tc>
          <w:tcPr>
            <w:tcW w:w="118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Series M-1 (200</w:t>
            </w:r>
            <w:r>
              <w:rPr>
                <w:rFonts w:ascii="Times New Roman" w:hAnsi="Times New Roman"/>
                <w:color w:val="000000"/>
                <w:sz w:val="20"/>
              </w:rPr>
              <w:t> </w:t>
            </w:r>
            <w:r>
              <w:rPr>
                <w:rFonts w:ascii="Times New Roman" w:hAnsi="Times New Roman"/>
                <w:color w:val="000000"/>
                <w:sz w:val="12"/>
              </w:rPr>
              <w:t>Units)</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41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9"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269</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46" w:type="dxa"/>
            <w:tcBorders/>
            <w:shd w:fill="CFF0FC" w:val="clear"/>
            <w:vAlign w:val="center"/>
          </w:tcPr>
          <w:p>
            <w:pPr>
              <w:pStyle w:val="TableContents"/>
              <w:bidi w:val="0"/>
              <w:spacing w:before="0" w:after="283"/>
              <w:jc w:val="left"/>
              <w:rPr/>
            </w:pPr>
            <w:r>
              <w:rPr/>
              <w:t> </w:t>
            </w:r>
          </w:p>
        </w:tc>
        <w:tc>
          <w:tcPr>
            <w:tcW w:w="118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First Lien Debt (12.00% Cash, Due 6/28/24)</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410"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(316</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85"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42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2,514</w:t>
            </w:r>
          </w:p>
        </w:tc>
        <w:tc>
          <w:tcPr>
            <w:tcW w:w="202" w:type="dxa"/>
            <w:tcBorders/>
            <w:shd w:fill="CFF0FC" w:val="clear"/>
            <w:vAlign w:val="center"/>
          </w:tcPr>
          <w:p>
            <w:pPr>
              <w:pStyle w:val="TableContents"/>
              <w:bidi w:val="0"/>
              <w:spacing w:before="0" w:after="283"/>
              <w:jc w:val="left"/>
              <w:rPr/>
            </w:pPr>
            <w:r>
              <w:rPr/>
              <w:t> </w:t>
            </w:r>
          </w:p>
        </w:tc>
      </w:tr>
      <w:tr>
        <w:trPr/>
        <w:tc>
          <w:tcPr>
            <w:tcW w:w="10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46"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Second Lien Debt (6.00% Cash, Due 6/28/24)</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42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352</w:t>
            </w:r>
          </w:p>
        </w:tc>
        <w:tc>
          <w:tcPr>
            <w:tcW w:w="202" w:type="dxa"/>
            <w:tcBorders/>
            <w:shd w:fill="FFFFFF" w:val="clear"/>
            <w:vAlign w:val="center"/>
          </w:tcPr>
          <w:p>
            <w:pPr>
              <w:pStyle w:val="TableContents"/>
              <w:bidi w:val="0"/>
              <w:spacing w:before="0" w:after="283"/>
              <w:jc w:val="left"/>
              <w:rPr/>
            </w:pPr>
            <w:r>
              <w:rPr/>
              <w:t> </w:t>
            </w:r>
          </w:p>
        </w:tc>
      </w:tr>
      <w:tr>
        <w:trPr/>
        <w:tc>
          <w:tcPr>
            <w:tcW w:w="1005" w:type="dxa"/>
            <w:tcBorders/>
            <w:shd w:fill="CFF0FC"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MMI Holdings, LLC</w:t>
            </w:r>
            <w:r>
              <w:rPr>
                <w:rFonts w:ascii="Times New Roman" w:hAnsi="Times New Roman"/>
                <w:color w:val="000000"/>
                <w:sz w:val="8"/>
              </w:rPr>
              <w:t>(5)</w:t>
            </w:r>
          </w:p>
        </w:tc>
        <w:tc>
          <w:tcPr>
            <w:tcW w:w="146" w:type="dxa"/>
            <w:tcBorders/>
            <w:shd w:fill="CFF0FC" w:val="clear"/>
            <w:vAlign w:val="center"/>
          </w:tcPr>
          <w:p>
            <w:pPr>
              <w:pStyle w:val="TableContents"/>
              <w:bidi w:val="0"/>
              <w:spacing w:before="0" w:after="283"/>
              <w:jc w:val="left"/>
              <w:rPr/>
            </w:pPr>
            <w:r>
              <w:rPr/>
              <w:t> </w:t>
            </w:r>
          </w:p>
        </w:tc>
        <w:tc>
          <w:tcPr>
            <w:tcW w:w="118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Preferred Units (1,000</w:t>
            </w:r>
            <w:r>
              <w:rPr>
                <w:rFonts w:ascii="Times New Roman" w:hAnsi="Times New Roman"/>
                <w:color w:val="000000"/>
                <w:sz w:val="20"/>
              </w:rPr>
              <w:t> </w:t>
            </w:r>
            <w:r>
              <w:rPr>
                <w:rFonts w:ascii="Times New Roman" w:hAnsi="Times New Roman"/>
                <w:color w:val="000000"/>
                <w:sz w:val="12"/>
              </w:rPr>
              <w:t>units, 8.00% PIK Dividend)</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41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85"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42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(895</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559</w:t>
            </w:r>
          </w:p>
        </w:tc>
        <w:tc>
          <w:tcPr>
            <w:tcW w:w="202" w:type="dxa"/>
            <w:tcBorders/>
            <w:shd w:fill="CFF0FC" w:val="clear"/>
            <w:vAlign w:val="center"/>
          </w:tcPr>
          <w:p>
            <w:pPr>
              <w:pStyle w:val="TableContents"/>
              <w:bidi w:val="0"/>
              <w:spacing w:before="0" w:after="283"/>
              <w:jc w:val="left"/>
              <w:rPr/>
            </w:pPr>
            <w:r>
              <w:rPr/>
              <w:t> </w:t>
            </w:r>
          </w:p>
        </w:tc>
      </w:tr>
      <w:tr>
        <w:trPr/>
        <w:tc>
          <w:tcPr>
            <w:tcW w:w="10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46"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Common Membership Units (45</w:t>
            </w:r>
            <w:r>
              <w:rPr>
                <w:rFonts w:ascii="Times New Roman" w:hAnsi="Times New Roman"/>
                <w:color w:val="000000"/>
                <w:sz w:val="20"/>
              </w:rPr>
              <w:t> </w:t>
            </w:r>
            <w:r>
              <w:rPr>
                <w:rFonts w:ascii="Times New Roman" w:hAnsi="Times New Roman"/>
                <w:color w:val="000000"/>
                <w:sz w:val="12"/>
              </w:rPr>
              <w:t>units)</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5"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18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9"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3,425</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Nth Degree Investment Group, LLC</w:t>
            </w:r>
          </w:p>
        </w:tc>
        <w:tc>
          <w:tcPr>
            <w:tcW w:w="146"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Membership Units (6,088,000</w:t>
            </w:r>
            <w:r>
              <w:rPr>
                <w:rFonts w:ascii="Times New Roman" w:hAnsi="Times New Roman"/>
                <w:color w:val="000000"/>
                <w:sz w:val="20"/>
              </w:rPr>
              <w:t> </w:t>
            </w:r>
            <w:r>
              <w:rPr>
                <w:rFonts w:ascii="Times New Roman" w:hAnsi="Times New Roman"/>
                <w:color w:val="000000"/>
                <w:sz w:val="12"/>
              </w:rPr>
              <w:t>units)</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5,020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10,340</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5"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18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9"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5,020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10,340</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RAM Payment, LLC</w:t>
            </w:r>
          </w:p>
        </w:tc>
        <w:tc>
          <w:tcPr>
            <w:tcW w:w="146"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First Lien Debt (10.43% Cash (1 month LIBOR + 5.00%), 1.50% Floor), Due 1/4/24)</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42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(939</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color w:val="000000"/>
              </w:rPr>
            </w:pPr>
            <w:r>
              <w:rPr>
                <w:color w:val="000000"/>
              </w:rPr>
              <w:t>—</w:t>
            </w:r>
          </w:p>
        </w:tc>
        <w:tc>
          <w:tcPr>
            <w:tcW w:w="202" w:type="dxa"/>
            <w:tcBorders/>
            <w:shd w:fill="FFFFFF" w:val="clear"/>
            <w:vAlign w:val="center"/>
          </w:tcPr>
          <w:p>
            <w:pPr>
              <w:pStyle w:val="TableContents"/>
              <w:bidi w:val="0"/>
              <w:spacing w:before="0" w:after="283"/>
              <w:jc w:val="left"/>
              <w:rPr/>
            </w:pPr>
            <w:r>
              <w:rPr/>
              <w:t> </w:t>
            </w:r>
          </w:p>
        </w:tc>
      </w:tr>
      <w:tr>
        <w:trPr/>
        <w:tc>
          <w:tcPr>
            <w:tcW w:w="10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RAM Payment, LLC</w:t>
            </w:r>
          </w:p>
        </w:tc>
        <w:tc>
          <w:tcPr>
            <w:tcW w:w="146" w:type="dxa"/>
            <w:tcBorders/>
            <w:shd w:fill="CFF0FC" w:val="clear"/>
            <w:vAlign w:val="center"/>
          </w:tcPr>
          <w:p>
            <w:pPr>
              <w:pStyle w:val="TableContents"/>
              <w:bidi w:val="0"/>
              <w:spacing w:before="0" w:after="283"/>
              <w:jc w:val="left"/>
              <w:rPr/>
            </w:pPr>
            <w:r>
              <w:rPr/>
              <w:t> </w:t>
            </w:r>
          </w:p>
        </w:tc>
        <w:tc>
          <w:tcPr>
            <w:tcW w:w="118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First Lien Debt (13.76% Cash, Due 1/4/24)</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41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85"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42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(2,547</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right"/>
              <w:rPr>
                <w:color w:val="000000"/>
              </w:rPr>
            </w:pPr>
            <w:r>
              <w:rPr>
                <w:color w:val="000000"/>
              </w:rPr>
              <w:t>—</w:t>
            </w:r>
          </w:p>
        </w:tc>
        <w:tc>
          <w:tcPr>
            <w:tcW w:w="202" w:type="dxa"/>
            <w:tcBorders/>
            <w:shd w:fill="CFF0FC" w:val="clear"/>
            <w:vAlign w:val="center"/>
          </w:tcPr>
          <w:p>
            <w:pPr>
              <w:pStyle w:val="TableContents"/>
              <w:bidi w:val="0"/>
              <w:spacing w:before="0" w:after="283"/>
              <w:jc w:val="left"/>
              <w:rPr/>
            </w:pPr>
            <w:r>
              <w:rPr/>
              <w:t> </w:t>
            </w:r>
          </w:p>
        </w:tc>
      </w:tr>
      <w:tr>
        <w:trPr/>
        <w:tc>
          <w:tcPr>
            <w:tcW w:w="100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RAM Payment, LLC</w:t>
            </w:r>
            <w:r>
              <w:rPr>
                <w:rFonts w:ascii="Times New Roman" w:hAnsi="Times New Roman"/>
                <w:color w:val="000000"/>
                <w:sz w:val="8"/>
              </w:rPr>
              <w:t>(5)</w:t>
            </w:r>
          </w:p>
        </w:tc>
        <w:tc>
          <w:tcPr>
            <w:tcW w:w="146"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Preferred Units (86,000</w:t>
            </w:r>
            <w:r>
              <w:rPr>
                <w:rFonts w:ascii="Times New Roman" w:hAnsi="Times New Roman"/>
                <w:color w:val="000000"/>
                <w:sz w:val="20"/>
              </w:rPr>
              <w:t> </w:t>
            </w:r>
            <w:r>
              <w:rPr>
                <w:rFonts w:ascii="Times New Roman" w:hAnsi="Times New Roman"/>
                <w:color w:val="000000"/>
                <w:sz w:val="12"/>
              </w:rPr>
              <w:t>units, 6.00% PIK Dividend)</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2,445</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5"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18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9"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(3,730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2,445</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Sierra Hamilton Holdings Corporation</w:t>
            </w:r>
          </w:p>
        </w:tc>
        <w:tc>
          <w:tcPr>
            <w:tcW w:w="146"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Second Lien Debt (15.00% PIK, Due 9/12/23)</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42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color w:val="000000"/>
              </w:rPr>
            </w:pPr>
            <w:r>
              <w:rPr>
                <w:color w:val="000000"/>
              </w:rPr>
              <w:t>—</w:t>
            </w:r>
          </w:p>
        </w:tc>
        <w:tc>
          <w:tcPr>
            <w:tcW w:w="202" w:type="dxa"/>
            <w:tcBorders/>
            <w:shd w:fill="FFFFFF" w:val="clear"/>
            <w:vAlign w:val="center"/>
          </w:tcPr>
          <w:p>
            <w:pPr>
              <w:pStyle w:val="TableContents"/>
              <w:bidi w:val="0"/>
              <w:spacing w:before="0" w:after="283"/>
              <w:jc w:val="left"/>
              <w:rPr/>
            </w:pPr>
            <w:r>
              <w:rPr/>
              <w:t> </w:t>
            </w:r>
          </w:p>
        </w:tc>
      </w:tr>
      <w:tr>
        <w:trPr/>
        <w:tc>
          <w:tcPr>
            <w:tcW w:w="10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Sierra Hamilton Holdings Corporation</w:t>
            </w:r>
          </w:p>
        </w:tc>
        <w:tc>
          <w:tcPr>
            <w:tcW w:w="146" w:type="dxa"/>
            <w:tcBorders/>
            <w:shd w:fill="CFF0FC" w:val="clear"/>
            <w:vAlign w:val="center"/>
          </w:tcPr>
          <w:p>
            <w:pPr>
              <w:pStyle w:val="TableContents"/>
              <w:bidi w:val="0"/>
              <w:spacing w:before="0" w:after="283"/>
              <w:jc w:val="left"/>
              <w:rPr/>
            </w:pPr>
            <w:r>
              <w:rPr/>
              <w:t> </w:t>
            </w:r>
          </w:p>
        </w:tc>
        <w:tc>
          <w:tcPr>
            <w:tcW w:w="118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Common Stock (27,396,364</w:t>
            </w:r>
            <w:r>
              <w:rPr>
                <w:rFonts w:ascii="Times New Roman" w:hAnsi="Times New Roman"/>
                <w:color w:val="000000"/>
                <w:sz w:val="20"/>
              </w:rPr>
              <w:t> </w:t>
            </w:r>
            <w:r>
              <w:rPr>
                <w:rFonts w:ascii="Times New Roman" w:hAnsi="Times New Roman"/>
                <w:color w:val="000000"/>
                <w:sz w:val="12"/>
              </w:rPr>
              <w:t>shares)</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41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670</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9"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670</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V12 Holdings, Inc.</w:t>
            </w:r>
          </w:p>
        </w:tc>
        <w:tc>
          <w:tcPr>
            <w:tcW w:w="146" w:type="dxa"/>
            <w:tcBorders/>
            <w:shd w:fill="CFF0FC" w:val="clear"/>
            <w:vAlign w:val="center"/>
          </w:tcPr>
          <w:p>
            <w:pPr>
              <w:pStyle w:val="TableContents"/>
              <w:bidi w:val="0"/>
              <w:spacing w:before="0" w:after="283"/>
              <w:jc w:val="left"/>
              <w:rPr/>
            </w:pPr>
            <w:r>
              <w:rPr/>
              <w:t> </w:t>
            </w:r>
          </w:p>
        </w:tc>
        <w:tc>
          <w:tcPr>
            <w:tcW w:w="118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Second Lien Debt</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410"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9"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40" w:type="dxa"/>
            <w:gridSpan w:val="3"/>
            <w:tcBorders/>
            <w:shd w:fill="CFF0FC" w:val="clear"/>
            <w:vAlign w:val="center"/>
          </w:tcPr>
          <w:p>
            <w:pPr>
              <w:pStyle w:val="TableContents"/>
              <w:bidi w:val="0"/>
              <w:spacing w:before="0" w:after="283"/>
              <w:jc w:val="left"/>
              <w:rPr>
                <w:rFonts w:ascii="Times New Roman" w:hAnsi="Times New Roman"/>
                <w:b/>
                <w:i/>
                <w:color w:val="000000"/>
                <w:sz w:val="12"/>
                <w:u w:val="single"/>
              </w:rPr>
            </w:pPr>
            <w:r>
              <w:rPr>
                <w:rFonts w:ascii="Times New Roman" w:hAnsi="Times New Roman"/>
                <w:b/>
                <w:i/>
                <w:color w:val="000000"/>
                <w:sz w:val="12"/>
                <w:u w:val="single"/>
              </w:rPr>
              <w:t>Total Affiliate investments</w:t>
            </w:r>
          </w:p>
        </w:tc>
        <w:tc>
          <w:tcPr>
            <w:tcW w:w="146" w:type="dxa"/>
            <w:tcBorders/>
            <w:shd w:fill="CFF0FC" w:val="clear"/>
            <w:vAlign w:val="center"/>
          </w:tcPr>
          <w:p>
            <w:pPr>
              <w:pStyle w:val="TableContents"/>
              <w:bidi w:val="0"/>
              <w:spacing w:before="0" w:after="283"/>
              <w:jc w:val="left"/>
              <w:rPr/>
            </w:pPr>
            <w:r>
              <w:rPr/>
              <w:t> </w:t>
            </w:r>
          </w:p>
        </w:tc>
        <w:tc>
          <w:tcPr>
            <w:tcW w:w="589"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26,324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(3,791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4,989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27,778</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top w:val="single" w:sz="6" w:space="1" w:color="000000"/>
        </w:pBdr>
        <w:bidi w:val="0"/>
        <w:spacing w:before="120" w:after="283"/>
        <w:jc w:val="both"/>
        <w:rPr/>
      </w:pPr>
      <w:r>
        <w:rPr/>
        <w:t> </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(1)</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Represents the total amount of interest, original issue discount, fees and dividends credited to income for the portion of the year an investment was included in Affiliate or Control categories, respectively.</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(2)</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Gross additions include increases in the cost basis of investments resulting from new portfolio investments, follow-on investments, accrued PIK and accretion of original issue discount. Gross additions also include transfers into Affiliate or Control classification.</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(3)</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Gross reductions include decreases in the cost basis of investments resulting from principal repayments and sales. Gross reductions also include transfers out of Affiliate or Control classification.</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(4)</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All debt investments are income producing. Equity and warrant investments are non-income producing, unless otherwise noted.</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(5)</w:t>
      </w:r>
    </w:p>
    <w:p>
      <w:pPr>
        <w:pStyle w:val="TextBody"/>
        <w:bidi w:val="0"/>
        <w:jc w:val="both"/>
        <w:rPr>
          <w:rFonts w:ascii="Times New Roman" w:hAnsi="Times New Roman"/>
          <w:color w:val="000000"/>
          <w:sz w:val="14"/>
        </w:rPr>
      </w:pPr>
      <w:r>
        <w:rPr>
          <w:rFonts w:ascii="Times New Roman" w:hAnsi="Times New Roman"/>
          <w:color w:val="000000"/>
          <w:sz w:val="14"/>
        </w:rPr>
        <w:t>The equity investment is income producing, based on rate disclosed.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June 30, 2024</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spacing w:before="240" w:after="120"/>
        <w:jc w:val="left"/>
        <w:rPr>
          <w:rFonts w:ascii="Times New Roman" w:hAnsi="Times New Roman"/>
          <w:b/>
          <w:color w:val="000000"/>
          <w:sz w:val="16"/>
        </w:rPr>
      </w:pPr>
      <w:r>
        <w:rPr>
          <w:rFonts w:ascii="Times New Roman" w:hAnsi="Times New Roman"/>
          <w:b/>
          <w:color w:val="000000"/>
          <w:sz w:val="16"/>
        </w:rPr>
        <w:t>Note 5. Agreements and Related Party Transactions</w:t>
      </w:r>
    </w:p>
    <w:p>
      <w:pPr>
        <w:pStyle w:val="TextBody"/>
        <w:bidi w:val="0"/>
        <w:spacing w:before="240" w:after="120"/>
        <w:jc w:val="left"/>
        <w:rPr>
          <w:rFonts w:ascii="Times New Roman" w:hAnsi="Times New Roman"/>
          <w:i/>
          <w:color w:val="000000"/>
          <w:sz w:val="16"/>
        </w:rPr>
      </w:pPr>
      <w:r>
        <w:rPr>
          <w:rFonts w:ascii="Times New Roman" w:hAnsi="Times New Roman"/>
          <w:i/>
          <w:color w:val="000000"/>
          <w:sz w:val="16"/>
        </w:rPr>
        <w:t>Investment Advisory Agreement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July 1, 2021, the Company entered into the Investment Advisory Agreement with the Investment Adviser, which was approved by the Company’s stockholders on May 27, 2021. Unless earlier terminated in accordance with its terms, the Investment Advisory Agreement will remain in effect from year to year if approved annually by the Board or by a majority of our Independent Directors. The Board most recently approved the renewal of the Investment Advisory Agreement at a meeting on May 7, 2024. Subject to the overall supervision of the Board, the Investment Adviser manages our day-to-day operations and provides investment advisory and management services to us. Under the terms of the Investment Advisory Agreement, the Investment Adviser:</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determines the composition of our portfolio, the nature and timing of the changes to our portfolio, and the manner of implementing such changes;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identifies, evaluates, and negotiates the structure of the investments we make (including performing due diligence on our prospective portfolio companies);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closes and monitors the investments we make; and</w:t>
      </w:r>
    </w:p>
    <w:p>
      <w:pPr>
        <w:pStyle w:val="TextBody"/>
        <w:bidi w:val="0"/>
        <w:spacing w:before="120" w:after="283"/>
        <w:jc w:val="both"/>
        <w:rPr>
          <w:rFonts w:ascii="Times New Roman" w:hAnsi="Times New Roman"/>
          <w:sz w:val="20"/>
        </w:rPr>
      </w:pPr>
      <w:r>
        <w:rPr>
          <w:rFonts w:ascii="Times New Roman" w:hAnsi="Times New Roman"/>
          <w:color w:val="000000"/>
          <w:sz w:val="16"/>
        </w:rPr>
        <w:t> provides us with other investment advisory, research, and related services as we may from time to time require.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Investment Adviser’s services under the Investment Advisory Agreement are not exclusive, and it is free to furnish similar services to other entities so long as its services to us are not impaired.</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Investment Advisory Agreement provides that, absent willful misfeasance, bad faith, or negligence in the performance of its duties or by reason of the reckless disregard of its duties and obligations, the Investment Adviser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Investment Adviser’s services under the Investment Advisory Agreement or otherwise as Investment Adviser for the Company.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Pursuant to the Investment Advisory Agreement, the Company has agreed to pay the Investment Adviser a fee for investment advisory and management services consisting of two components — a base management fee and an incentive fee.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base management fee is calculated at an annual rate of 1.75% of the gross assets, which are the total assets reflected on the consolidated statements of assets and liabilities and includes any borrowings for investment purposes. Although the Company does not anticipate making significant investments in derivative financial instruments, the fair value of any such investments, which will not necessarily equal their notional value, will be included in the calculation of gross assets. For services rendered under the Investment Advisory Agreement, the base management fee is payable quarterly in arrears. The base management fee is calculated based on the average value of the gross assets at the end of the two most recently completed calendar quarters, and appropriately adjusted for any share issuances or repurchases during the current calendar quarter.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incentive fee consists of the following two parts:</w:t>
      </w:r>
    </w:p>
    <w:p>
      <w:pPr>
        <w:pStyle w:val="TextBody"/>
        <w:bidi w:val="0"/>
        <w:spacing w:before="120" w:after="283"/>
        <w:jc w:val="both"/>
        <w:rPr>
          <w:rFonts w:ascii="Times New Roman" w:hAnsi="Times New Roman"/>
          <w:sz w:val="20"/>
        </w:rPr>
      </w:pPr>
      <w:r>
        <w:rPr>
          <w:rFonts w:ascii="Times New Roman" w:hAnsi="Times New Roman"/>
          <w:color w:val="000000"/>
          <w:sz w:val="16"/>
        </w:rPr>
        <w:t>The first part of the incentive fee is calculated and payable quarterly in arrears based on the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diligence, and consulting fees or other fees that we receive from portfolio companies) accrued during the calendar quarter, minus our operating expenses for the quarter (including the base management fee, expenses payable under the Administration Agreement to our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The Company pays the Investment Adviser an incentive fee with respect to the pre-incentive fee net investment income in each calendar quarter as follows: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no incentive fee in any calendar quarter in which the pre-incentive fee net investment income does not exceed the hurdle of 2.0%;</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100% of the pre-incentive fee net investment income with respect to that portion of such pre-incentive fee net investment income, if any, that exceeds the hurdle but is less than 2.5% in any calendar quarter (10.0% annualized). The Company refers to this portion of the pre-incentive fee net investment income (which exceeds the hurdle but is less than 2.5%) as the “catch-up.” The “catch-up” is meant to provide the Investment Adviser with 20% of the pre-incentive fee net investment income as if a hurdle did not apply if this net investment income exceeds 2.5% in any calendar quarter; and</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20% of the amount of the pre-incentive fee net investment income, if any, that exceeds 2.5% in any calendar quarter (10.0% annualized) is payable to the Investment Adviser (once the hurdle is reached and the catch-up is achieved, 20% of all pre-incentive fee investment income thereafter is allocated to the Investment Adviser).</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second part of the incentive fee is determined and payable in arrears as of the end of each calendar year, commencing on December 31, 2021, and equals 20.0% of the Company’s realized capital gains, if any, on a cumulative basis with respect to each of the investments in the Company’s portfolio from the fiscal quarter ending on or immediately prior to July 1, 2021 through the end of each calendar year beginning with the calendar year ending December 31, 2021, computed net of all realized capital losses and unrealized capital depreciation on a cumulative basis from September 30, 2021 through the end of each calendar year beginning with the calendar year ending December 31, 2021, less the aggregate amount of any previously paid capital gain fees under the Investment Advisory Agreement. Any realized capital gains, realized capital losses and unrealized capital depreciation with respect to the Company’s portfolio as of the end of the fiscal quarter ending on or immediately prior to July 1, 2021 are excluded from the calculations of the capital gains fee. In the event that the Investment Advisory Agreement terminates as of a date that is not a calendar year end, the termination date shall be treated as though it were a calendar year end for purposes of calculating and paying a capital gains fee.</w:t>
      </w:r>
    </w:p>
    <w:p>
      <w:pPr>
        <w:pStyle w:val="TextBody"/>
        <w:bidi w:val="0"/>
        <w:spacing w:before="120" w:after="283"/>
        <w:jc w:val="both"/>
        <w:rPr>
          <w:rFonts w:ascii="Times New Roman" w:hAnsi="Times New Roman"/>
          <w:sz w:val="20"/>
        </w:rPr>
      </w:pPr>
      <w:r>
        <w:rPr>
          <w:rFonts w:ascii="Times New Roman" w:hAnsi="Times New Roman"/>
          <w:color w:val="000000"/>
          <w:sz w:val="16"/>
        </w:rPr>
        <w:t>The Company will defer cash payment of the portion of any incentive fee otherwise earned by the Investment Adviser that would, when taken together with all other incentive fees paid to the Investment Adviser during the most recent 12 full calendar month period ending on or prior to the date such payment is to be made, exceed 20% of the sum of (a) the pre-incentive fee net investment income during such period, (b) the net unrealized appreciation or depreciation during such period and (c) the net realized capital gains or losses during such period. Any deferred incentive fees will be carried over for payment in subsequent calculation periods to the extent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June 30, 2024</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such payment is payable under the Investment Advisory Agreement. As of June 30, 2024 and December 31, 2023, the Company did not have incentive fees payable to the Investment Adviser related to fees earned in prior years but deferred under the incentive fee deferral mechanism.</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 part of the Transaction, the Investment Adviser entered into the Fee Waiver with the Company to waive, to the extent necessary, any capital gains fee under the Investment Advisory Agreement that exceeds what would have been paid to Capitala in the aggregate over such two-year period under the prior advisory agreement. The Fee Waiver expired at the end of the two-year period.</w:t>
      </w:r>
    </w:p>
    <w:p>
      <w:pPr>
        <w:pStyle w:val="TextBody"/>
        <w:bidi w:val="0"/>
        <w:spacing w:before="120" w:after="283"/>
        <w:jc w:val="both"/>
        <w:rPr>
          <w:rFonts w:ascii="Times New Roman" w:hAnsi="Times New Roman"/>
          <w:sz w:val="20"/>
        </w:rPr>
      </w:pPr>
      <w:r>
        <w:rPr>
          <w:rFonts w:ascii="Times New Roman" w:hAnsi="Times New Roman"/>
          <w:color w:val="000000"/>
          <w:sz w:val="16"/>
        </w:rPr>
        <w:t>For the three months ended June 30, 2024 and 2023, the Company incurred $0.9</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and $0.9</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in base management fees, respectively. The Company did not an earn incentive fee related to pre-incentive fee net investment income or capital gains for the three months ended June 30, 2024 and 2023.</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For the six months ended June 30, 2024 and 2023, the Company incurred $1.8</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and $1.9</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in base management fees, respectively. The Company did not an earn incentive fee related to pre-incentive fee net investment income or capital gains for the six months ended June 30, 2024 and 2023.</w:t>
      </w:r>
    </w:p>
    <w:p>
      <w:pPr>
        <w:pStyle w:val="TextBody"/>
        <w:bidi w:val="0"/>
        <w:spacing w:before="120" w:after="283"/>
        <w:jc w:val="both"/>
        <w:rPr>
          <w:rFonts w:ascii="Times New Roman" w:hAnsi="Times New Roman"/>
          <w:sz w:val="20"/>
        </w:rPr>
      </w:pPr>
      <w:r>
        <w:rPr>
          <w:rFonts w:ascii="Times New Roman" w:hAnsi="Times New Roman"/>
          <w:color w:val="000000"/>
          <w:sz w:val="16"/>
        </w:rPr>
        <w:t>As of June 30, 2024 and December 31, 2023, the Company had $0.9</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and $0.9</w:t>
      </w:r>
      <w:r>
        <w:rPr>
          <w:rFonts w:ascii="Times New Roman" w:hAnsi="Times New Roman"/>
          <w:color w:val="000000"/>
          <w:sz w:val="20"/>
        </w:rPr>
        <w:t xml:space="preserve"> </w:t>
      </w:r>
      <w:r>
        <w:rPr>
          <w:rFonts w:ascii="Times New Roman" w:hAnsi="Times New Roman"/>
          <w:color w:val="000000"/>
          <w:sz w:val="16"/>
        </w:rPr>
        <w:t>million, respectively, of management and incentive fees payable to the Investment Adviser. These amounts are reflected in the accompanying consolidated statements of assets and liabilities under the caption “Management and incentive fees payable.”</w:t>
      </w:r>
    </w:p>
    <w:p>
      <w:pPr>
        <w:pStyle w:val="TextBody"/>
        <w:bidi w:val="0"/>
        <w:spacing w:before="120" w:after="283"/>
        <w:jc w:val="both"/>
        <w:rPr>
          <w:rFonts w:ascii="Times New Roman" w:hAnsi="Times New Roman"/>
          <w:i/>
          <w:color w:val="000000"/>
          <w:sz w:val="16"/>
        </w:rPr>
      </w:pPr>
      <w:r>
        <w:rPr>
          <w:rFonts w:ascii="Times New Roman" w:hAnsi="Times New Roman"/>
          <w:i/>
          <w:color w:val="000000"/>
          <w:sz w:val="16"/>
        </w:rPr>
        <w:t>Administration Agreement</w:t>
      </w:r>
    </w:p>
    <w:p>
      <w:pPr>
        <w:pStyle w:val="TextBody"/>
        <w:bidi w:val="0"/>
        <w:spacing w:before="120" w:after="120"/>
        <w:jc w:val="both"/>
        <w:rPr>
          <w:rFonts w:ascii="Times New Roman" w:hAnsi="Times New Roman"/>
          <w:sz w:val="20"/>
        </w:rPr>
      </w:pPr>
      <w:r>
        <w:rPr>
          <w:rFonts w:ascii="Times New Roman" w:hAnsi="Times New Roman"/>
          <w:color w:val="000000"/>
          <w:sz w:val="16"/>
        </w:rPr>
        <w:t>On July 1, 2021, the Company entered into the Administration Agreement, pursuant to which the Administrator has agreed to furnish the Company with office facilities, equipment and clerical, bookkeeping, and record keeping services at such facilities. The Administrator also performs or oversees the performance of the required administrative services, which include, among other things, being responsible for the financial records that the Company is required to maintain and preparing reports to our stockholders. In addition, the Administrator assists in determining and publishing the net asset value, oversees the preparation and filing of the tax returns and the printing and dissemination of reports to the stockholders, and generally oversees the payment of the expenses and the performance of administrative and professional services rendered to the Company by others.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Payments under the Administration Agreement are equal to an amount based upon the allocable portion of the Administrator’s overhead in performing its obligations under the Administration Agreement, including rent, the fees and expenses associated with performing compliance functions, and the allocable portion of the compensation of the chief financial officer, the chief compliance officer, and their respective administrative support staff. Under the Administration Agreement, the Administrator will also provide, on the Company’s behalf, managerial assistance to those portfolio companies that request such assistance. Unless terminated earlier in accordance with its terms, the Administration Agreement was renewed on May 9, 2023 for a period of one year effective July 1, 2023 and will remain in effect until July 1, 2024. It will remain in effect from year-to-year thereafter if approved annually by the Board. To the extent that the Administrator outsources any of its functions, the Company will pay the fees associated with such functions on a direct basis without any incremental profit to our Administrator. Stockholder approval is not required to amend the Administration Agreement.</w:t>
      </w:r>
    </w:p>
    <w:p>
      <w:pPr>
        <w:pStyle w:val="TextBody"/>
        <w:bidi w:val="0"/>
        <w:spacing w:before="120" w:after="283"/>
        <w:jc w:val="both"/>
        <w:rPr>
          <w:rFonts w:ascii="Times New Roman" w:hAnsi="Times New Roman"/>
          <w:sz w:val="20"/>
        </w:rPr>
      </w:pPr>
      <w:r>
        <w:rPr>
          <w:rFonts w:ascii="Times New Roman" w:hAnsi="Times New Roman"/>
          <w:color w:val="000000"/>
          <w:sz w:val="16"/>
        </w:rPr>
        <w:t>For the three months ended June 30, 2024 and 2023, the Company accrued $0.3</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and $0.2</w:t>
      </w:r>
      <w:r>
        <w:rPr>
          <w:rFonts w:ascii="Times New Roman" w:hAnsi="Times New Roman"/>
          <w:color w:val="000000"/>
          <w:sz w:val="20"/>
        </w:rPr>
        <w:t xml:space="preserve"> </w:t>
      </w:r>
      <w:r>
        <w:rPr>
          <w:rFonts w:ascii="Times New Roman" w:hAnsi="Times New Roman"/>
          <w:color w:val="000000"/>
          <w:sz w:val="16"/>
        </w:rPr>
        <w:t>million, respectively, for the Company’s allocable portion of the Administrator’s overhead.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For the six months ended June 30, 2024 and 2023, the Company accrued $0.5</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and $0.5</w:t>
      </w:r>
      <w:r>
        <w:rPr>
          <w:rFonts w:ascii="Times New Roman" w:hAnsi="Times New Roman"/>
          <w:color w:val="000000"/>
          <w:sz w:val="20"/>
        </w:rPr>
        <w:t xml:space="preserve"> </w:t>
      </w:r>
      <w:r>
        <w:rPr>
          <w:rFonts w:ascii="Times New Roman" w:hAnsi="Times New Roman"/>
          <w:color w:val="000000"/>
          <w:sz w:val="16"/>
        </w:rPr>
        <w:t>million, respectively, for the Company’s allocable portion of the Administrator’s overhead.</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The Administration Agreement provides that, absent willful misfeasance, bad faith, or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Administrator’s services under the Administration Agreement or otherwise as Administrator for the Company.</w:t>
      </w:r>
    </w:p>
    <w:p>
      <w:pPr>
        <w:pStyle w:val="TextBody"/>
        <w:bidi w:val="0"/>
        <w:spacing w:before="120" w:after="283"/>
        <w:jc w:val="left"/>
        <w:rPr>
          <w:rFonts w:ascii="Times New Roman" w:hAnsi="Times New Roman"/>
          <w:i/>
          <w:color w:val="000000"/>
          <w:sz w:val="16"/>
        </w:rPr>
      </w:pPr>
      <w:r>
        <w:rPr>
          <w:rFonts w:ascii="Times New Roman" w:hAnsi="Times New Roman"/>
          <w:i/>
          <w:color w:val="000000"/>
          <w:sz w:val="16"/>
        </w:rPr>
        <w:t>Co-investment Exemptive Relief</w:t>
      </w:r>
    </w:p>
    <w:p>
      <w:pPr>
        <w:pStyle w:val="TextBody"/>
        <w:bidi w:val="0"/>
        <w:spacing w:before="120" w:after="120"/>
        <w:jc w:val="both"/>
        <w:rPr>
          <w:rFonts w:ascii="Times New Roman" w:hAnsi="Times New Roman"/>
          <w:sz w:val="20"/>
        </w:rPr>
      </w:pPr>
      <w:r>
        <w:rPr>
          <w:rFonts w:ascii="Times New Roman" w:hAnsi="Times New Roman"/>
          <w:color w:val="000000"/>
          <w:sz w:val="16"/>
        </w:rPr>
        <w:t>As a BDC, the Company is subject to certain regulatory restrictions in making its investments. For example, BDCs generally are not permitted to co-invest with certain affiliated entities in transactions originated by the BDC or its affiliates in the absence of an exemptive order from the SEC. However, BDCs are permitted to, and may, simultaneously co-invest in transactions where price is the only negotiated term. On April 10, 2023, superseding a prior exemptive order granted on October 23, 2018, the SEC issued an order granting an application for exemptive relief to us and certain of our affiliates that allows BDCs managed by the Investment Adviser, including Logan Ridge, to co-invest, subject to the satisfaction of certain conditions, in certain private placement transactions, with other funds managed by the Investment Adviser or its affiliates, certain proprietary accounts of the Investment Adviser or its affiliates and any future funds that are advised by the Investment Adviser or its affiliated investment advisers.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Under the terms of the exemptive order, in order for the Company to participate in a co-investment transaction a “required majority” (as defined in Section 57(0) of the 1940 Act) of the Company's independent directors must conclude that (i) the terms of the proposed transaction, including the consideration to be paid, are reasonable and fair to the Company and its stockholders and do not involve overreaching with respect of the Company or its stockholders on the part of any person concerned, and (ii) the proposed transaction is consistent with the interests of the Company's stockholders and is consistent with the Company's investment objectives and strategies and certain criteria established by the Board.</w:t>
      </w:r>
    </w:p>
    <w:p>
      <w:pPr>
        <w:pStyle w:val="TextBody"/>
        <w:bidi w:val="0"/>
        <w:spacing w:before="120" w:after="120"/>
        <w:jc w:val="both"/>
        <w:rPr>
          <w:rFonts w:ascii="Times New Roman" w:hAnsi="Times New Roman"/>
          <w:i/>
          <w:color w:val="000000"/>
          <w:sz w:val="16"/>
        </w:rPr>
      </w:pPr>
      <w:r>
        <w:rPr>
          <w:rFonts w:ascii="Times New Roman" w:hAnsi="Times New Roman"/>
          <w:i/>
          <w:color w:val="000000"/>
          <w:sz w:val="16"/>
        </w:rPr>
        <w:t>Trade with Affiliated Funds</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There were no transactions subject to Rule 17a-7 under the 1940 Act during the three and six months ended June 30, 2024. There were no transactions subject to Rule 17a-7 under the 1940 Act during the three and six months ended June 30,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June 30, 2024</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spacing w:before="120" w:after="120"/>
        <w:jc w:val="both"/>
        <w:rPr>
          <w:rFonts w:ascii="Times New Roman" w:hAnsi="Times New Roman"/>
          <w:i/>
          <w:color w:val="000000"/>
          <w:sz w:val="16"/>
        </w:rPr>
      </w:pPr>
      <w:r>
        <w:rPr>
          <w:rFonts w:ascii="Times New Roman" w:hAnsi="Times New Roman"/>
          <w:i/>
          <w:color w:val="000000"/>
          <w:sz w:val="16"/>
        </w:rPr>
        <w:t>Potential Conflicts of Interest</w:t>
      </w:r>
    </w:p>
    <w:p>
      <w:pPr>
        <w:pStyle w:val="TextBody"/>
        <w:bidi w:val="0"/>
        <w:spacing w:before="120" w:after="120"/>
        <w:jc w:val="both"/>
        <w:rPr>
          <w:rFonts w:ascii="Times New Roman" w:hAnsi="Times New Roman"/>
          <w:sz w:val="20"/>
        </w:rPr>
      </w:pPr>
      <w:r>
        <w:rPr>
          <w:rFonts w:ascii="Times New Roman" w:hAnsi="Times New Roman"/>
          <w:color w:val="000000"/>
          <w:sz w:val="16"/>
        </w:rPr>
        <w:t>The members of the senior management and investment teams of the Investment Adviser serve or may serve as officers, directors or principals of entities that operate in the same or a related line of business as the Company does, or of investment vehicles managed by the same personnel. In serving in these multiple and other capacities, they may have obligations to other clients or investors in those entities, the fulfillment of which may or may not be in the Company's best interests or in the best interest of the Company's stockholders. The Company's investment objectives may overlap with the investment objectives of such investment funds, accounts or other investment vehicles.</w:t>
      </w:r>
      <w:r>
        <w:rPr>
          <w:rFonts w:ascii="Times New Roman" w:hAnsi="Times New Roman"/>
          <w:color w:val="000000"/>
          <w:sz w:val="20"/>
        </w:rPr>
        <w:t xml:space="preserve"> </w:t>
      </w:r>
    </w:p>
    <w:p>
      <w:pPr>
        <w:pStyle w:val="TextBody"/>
        <w:bidi w:val="0"/>
        <w:spacing w:before="120" w:after="120"/>
        <w:jc w:val="left"/>
        <w:rPr>
          <w:rFonts w:ascii="Times New Roman" w:hAnsi="Times New Roman"/>
          <w:b/>
          <w:color w:val="000000"/>
          <w:sz w:val="16"/>
        </w:rPr>
      </w:pPr>
      <w:r>
        <w:rPr>
          <w:rFonts w:ascii="Times New Roman" w:hAnsi="Times New Roman"/>
          <w:b/>
          <w:color w:val="000000"/>
          <w:sz w:val="16"/>
        </w:rPr>
        <w:t>Note 6. Borrowings</w:t>
      </w:r>
    </w:p>
    <w:p>
      <w:pPr>
        <w:pStyle w:val="TextBody"/>
        <w:bidi w:val="0"/>
        <w:spacing w:before="240" w:after="120"/>
        <w:jc w:val="both"/>
        <w:rPr>
          <w:rFonts w:ascii="Times New Roman" w:hAnsi="Times New Roman"/>
          <w:sz w:val="20"/>
        </w:rPr>
      </w:pPr>
      <w:r>
        <w:rPr>
          <w:rFonts w:ascii="Times New Roman" w:hAnsi="Times New Roman"/>
          <w:b/>
          <w:i/>
          <w:color w:val="000000"/>
          <w:sz w:val="16"/>
        </w:rPr>
        <w:t>2026 Notes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16"/>
        </w:rPr>
        <w:t>On October 29, 2021, the Company issued $50.0</w:t>
      </w:r>
      <w:r>
        <w:rPr>
          <w:rFonts w:ascii="Times New Roman" w:hAnsi="Times New Roman"/>
          <w:color w:val="000000"/>
          <w:sz w:val="20"/>
        </w:rPr>
        <w:t xml:space="preserve"> </w:t>
      </w:r>
      <w:r>
        <w:rPr>
          <w:rFonts w:ascii="Times New Roman" w:hAnsi="Times New Roman"/>
          <w:color w:val="000000"/>
          <w:sz w:val="16"/>
        </w:rPr>
        <w:t>million in aggregate principal amount of 5.25% fixed-rate notes due October 30, 2026</w:t>
      </w:r>
      <w:r>
        <w:rPr>
          <w:rFonts w:ascii="Times New Roman" w:hAnsi="Times New Roman"/>
          <w:color w:val="000000"/>
          <w:sz w:val="20"/>
        </w:rPr>
        <w:t xml:space="preserve"> </w:t>
      </w:r>
      <w:r>
        <w:rPr>
          <w:rFonts w:ascii="Times New Roman" w:hAnsi="Times New Roman"/>
          <w:color w:val="000000"/>
          <w:sz w:val="16"/>
        </w:rPr>
        <w:t>(the “2026 Notes”) pursuant to a supplemental indenture with U.S. Bank National Association (the “Trustee”), which supplements that certain base indenture, dated as of June 16, 2014. The 2026 Notes were issued in a private placement exempt from registration under the Section 4(a)(2) of the Securities Act of 1933, as amended (the “Securities Act”). The net proceeds to the Company were approximately $48.8</w:t>
      </w:r>
      <w:r>
        <w:rPr>
          <w:rFonts w:ascii="Times New Roman" w:hAnsi="Times New Roman"/>
          <w:color w:val="000000"/>
          <w:sz w:val="20"/>
        </w:rPr>
        <w:t xml:space="preserve"> </w:t>
      </w:r>
      <w:r>
        <w:rPr>
          <w:rFonts w:ascii="Times New Roman" w:hAnsi="Times New Roman"/>
          <w:color w:val="000000"/>
          <w:sz w:val="16"/>
        </w:rPr>
        <w:t>million, after deducting estimated offering expenses. The Notes will mature on October 30, 2026 and may be redeemed in whole or in part at the Company's option at any time or from time to time at the redemption prices set forth in the Indenture. The Notes bear interest at a rate of 5.25% per year payable semi-annually on April 30 and October 30 of each year, commencing on April 30, 2022,</w:t>
      </w:r>
      <w:r>
        <w:rPr>
          <w:rFonts w:ascii="Times New Roman" w:hAnsi="Times New Roman"/>
          <w:color w:val="000000"/>
          <w:sz w:val="20"/>
        </w:rPr>
        <w:t xml:space="preserve"> </w:t>
      </w:r>
      <w:r>
        <w:rPr>
          <w:rFonts w:ascii="Times New Roman" w:hAnsi="Times New Roman"/>
          <w:color w:val="000000"/>
          <w:sz w:val="16"/>
        </w:rPr>
        <w:t>subject to a step up of 0.75% per annum to the extent the Notes are downgraded below Investment Grade by a National Recognized Statistical Rating Organization (“NSRSO”) or the Notes no longer maintain a rating from an NSRSO. On March 28, 2024, the Company obtained a BB+ rating from a NRSRO with respect to the Notes, leading to the Notes bearing interest at a rate of 6.00% per year. The Notes are general unsecured obligations of the Company that rank senior in right of payment to all of the Company's existing and future indebtedness that is expressly subordinated in right of payment to the Notes, rank pari passu with all existing and future unsecured unsubordinated indebtedness issued by the Company, rank effectively junior to any of the Company's secured indebtedness (including unsecured indebtedness that the Company later secures) to the extent of the value of the assets securing such indebtedness, and rank structurally junior to all existing and future indebtedness (including trade payables) incurred by the Company's subsidiaries, financing vehicles or similar facilities.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July 2022, pursuant to the requirements of a registration rights agreements entered into in connection with the offering described above, the Company completed an exchange offer pursuant to which all of the outstanding 2026 Notes were exchanged for notes with substantially identical terms, but that are registered under the Securities Act (which notes are also referred to herein as the “2026 Notes”).</w:t>
      </w:r>
    </w:p>
    <w:p>
      <w:pPr>
        <w:pStyle w:val="TextBody"/>
        <w:bidi w:val="0"/>
        <w:spacing w:before="120" w:after="283"/>
        <w:jc w:val="both"/>
        <w:rPr>
          <w:rFonts w:ascii="Times New Roman" w:hAnsi="Times New Roman"/>
          <w:sz w:val="20"/>
        </w:rPr>
      </w:pPr>
      <w:r>
        <w:rPr>
          <w:rFonts w:ascii="Times New Roman" w:hAnsi="Times New Roman"/>
          <w:color w:val="000000"/>
          <w:sz w:val="16"/>
        </w:rPr>
        <w:t>As of June 30, 2024 and December 31, 2023, the Company had $50.0</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and $50.0</w:t>
      </w:r>
      <w:r>
        <w:rPr>
          <w:rFonts w:ascii="Times New Roman" w:hAnsi="Times New Roman"/>
          <w:color w:val="000000"/>
          <w:sz w:val="20"/>
        </w:rPr>
        <w:t xml:space="preserve"> </w:t>
      </w:r>
      <w:r>
        <w:rPr>
          <w:rFonts w:ascii="Times New Roman" w:hAnsi="Times New Roman"/>
          <w:color w:val="000000"/>
          <w:sz w:val="16"/>
        </w:rPr>
        <w:t>million, respectively in 2026 Notes outstanding.</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The following table summarizes the interest expense, deferred financing costs, average outstanding balance, and average stated interest rate on the 2026 Notes for the three and six months ended June 30, 2024 and 2023 (dollars in thousands):</w:t>
      </w:r>
    </w:p>
    <w:tbl>
      <w:tblPr>
        <w:tblW w:w="9005" w:type="dxa"/>
        <w:jc w:val="left"/>
        <w:tblInd w:w="0" w:type="dxa"/>
        <w:tblLayout w:type="fixed"/>
        <w:tblCellMar>
          <w:top w:w="28" w:type="dxa"/>
          <w:left w:w="28" w:type="dxa"/>
          <w:bottom w:w="28" w:type="dxa"/>
          <w:right w:w="28" w:type="dxa"/>
        </w:tblCellMar>
      </w:tblPr>
      <w:tblGrid>
        <w:gridCol w:w="2686"/>
        <w:gridCol w:w="146"/>
        <w:gridCol w:w="282"/>
        <w:gridCol w:w="864"/>
        <w:gridCol w:w="346"/>
        <w:gridCol w:w="210"/>
        <w:gridCol w:w="282"/>
        <w:gridCol w:w="864"/>
        <w:gridCol w:w="241"/>
        <w:gridCol w:w="146"/>
        <w:gridCol w:w="262"/>
        <w:gridCol w:w="805"/>
        <w:gridCol w:w="323"/>
        <w:gridCol w:w="195"/>
        <w:gridCol w:w="262"/>
        <w:gridCol w:w="805"/>
        <w:gridCol w:w="286"/>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shd w:fill="FFFFFF" w:val="clear"/>
            <w:vAlign w:val="center"/>
          </w:tcPr>
          <w:p>
            <w:pPr>
              <w:pStyle w:val="TableContents"/>
              <w:bidi w:val="0"/>
              <w:spacing w:before="0" w:after="283"/>
              <w:jc w:val="left"/>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w:t>
            </w:r>
          </w:p>
        </w:tc>
        <w:tc>
          <w:tcPr>
            <w:tcW w:w="3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right"/>
              <w:rPr/>
            </w:pPr>
            <w:r>
              <w:rPr/>
              <w:t> </w:t>
            </w:r>
          </w:p>
        </w:tc>
        <w:tc>
          <w:tcPr>
            <w:tcW w:w="28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713</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1,506</w:t>
            </w:r>
          </w:p>
        </w:tc>
        <w:tc>
          <w:tcPr>
            <w:tcW w:w="323"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right"/>
              <w:rPr/>
            </w:pPr>
            <w:r>
              <w:rPr/>
              <w:t> </w:t>
            </w:r>
          </w:p>
        </w:tc>
        <w:tc>
          <w:tcPr>
            <w:tcW w:w="26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1,419</w:t>
            </w:r>
          </w:p>
        </w:tc>
        <w:tc>
          <w:tcPr>
            <w:tcW w:w="286"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financing costs</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righ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interest and financing expenses</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841</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righ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752</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1,588</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righ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1,496</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Average outstanding balance</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3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right"/>
              <w:rPr/>
            </w:pPr>
            <w:r>
              <w:rPr/>
              <w:t> </w:t>
            </w:r>
          </w:p>
        </w:tc>
        <w:tc>
          <w:tcPr>
            <w:tcW w:w="28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32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286" w:type="dxa"/>
            <w:tcBorders/>
            <w:shd w:fill="FFFFFF" w:val="cle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Average stated interest rate</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86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w:t>
            </w:r>
          </w:p>
        </w:tc>
        <w:tc>
          <w:tcPr>
            <w:tcW w:w="3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0" w:type="dxa"/>
            <w:tcBorders/>
            <w:shd w:fill="CFF0FC" w:val="clear"/>
            <w:vAlign w:val="center"/>
          </w:tcPr>
          <w:p>
            <w:pPr>
              <w:pStyle w:val="TableContents"/>
              <w:bidi w:val="0"/>
              <w:spacing w:before="0" w:after="283"/>
              <w:jc w:val="right"/>
              <w:rPr/>
            </w:pPr>
            <w:r>
              <w:rPr/>
              <w:t> </w:t>
            </w:r>
          </w:p>
        </w:tc>
        <w:tc>
          <w:tcPr>
            <w:tcW w:w="282" w:type="dxa"/>
            <w:tcBorders/>
            <w:shd w:fill="CFF0FC" w:val="clear"/>
            <w:vAlign w:val="center"/>
          </w:tcPr>
          <w:p>
            <w:pPr>
              <w:pStyle w:val="TableContents"/>
              <w:bidi w:val="0"/>
              <w:spacing w:before="0" w:after="283"/>
              <w:jc w:val="left"/>
              <w:rPr/>
            </w:pPr>
            <w:r>
              <w:rPr/>
              <w:t> </w:t>
            </w:r>
          </w:p>
        </w:tc>
        <w:tc>
          <w:tcPr>
            <w:tcW w:w="86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62"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w:t>
            </w:r>
          </w:p>
        </w:tc>
        <w:tc>
          <w:tcPr>
            <w:tcW w:w="32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5" w:type="dxa"/>
            <w:tcBorders/>
            <w:shd w:fill="CFF0FC" w:val="clear"/>
            <w:vAlign w:val="center"/>
          </w:tcPr>
          <w:p>
            <w:pPr>
              <w:pStyle w:val="TableContents"/>
              <w:bidi w:val="0"/>
              <w:spacing w:before="0" w:after="283"/>
              <w:jc w:val="right"/>
              <w:rPr/>
            </w:pPr>
            <w:r>
              <w:rPr/>
              <w:t> </w:t>
            </w:r>
          </w:p>
        </w:tc>
        <w:tc>
          <w:tcPr>
            <w:tcW w:w="262"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120"/>
        <w:jc w:val="both"/>
        <w:rPr>
          <w:rFonts w:ascii="Times New Roman" w:hAnsi="Times New Roman"/>
          <w:sz w:val="20"/>
        </w:rPr>
      </w:pPr>
      <w:r>
        <w:rPr>
          <w:rFonts w:ascii="Times New Roman" w:hAnsi="Times New Roman"/>
          <w:b/>
          <w:i/>
          <w:color w:val="000000"/>
          <w:sz w:val="16"/>
        </w:rPr>
        <w:t>2032 Convertible Notes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16"/>
        </w:rPr>
        <w:t>On April 1, 2022, the Company issued $15.0</w:t>
      </w:r>
      <w:r>
        <w:rPr>
          <w:rFonts w:ascii="Times New Roman" w:hAnsi="Times New Roman"/>
          <w:color w:val="000000"/>
          <w:sz w:val="20"/>
        </w:rPr>
        <w:t xml:space="preserve"> </w:t>
      </w:r>
      <w:r>
        <w:rPr>
          <w:rFonts w:ascii="Times New Roman" w:hAnsi="Times New Roman"/>
          <w:color w:val="000000"/>
          <w:sz w:val="16"/>
        </w:rPr>
        <w:t>million in aggregate principal amount of 5.25% fixed-rate convertible notes due April 1, 2032</w:t>
      </w:r>
      <w:r>
        <w:rPr>
          <w:rFonts w:ascii="Times New Roman" w:hAnsi="Times New Roman"/>
          <w:color w:val="000000"/>
          <w:sz w:val="20"/>
        </w:rPr>
        <w:t xml:space="preserve"> </w:t>
      </w:r>
      <w:r>
        <w:rPr>
          <w:rFonts w:ascii="Times New Roman" w:hAnsi="Times New Roman"/>
          <w:color w:val="000000"/>
          <w:sz w:val="16"/>
        </w:rPr>
        <w:t>(the “2032 Convertible Notes”).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2032 Convertible Notes are convertible, at the holder’s option and at any time on or prior to the close of business on the business day immediately preceding the maturity date, into such number of shares of the Company’s common stock as is equal to the principal balance of the notes being converted on such date divided by the “Conversion Price,” as described below. The Company will not issue more than 539,503 shares of common stock in the aggregate under the purchase agreement governing the 2032 Convertible Notes (the “Purchase Agreement”); however, such number of shares may be adjusted from time to time to give effect to any forward or reverse stock splits with respect to the common stock as well as any further adjustments described in the purchase agreement. The “Conversion Price” will be equal to the average “Closing Sale Price” for the five “Trading Days” immediately prior to the relevant “Conversion Date,” as those terms are defined in the Purchase Agreement, subject to certain anti-dilutive provisions, as further described in the Purchase Agreement. No holder of a 2032 Convertible Note will be entitled to convert any such note or portion thereof if such conversion would result in more than $7,500,000 in principal amount of 2032 Convertible Notes being converted in any such calendar quarter. The Company has determined that the embedded conversion option in the 2032 Convertible Notes is not required to be separately accounted for as a derivative under U.S. GAAP.</w:t>
      </w:r>
    </w:p>
    <w:p>
      <w:pPr>
        <w:pStyle w:val="TextBody"/>
        <w:bidi w:val="0"/>
        <w:spacing w:before="120" w:after="283"/>
        <w:jc w:val="both"/>
        <w:rPr>
          <w:rFonts w:ascii="Times New Roman" w:hAnsi="Times New Roman"/>
          <w:sz w:val="20"/>
        </w:rPr>
      </w:pPr>
      <w:r>
        <w:rPr>
          <w:rFonts w:ascii="Times New Roman" w:hAnsi="Times New Roman"/>
          <w:color w:val="000000"/>
          <w:sz w:val="16"/>
        </w:rPr>
        <w:t>On March 28, 2024, the Company obtained a BB+ rating from a Nationally Recognized Statistical Rating Organization (“NRSRO”) with respect to the 2032 Convertible Notes. The 2032 Convertible Notes have a fixed interest rate of 5.25% per annum payable semi-annually on March 31 and September 30 of each year, commencing on September 30, 2022, subject to a step up of 0.75% per annum to the extent that the 2032 Convertible Notes are downgraded below Investment Grade by an NRSRO or the 2032 Convertible Notes no longer maintain a rating from an NRSRO. Starting on March 28, 2024, as a result of the rating downgrade, the 2032 Convertible Notes have a fixed interest rate of 6.00% per annum. The Company will also be required to pay an additional interest rate of 2.0% per annum (x) on any overdue payment of interest and (y) during the continuance of an “Event of Default.</w:t>
      </w:r>
      <w:r>
        <w:rPr>
          <w:rFonts w:ascii="Times New Roman" w:hAnsi="Times New Roman"/>
          <w:color w:val="000000"/>
          <w:sz w:val="20"/>
        </w:rPr>
        <w:t xml:space="preserve">” </w:t>
      </w:r>
      <w:r>
        <w:rPr>
          <w:rFonts w:ascii="Times New Roman" w:hAnsi="Times New Roman"/>
          <w:color w:val="000000"/>
          <w:sz w:val="16"/>
        </w:rPr>
        <w:t>The Company intends to use the net proceeds from the offering of the 2032 Convertible Notes for general corporate purposes, which may include repaying outstanding indebtedness, making opportunistic investments and paying corporate expenses. In addition, on the occurrence of a “Change in Control Repurchase Event” or “Delisting Event,” as defined in the Purchase Agreement, the Company will generally be required to make an offer to purchase the outstanding 2032 Convertible Notes at a price equal to 100% of the principal amount of such 2032 Convertible Notes plus accrued and unpaid interest to the repurchase date. The 2032 Convertible Notes are redeemable prior to maturity. No “sinking fund” is provided for the 2032 Convertible Notes.</w:t>
      </w:r>
    </w:p>
    <w:p>
      <w:pPr>
        <w:pStyle w:val="TextBody"/>
        <w:bidi w:val="0"/>
        <w:spacing w:before="120" w:after="283"/>
        <w:jc w:val="both"/>
        <w:rPr>
          <w:rFonts w:ascii="Times New Roman" w:hAnsi="Times New Roman"/>
          <w:sz w:val="20"/>
        </w:rPr>
      </w:pPr>
      <w:r>
        <w:rPr>
          <w:rFonts w:ascii="Times New Roman" w:hAnsi="Times New Roman"/>
          <w:color w:val="000000"/>
          <w:sz w:val="16"/>
        </w:rPr>
        <w:t>During the three months ended June 30, 2024, the Company repaid $2.0</w:t>
      </w:r>
      <w:r>
        <w:rPr>
          <w:rFonts w:ascii="Times New Roman" w:hAnsi="Times New Roman"/>
          <w:color w:val="000000"/>
          <w:sz w:val="20"/>
        </w:rPr>
        <w:t xml:space="preserve"> </w:t>
      </w:r>
      <w:r>
        <w:rPr>
          <w:rFonts w:ascii="Times New Roman" w:hAnsi="Times New Roman"/>
          <w:color w:val="000000"/>
          <w:sz w:val="16"/>
        </w:rPr>
        <w:t>million of outstanding principal amount of the 2032 Convertible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June 30, 2024</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16"/>
        </w:rPr>
        <w:t>During the six months ended June 30, 2024, the Company repaid $2.0</w:t>
      </w:r>
      <w:r>
        <w:rPr>
          <w:rFonts w:ascii="Times New Roman" w:hAnsi="Times New Roman"/>
          <w:color w:val="000000"/>
          <w:sz w:val="20"/>
        </w:rPr>
        <w:t xml:space="preserve"> </w:t>
      </w:r>
      <w:r>
        <w:rPr>
          <w:rFonts w:ascii="Times New Roman" w:hAnsi="Times New Roman"/>
          <w:color w:val="000000"/>
          <w:sz w:val="16"/>
        </w:rPr>
        <w:t>million of outstanding principal amount of the 2032 Convertible Notes, and additionally, the Company converted $1.0</w:t>
      </w:r>
      <w:r>
        <w:rPr>
          <w:rFonts w:ascii="Times New Roman" w:hAnsi="Times New Roman"/>
          <w:color w:val="000000"/>
          <w:sz w:val="20"/>
        </w:rPr>
        <w:t xml:space="preserve"> </w:t>
      </w:r>
      <w:r>
        <w:rPr>
          <w:rFonts w:ascii="Times New Roman" w:hAnsi="Times New Roman"/>
          <w:color w:val="000000"/>
          <w:sz w:val="16"/>
        </w:rPr>
        <w:t>million in outstanding principal amount of the 2032 Convertible Notes. Of the $1.0</w:t>
      </w:r>
      <w:r>
        <w:rPr>
          <w:rFonts w:ascii="Times New Roman" w:hAnsi="Times New Roman"/>
          <w:color w:val="000000"/>
          <w:sz w:val="20"/>
        </w:rPr>
        <w:t xml:space="preserve"> </w:t>
      </w:r>
      <w:r>
        <w:rPr>
          <w:rFonts w:ascii="Times New Roman" w:hAnsi="Times New Roman"/>
          <w:color w:val="000000"/>
          <w:sz w:val="16"/>
        </w:rPr>
        <w:t>million that was converted, $0.5</w:t>
      </w:r>
      <w:r>
        <w:rPr>
          <w:rFonts w:ascii="Times New Roman" w:hAnsi="Times New Roman"/>
          <w:color w:val="000000"/>
          <w:sz w:val="20"/>
        </w:rPr>
        <w:t xml:space="preserve"> </w:t>
      </w:r>
      <w:r>
        <w:rPr>
          <w:rFonts w:ascii="Times New Roman" w:hAnsi="Times New Roman"/>
          <w:color w:val="000000"/>
          <w:sz w:val="16"/>
        </w:rPr>
        <w:t>million was paid in cash and $0.5</w:t>
      </w:r>
      <w:r>
        <w:rPr>
          <w:rFonts w:ascii="Times New Roman" w:hAnsi="Times New Roman"/>
          <w:color w:val="000000"/>
          <w:sz w:val="20"/>
        </w:rPr>
        <w:t xml:space="preserve"> </w:t>
      </w:r>
      <w:r>
        <w:rPr>
          <w:rFonts w:ascii="Times New Roman" w:hAnsi="Times New Roman"/>
          <w:color w:val="000000"/>
          <w:sz w:val="16"/>
        </w:rPr>
        <w:t>million was converted into 22,105</w:t>
      </w:r>
      <w:r>
        <w:rPr>
          <w:rFonts w:ascii="Times New Roman" w:hAnsi="Times New Roman"/>
          <w:color w:val="000000"/>
          <w:sz w:val="20"/>
        </w:rPr>
        <w:t xml:space="preserve"> </w:t>
      </w:r>
      <w:r>
        <w:rPr>
          <w:rFonts w:ascii="Times New Roman" w:hAnsi="Times New Roman"/>
          <w:color w:val="000000"/>
          <w:sz w:val="16"/>
        </w:rPr>
        <w:t>shares of the Company’s common stock at a rate of $22.61</w:t>
      </w:r>
      <w:r>
        <w:rPr>
          <w:rFonts w:ascii="Times New Roman" w:hAnsi="Times New Roman"/>
          <w:color w:val="000000"/>
          <w:sz w:val="20"/>
        </w:rPr>
        <w:t xml:space="preserve"> </w:t>
      </w:r>
      <w:r>
        <w:rPr>
          <w:rFonts w:ascii="Times New Roman" w:hAnsi="Times New Roman"/>
          <w:color w:val="000000"/>
          <w:sz w:val="16"/>
        </w:rPr>
        <w:t>per principal amount, in accordance with a Notice of Exercise of Conversion.</w:t>
      </w:r>
    </w:p>
    <w:p>
      <w:pPr>
        <w:pStyle w:val="TextBody"/>
        <w:bidi w:val="0"/>
        <w:spacing w:before="120" w:after="283"/>
        <w:jc w:val="both"/>
        <w:rPr>
          <w:rFonts w:ascii="Times New Roman" w:hAnsi="Times New Roman"/>
          <w:sz w:val="20"/>
        </w:rPr>
      </w:pPr>
      <w:r>
        <w:rPr>
          <w:rFonts w:ascii="Times New Roman" w:hAnsi="Times New Roman"/>
          <w:color w:val="000000"/>
          <w:sz w:val="16"/>
        </w:rPr>
        <w:t>As of June 30, 2024 and December 31, 2023, the Company had $12.0</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and $15.0</w:t>
      </w:r>
      <w:r>
        <w:rPr>
          <w:rFonts w:ascii="Times New Roman" w:hAnsi="Times New Roman"/>
          <w:color w:val="000000"/>
          <w:sz w:val="20"/>
        </w:rPr>
        <w:t xml:space="preserve"> </w:t>
      </w:r>
      <w:r>
        <w:rPr>
          <w:rFonts w:ascii="Times New Roman" w:hAnsi="Times New Roman"/>
          <w:color w:val="000000"/>
          <w:sz w:val="16"/>
        </w:rPr>
        <w:t>million, respectively, in 2032 Convertible Notes outstanding.</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The following table summarizes the interest expense, deferred financing costs, average outstanding balance, and average stated interest rate on the 2032 Convertible Notes for the three and six months ended June 30, 2024 and 2023 (dollars in thousands):</w:t>
      </w:r>
    </w:p>
    <w:tbl>
      <w:tblPr>
        <w:tblW w:w="9005" w:type="dxa"/>
        <w:jc w:val="left"/>
        <w:tblInd w:w="0" w:type="dxa"/>
        <w:tblLayout w:type="fixed"/>
        <w:tblCellMar>
          <w:top w:w="28" w:type="dxa"/>
          <w:left w:w="28" w:type="dxa"/>
          <w:bottom w:w="28" w:type="dxa"/>
          <w:right w:w="28" w:type="dxa"/>
        </w:tblCellMar>
      </w:tblPr>
      <w:tblGrid>
        <w:gridCol w:w="2686"/>
        <w:gridCol w:w="146"/>
        <w:gridCol w:w="282"/>
        <w:gridCol w:w="864"/>
        <w:gridCol w:w="346"/>
        <w:gridCol w:w="210"/>
        <w:gridCol w:w="282"/>
        <w:gridCol w:w="864"/>
        <w:gridCol w:w="241"/>
        <w:gridCol w:w="146"/>
        <w:gridCol w:w="262"/>
        <w:gridCol w:w="805"/>
        <w:gridCol w:w="323"/>
        <w:gridCol w:w="195"/>
        <w:gridCol w:w="262"/>
        <w:gridCol w:w="805"/>
        <w:gridCol w:w="286"/>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shd w:fill="FFFFFF" w:val="clear"/>
            <w:vAlign w:val="center"/>
          </w:tcPr>
          <w:p>
            <w:pPr>
              <w:pStyle w:val="TableContents"/>
              <w:bidi w:val="0"/>
              <w:spacing w:before="0" w:after="283"/>
              <w:jc w:val="left"/>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w:t>
            </w:r>
          </w:p>
        </w:tc>
        <w:tc>
          <w:tcPr>
            <w:tcW w:w="3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right"/>
              <w:rPr/>
            </w:pPr>
            <w:r>
              <w:rPr/>
              <w:t> </w:t>
            </w:r>
          </w:p>
        </w:tc>
        <w:tc>
          <w:tcPr>
            <w:tcW w:w="28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w:t>
            </w:r>
          </w:p>
        </w:tc>
        <w:tc>
          <w:tcPr>
            <w:tcW w:w="323"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right"/>
              <w:rPr/>
            </w:pPr>
            <w:r>
              <w:rPr/>
              <w:t> </w:t>
            </w:r>
          </w:p>
        </w:tc>
        <w:tc>
          <w:tcPr>
            <w:tcW w:w="26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w:t>
            </w:r>
          </w:p>
        </w:tc>
        <w:tc>
          <w:tcPr>
            <w:tcW w:w="286"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financing costs</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righ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interest and financing expenses</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righ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righ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Average outstanding balance</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12,022</w:t>
            </w:r>
          </w:p>
        </w:tc>
        <w:tc>
          <w:tcPr>
            <w:tcW w:w="3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right"/>
              <w:rPr/>
            </w:pPr>
            <w:r>
              <w:rPr/>
              <w:t> </w:t>
            </w:r>
          </w:p>
        </w:tc>
        <w:tc>
          <w:tcPr>
            <w:tcW w:w="28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13,142</w:t>
            </w:r>
          </w:p>
        </w:tc>
        <w:tc>
          <w:tcPr>
            <w:tcW w:w="32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w:t>
            </w:r>
          </w:p>
        </w:tc>
        <w:tc>
          <w:tcPr>
            <w:tcW w:w="286" w:type="dxa"/>
            <w:tcBorders/>
            <w:shd w:fill="FFFFFF" w:val="cle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Average stated interest rate</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86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w:t>
            </w:r>
          </w:p>
        </w:tc>
        <w:tc>
          <w:tcPr>
            <w:tcW w:w="3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0" w:type="dxa"/>
            <w:tcBorders/>
            <w:shd w:fill="CFF0FC" w:val="clear"/>
            <w:vAlign w:val="center"/>
          </w:tcPr>
          <w:p>
            <w:pPr>
              <w:pStyle w:val="TableContents"/>
              <w:bidi w:val="0"/>
              <w:spacing w:before="0" w:after="283"/>
              <w:jc w:val="right"/>
              <w:rPr/>
            </w:pPr>
            <w:r>
              <w:rPr/>
              <w:t> </w:t>
            </w:r>
          </w:p>
        </w:tc>
        <w:tc>
          <w:tcPr>
            <w:tcW w:w="282" w:type="dxa"/>
            <w:tcBorders/>
            <w:shd w:fill="CFF0FC" w:val="clear"/>
            <w:vAlign w:val="center"/>
          </w:tcPr>
          <w:p>
            <w:pPr>
              <w:pStyle w:val="TableContents"/>
              <w:bidi w:val="0"/>
              <w:spacing w:before="0" w:after="283"/>
              <w:jc w:val="left"/>
              <w:rPr/>
            </w:pPr>
            <w:r>
              <w:rPr/>
              <w:t> </w:t>
            </w:r>
          </w:p>
        </w:tc>
        <w:tc>
          <w:tcPr>
            <w:tcW w:w="86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62"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w:t>
            </w:r>
          </w:p>
        </w:tc>
        <w:tc>
          <w:tcPr>
            <w:tcW w:w="32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5" w:type="dxa"/>
            <w:tcBorders/>
            <w:shd w:fill="CFF0FC" w:val="clear"/>
            <w:vAlign w:val="center"/>
          </w:tcPr>
          <w:p>
            <w:pPr>
              <w:pStyle w:val="TableContents"/>
              <w:bidi w:val="0"/>
              <w:spacing w:before="0" w:after="283"/>
              <w:jc w:val="right"/>
              <w:rPr/>
            </w:pPr>
            <w:r>
              <w:rPr/>
              <w:t> </w:t>
            </w:r>
          </w:p>
        </w:tc>
        <w:tc>
          <w:tcPr>
            <w:tcW w:w="262"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120"/>
        <w:jc w:val="left"/>
        <w:rPr>
          <w:rFonts w:ascii="Times New Roman" w:hAnsi="Times New Roman"/>
          <w:b/>
          <w:i/>
          <w:color w:val="000000"/>
          <w:sz w:val="16"/>
        </w:rPr>
      </w:pPr>
      <w:r>
        <w:rPr>
          <w:rFonts w:ascii="Times New Roman" w:hAnsi="Times New Roman"/>
          <w:b/>
          <w:i/>
          <w:color w:val="000000"/>
          <w:sz w:val="16"/>
        </w:rPr>
        <w:t>KeyBank Credit Facility</w:t>
      </w:r>
    </w:p>
    <w:p>
      <w:pPr>
        <w:pStyle w:val="TextBody"/>
        <w:bidi w:val="0"/>
        <w:jc w:val="both"/>
        <w:rPr>
          <w:rFonts w:ascii="Times New Roman" w:hAnsi="Times New Roman"/>
          <w:sz w:val="20"/>
        </w:rPr>
      </w:pPr>
      <w:r>
        <w:rPr>
          <w:rFonts w:ascii="Times New Roman" w:hAnsi="Times New Roman"/>
          <w:color w:val="000000"/>
          <w:sz w:val="16"/>
        </w:rPr>
        <w:t>On October 30, 2020, CBL, a direct, wholly owned, consolidated subsidiary of the Company entered into the KeyBank Credit Facility with the investment adviser at the time, as collateral manager, the lenders from time to time parties thereto (each a “Lender”), KeyBank National Association, as administrative agent, and U.S. Bank National Association, as custodian. The KeyBank Credit Facility was amended on May 10, 2022 and October 20, 2022. Under the KeyBank Credit Facility, the Lenders have agreed to extend credit to CBL in an aggregate principal amount of up to $75.0</w:t>
      </w:r>
      <w:r>
        <w:rPr>
          <w:rFonts w:ascii="Times New Roman" w:hAnsi="Times New Roman"/>
          <w:color w:val="000000"/>
          <w:sz w:val="20"/>
        </w:rPr>
        <w:t xml:space="preserve"> </w:t>
      </w:r>
      <w:r>
        <w:rPr>
          <w:rFonts w:ascii="Times New Roman" w:hAnsi="Times New Roman"/>
          <w:color w:val="000000"/>
          <w:sz w:val="16"/>
        </w:rPr>
        <w:t>million as of May 10, 2022, with an uncommitted accordion feature that allows the Company to borrow up to an additional $125.0</w:t>
      </w:r>
      <w:r>
        <w:rPr>
          <w:rFonts w:ascii="Times New Roman" w:hAnsi="Times New Roman"/>
          <w:color w:val="000000"/>
          <w:sz w:val="20"/>
        </w:rPr>
        <w:t xml:space="preserve"> </w:t>
      </w:r>
      <w:r>
        <w:rPr>
          <w:rFonts w:ascii="Times New Roman" w:hAnsi="Times New Roman"/>
          <w:color w:val="000000"/>
          <w:sz w:val="16"/>
        </w:rPr>
        <w:t>million. The KeyBank Credit Facility</w:t>
      </w:r>
      <w:r>
        <w:rPr>
          <w:rFonts w:ascii="Times New Roman" w:hAnsi="Times New Roman"/>
          <w:color w:val="000000"/>
          <w:sz w:val="20"/>
        </w:rPr>
        <w:t xml:space="preserve"> </w:t>
      </w:r>
      <w:r>
        <w:rPr>
          <w:rFonts w:ascii="Times New Roman" w:hAnsi="Times New Roman"/>
          <w:color w:val="000000"/>
          <w:sz w:val="16"/>
        </w:rPr>
        <w:t>matures on May 10, 2027, unless there is an earlier termination or event of default. The period during which the Lenders may make loans to CBL under the KeyBank Credit Facility commenced on October 30, 2020 and will continue through May 10, 2025, unless there is an earlier termination or event of default.</w:t>
      </w:r>
      <w:r>
        <w:rPr>
          <w:rFonts w:ascii="Times New Roman" w:hAnsi="Times New Roman"/>
          <w:color w:val="000000"/>
          <w:sz w:val="20"/>
        </w:rPr>
        <w:t xml:space="preserve"> </w:t>
      </w:r>
      <w:r>
        <w:rPr>
          <w:rFonts w:ascii="Times New Roman" w:hAnsi="Times New Roman"/>
          <w:color w:val="000000"/>
          <w:sz w:val="16"/>
        </w:rPr>
        <w:t>Borrowings under the KeyBank Credit Facility bear interest at 1M Term SOFR plus 2.90% during the 3-year</w:t>
      </w:r>
      <w:r>
        <w:rPr>
          <w:rFonts w:ascii="Times New Roman" w:hAnsi="Times New Roman"/>
          <w:color w:val="000000"/>
          <w:sz w:val="20"/>
        </w:rPr>
        <w:t xml:space="preserve"> </w:t>
      </w:r>
      <w:r>
        <w:rPr>
          <w:rFonts w:ascii="Times New Roman" w:hAnsi="Times New Roman"/>
          <w:color w:val="000000"/>
          <w:sz w:val="16"/>
        </w:rPr>
        <w:t>revolving period and 3.25% thereafter, with a 0.40% 1M Term SOFR floor. CBL will also pay an unused commitment fee at a rate of (1) 1.00% if utilization is less than or equal to 30.0%, (2) 0.65% if utilization is greater than 30.0% but less than or equal to 60.0%, or (3) 0.35% if utilization is greater than 60.0%, per annum on the unutilized portion of the aggregate commitments under the KeyBank Credit Facility.</w:t>
      </w:r>
      <w:r>
        <w:rPr>
          <w:rFonts w:ascii="Times New Roman" w:hAnsi="Times New Roman"/>
          <w:color w:val="000000"/>
          <w:sz w:val="20"/>
        </w:rPr>
        <w:t xml:space="preserve"> </w:t>
      </w:r>
      <w:r>
        <w:rPr>
          <w:rFonts w:ascii="Times New Roman" w:hAnsi="Times New Roman"/>
          <w:color w:val="000000"/>
          <w:sz w:val="16"/>
        </w:rPr>
        <w:t>As of June 30, 2024 and December 31, 2023, there were draws of $53.1</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231F20"/>
          <w:sz w:val="16"/>
        </w:rPr>
        <w:t>and $39.6</w:t>
      </w:r>
      <w:r>
        <w:rPr>
          <w:rFonts w:ascii="Times New Roman" w:hAnsi="Times New Roman"/>
          <w:color w:val="231F20"/>
          <w:sz w:val="20"/>
        </w:rPr>
        <w:t xml:space="preserve"> </w:t>
      </w:r>
      <w:r>
        <w:rPr>
          <w:rFonts w:ascii="Times New Roman" w:hAnsi="Times New Roman"/>
          <w:color w:val="231F20"/>
          <w:sz w:val="16"/>
        </w:rPr>
        <w:t>million</w:t>
      </w:r>
      <w:r>
        <w:rPr>
          <w:rFonts w:ascii="Times New Roman" w:hAnsi="Times New Roman"/>
          <w:color w:val="000000"/>
          <w:sz w:val="16"/>
        </w:rPr>
        <w:t>, respectively, on the KeyBank Credit Facility. The KeyBank Credit Facility includes customary affirmative and negative covenants, including certain limitations on the incurrence of additional indebtedness and liens, as well as usual and customary events of default for revolving credit facilities of this nature. As of June 30, 2024 and December 31, 2023, assets pledged to secure the KeyBank Credit Facility had a fair value of $116.3</w:t>
      </w:r>
      <w:r>
        <w:rPr>
          <w:rFonts w:ascii="Times New Roman" w:hAnsi="Times New Roman"/>
          <w:color w:val="000000"/>
          <w:sz w:val="20"/>
        </w:rPr>
        <w:t xml:space="preserve"> </w:t>
      </w:r>
      <w:r>
        <w:rPr>
          <w:rFonts w:ascii="Times New Roman" w:hAnsi="Times New Roman"/>
          <w:color w:val="000000"/>
          <w:sz w:val="16"/>
        </w:rPr>
        <w:t>million and</w:t>
      </w:r>
      <w:r>
        <w:rPr>
          <w:rFonts w:ascii="Times New Roman" w:hAnsi="Times New Roman"/>
          <w:color w:val="000000"/>
          <w:sz w:val="20"/>
        </w:rPr>
        <w:t xml:space="preserve"> </w:t>
      </w:r>
      <w:r>
        <w:rPr>
          <w:rFonts w:ascii="Times New Roman" w:hAnsi="Times New Roman"/>
          <w:color w:val="000000"/>
          <w:sz w:val="16"/>
        </w:rPr>
        <w:t>$111.2</w:t>
      </w:r>
      <w:r>
        <w:rPr>
          <w:rFonts w:ascii="Times New Roman" w:hAnsi="Times New Roman"/>
          <w:color w:val="000000"/>
          <w:sz w:val="20"/>
        </w:rPr>
        <w:t xml:space="preserve"> </w:t>
      </w:r>
      <w:r>
        <w:rPr>
          <w:rFonts w:ascii="Times New Roman" w:hAnsi="Times New Roman"/>
          <w:color w:val="000000"/>
          <w:sz w:val="16"/>
        </w:rPr>
        <w:t>million, respectively.</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The following table summarizes the interest expense, deferred financing costs, unused commitment fees, average outstanding balance, and average stated interest rate on the KeyBank Credit Facility for the three and six months ended June 30, 2024 and 2023 (dollars in thousands):</w:t>
      </w:r>
    </w:p>
    <w:tbl>
      <w:tblPr>
        <w:tblW w:w="9005" w:type="dxa"/>
        <w:jc w:val="left"/>
        <w:tblInd w:w="0" w:type="dxa"/>
        <w:tblLayout w:type="fixed"/>
        <w:tblCellMar>
          <w:top w:w="28" w:type="dxa"/>
          <w:left w:w="28" w:type="dxa"/>
          <w:bottom w:w="28" w:type="dxa"/>
          <w:right w:w="28" w:type="dxa"/>
        </w:tblCellMar>
      </w:tblPr>
      <w:tblGrid>
        <w:gridCol w:w="2686"/>
        <w:gridCol w:w="146"/>
        <w:gridCol w:w="282"/>
        <w:gridCol w:w="864"/>
        <w:gridCol w:w="346"/>
        <w:gridCol w:w="210"/>
        <w:gridCol w:w="282"/>
        <w:gridCol w:w="864"/>
        <w:gridCol w:w="241"/>
        <w:gridCol w:w="146"/>
        <w:gridCol w:w="262"/>
        <w:gridCol w:w="805"/>
        <w:gridCol w:w="323"/>
        <w:gridCol w:w="195"/>
        <w:gridCol w:w="262"/>
        <w:gridCol w:w="805"/>
        <w:gridCol w:w="286"/>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shd w:fill="FFFFFF" w:val="clear"/>
            <w:vAlign w:val="center"/>
          </w:tcPr>
          <w:p>
            <w:pPr>
              <w:pStyle w:val="TableContents"/>
              <w:bidi w:val="0"/>
              <w:spacing w:before="0" w:after="283"/>
              <w:jc w:val="left"/>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1,132</w:t>
            </w:r>
          </w:p>
        </w:tc>
        <w:tc>
          <w:tcPr>
            <w:tcW w:w="3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1,158</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2,046</w:t>
            </w:r>
          </w:p>
        </w:tc>
        <w:tc>
          <w:tcPr>
            <w:tcW w:w="323"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right"/>
              <w:rPr/>
            </w:pPr>
            <w:r>
              <w:rPr/>
              <w:t> </w:t>
            </w:r>
          </w:p>
        </w:tc>
        <w:tc>
          <w:tcPr>
            <w:tcW w:w="26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2,154</w:t>
            </w:r>
          </w:p>
        </w:tc>
        <w:tc>
          <w:tcPr>
            <w:tcW w:w="286"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financing costs</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3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32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w:t>
            </w:r>
          </w:p>
        </w:tc>
        <w:tc>
          <w:tcPr>
            <w:tcW w:w="286" w:type="dxa"/>
            <w:tcBorders/>
            <w:shd w:fill="FFFFFF" w:val="cle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Unused commitment fees</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interest and financing expenses</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1,235</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1,258</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2,280</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2,357</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Average outstanding balance</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54,018</w:t>
            </w:r>
          </w:p>
        </w:tc>
        <w:tc>
          <w:tcPr>
            <w:tcW w:w="3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57,633</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48,705</w:t>
            </w:r>
          </w:p>
        </w:tc>
        <w:tc>
          <w:tcPr>
            <w:tcW w:w="323"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right"/>
              <w:rPr/>
            </w:pPr>
            <w:r>
              <w:rPr/>
              <w:t> </w:t>
            </w:r>
          </w:p>
        </w:tc>
        <w:tc>
          <w:tcPr>
            <w:tcW w:w="26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55,438</w:t>
            </w:r>
          </w:p>
        </w:tc>
        <w:tc>
          <w:tcPr>
            <w:tcW w:w="286"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Average stated interest rate</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8.22</w:t>
            </w:r>
          </w:p>
        </w:tc>
        <w:tc>
          <w:tcPr>
            <w:tcW w:w="3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7.89</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8.23</w:t>
            </w:r>
          </w:p>
        </w:tc>
        <w:tc>
          <w:tcPr>
            <w:tcW w:w="32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5"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7.65</w:t>
            </w:r>
          </w:p>
        </w:tc>
        <w:tc>
          <w:tcPr>
            <w:tcW w:w="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120"/>
        <w:jc w:val="both"/>
        <w:rPr>
          <w:rFonts w:ascii="Times New Roman" w:hAnsi="Times New Roman"/>
          <w:i/>
          <w:color w:val="000000"/>
          <w:sz w:val="16"/>
        </w:rPr>
      </w:pPr>
      <w:r>
        <w:rPr>
          <w:rFonts w:ascii="Times New Roman" w:hAnsi="Times New Roman"/>
          <w:i/>
          <w:color w:val="000000"/>
          <w:sz w:val="16"/>
        </w:rPr>
        <w:t>Financial Instruments Disclosed, But Not Carried, At Fair Value</w:t>
      </w:r>
    </w:p>
    <w:p>
      <w:pPr>
        <w:pStyle w:val="TextBody"/>
        <w:bidi w:val="0"/>
        <w:spacing w:before="120" w:after="120"/>
        <w:jc w:val="both"/>
        <w:rPr>
          <w:rFonts w:ascii="Times New Roman" w:hAnsi="Times New Roman"/>
          <w:sz w:val="20"/>
        </w:rPr>
      </w:pPr>
      <w:r>
        <w:rPr>
          <w:rFonts w:ascii="Times New Roman" w:hAnsi="Times New Roman"/>
          <w:color w:val="000000"/>
          <w:sz w:val="16"/>
        </w:rPr>
        <w:t>The following table presents the outstanding principal and fair value of the Company’s financial liabilities disclosed, but not carried, at fair value as of June 30, 2024, and the level of each financial liability within the fair value hierarchy (dollars in thousands):</w:t>
      </w:r>
      <w:r>
        <w:rPr>
          <w:rFonts w:ascii="Times New Roman" w:hAnsi="Times New Roman"/>
          <w:color w:val="000000"/>
          <w:sz w:val="20"/>
        </w:rPr>
        <w:t xml:space="preserve"> </w:t>
      </w:r>
    </w:p>
    <w:tbl>
      <w:tblPr>
        <w:tblW w:w="7331" w:type="dxa"/>
        <w:jc w:val="left"/>
        <w:tblInd w:w="0" w:type="dxa"/>
        <w:tblLayout w:type="fixed"/>
        <w:tblCellMar>
          <w:top w:w="28" w:type="dxa"/>
          <w:left w:w="28" w:type="dxa"/>
          <w:bottom w:w="28" w:type="dxa"/>
          <w:right w:w="28" w:type="dxa"/>
        </w:tblCellMar>
      </w:tblPr>
      <w:tblGrid>
        <w:gridCol w:w="1786"/>
        <w:gridCol w:w="146"/>
        <w:gridCol w:w="222"/>
        <w:gridCol w:w="784"/>
        <w:gridCol w:w="146"/>
        <w:gridCol w:w="146"/>
        <w:gridCol w:w="196"/>
        <w:gridCol w:w="691"/>
        <w:gridCol w:w="146"/>
        <w:gridCol w:w="146"/>
        <w:gridCol w:w="228"/>
        <w:gridCol w:w="402"/>
        <w:gridCol w:w="146"/>
        <w:gridCol w:w="146"/>
        <w:gridCol w:w="228"/>
        <w:gridCol w:w="402"/>
        <w:gridCol w:w="146"/>
        <w:gridCol w:w="146"/>
        <w:gridCol w:w="196"/>
        <w:gridCol w:w="691"/>
        <w:gridCol w:w="19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2026 Notes</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45,250</w:t>
            </w:r>
          </w:p>
        </w:tc>
        <w:tc>
          <w:tcPr>
            <w:tcW w:w="191" w:type="dxa"/>
            <w:tcBorders/>
            <w:shd w:fill="CFF0FC" w:val="clear"/>
            <w:vAlign w:val="center"/>
          </w:tcPr>
          <w:p>
            <w:pPr>
              <w:pStyle w:val="TableContents"/>
              <w:bidi w:val="0"/>
              <w:spacing w:before="0" w:after="283"/>
              <w:jc w:val="left"/>
              <w:rPr/>
            </w:pPr>
            <w:r>
              <w:rPr/>
              <w:t> </w:t>
            </w:r>
          </w:p>
        </w:tc>
      </w:tr>
      <w:tr>
        <w:trPr/>
        <w:tc>
          <w:tcPr>
            <w:tcW w:w="17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2032 Convertible Notes</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10,964</w:t>
            </w:r>
          </w:p>
        </w:tc>
        <w:tc>
          <w:tcPr>
            <w:tcW w:w="191" w:type="dxa"/>
            <w:tcBorders/>
            <w:shd w:fill="FFFFFF" w:val="clear"/>
            <w:vAlign w:val="center"/>
          </w:tcPr>
          <w:p>
            <w:pPr>
              <w:pStyle w:val="TableContents"/>
              <w:bidi w:val="0"/>
              <w:spacing w:before="0" w:after="283"/>
              <w:jc w:val="left"/>
              <w:rPr/>
            </w:pPr>
            <w:r>
              <w:rPr/>
              <w:t> </w:t>
            </w:r>
          </w:p>
        </w:tc>
      </w:tr>
      <w:tr>
        <w:trPr/>
        <w:tc>
          <w:tcPr>
            <w:tcW w:w="17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KeyBank Credit Facility</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53,106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53,106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53,106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8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115,106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109,320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109,320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16"/>
        </w:rPr>
      </w:pPr>
      <w:r>
        <w:rPr>
          <w:rFonts w:ascii="Times New Roman" w:hAnsi="Times New Roman"/>
          <w:color w:val="000000"/>
          <w:sz w:val="16"/>
        </w:rPr>
        <w:t>The following table presents the outstanding principal and fair value of the Company’s financial liabilities disclosed, but not carried, at fair value as of December 31, 2023, and the level of each financial liability within the fair value hierarchy (dollars in thousands):</w:t>
      </w:r>
    </w:p>
    <w:tbl>
      <w:tblPr>
        <w:tblW w:w="7239" w:type="dxa"/>
        <w:jc w:val="left"/>
        <w:tblInd w:w="0" w:type="dxa"/>
        <w:tblLayout w:type="fixed"/>
        <w:tblCellMar>
          <w:top w:w="28" w:type="dxa"/>
          <w:left w:w="28" w:type="dxa"/>
          <w:bottom w:w="28" w:type="dxa"/>
          <w:right w:w="28" w:type="dxa"/>
        </w:tblCellMar>
      </w:tblPr>
      <w:tblGrid>
        <w:gridCol w:w="1786"/>
        <w:gridCol w:w="146"/>
        <w:gridCol w:w="222"/>
        <w:gridCol w:w="784"/>
        <w:gridCol w:w="146"/>
        <w:gridCol w:w="146"/>
        <w:gridCol w:w="217"/>
        <w:gridCol w:w="668"/>
        <w:gridCol w:w="146"/>
        <w:gridCol w:w="146"/>
        <w:gridCol w:w="228"/>
        <w:gridCol w:w="402"/>
        <w:gridCol w:w="146"/>
        <w:gridCol w:w="146"/>
        <w:gridCol w:w="228"/>
        <w:gridCol w:w="402"/>
        <w:gridCol w:w="146"/>
        <w:gridCol w:w="146"/>
        <w:gridCol w:w="196"/>
        <w:gridCol w:w="601"/>
        <w:gridCol w:w="19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2026 Notes</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45,250</w:t>
            </w:r>
          </w:p>
        </w:tc>
        <w:tc>
          <w:tcPr>
            <w:tcW w:w="191" w:type="dxa"/>
            <w:tcBorders/>
            <w:shd w:fill="CFF0FC" w:val="clear"/>
            <w:vAlign w:val="center"/>
          </w:tcPr>
          <w:p>
            <w:pPr>
              <w:pStyle w:val="TableContents"/>
              <w:bidi w:val="0"/>
              <w:spacing w:before="0" w:after="283"/>
              <w:jc w:val="left"/>
              <w:rPr/>
            </w:pPr>
            <w:r>
              <w:rPr/>
              <w:t> </w:t>
            </w:r>
          </w:p>
        </w:tc>
      </w:tr>
      <w:tr>
        <w:trPr/>
        <w:tc>
          <w:tcPr>
            <w:tcW w:w="17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2032 Convertible Notes</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13,705</w:t>
            </w:r>
          </w:p>
        </w:tc>
        <w:tc>
          <w:tcPr>
            <w:tcW w:w="191" w:type="dxa"/>
            <w:tcBorders/>
            <w:shd w:fill="FFFFFF" w:val="clear"/>
            <w:vAlign w:val="center"/>
          </w:tcPr>
          <w:p>
            <w:pPr>
              <w:pStyle w:val="TableContents"/>
              <w:bidi w:val="0"/>
              <w:spacing w:before="0" w:after="283"/>
              <w:jc w:val="left"/>
              <w:rPr/>
            </w:pPr>
            <w:r>
              <w:rPr/>
              <w:t> </w:t>
            </w:r>
          </w:p>
        </w:tc>
      </w:tr>
      <w:tr>
        <w:trPr/>
        <w:tc>
          <w:tcPr>
            <w:tcW w:w="17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KeyBank Credit Facility</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39,553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8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104,553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98,508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98,508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June 30, 2024</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color w:val="000000"/>
          <w:sz w:val="16"/>
        </w:rPr>
        <w:t>Note 7. Directors’</w:t>
      </w:r>
      <w:r>
        <w:rPr>
          <w:rFonts w:ascii="Times New Roman" w:hAnsi="Times New Roman"/>
          <w:color w:val="000000"/>
          <w:sz w:val="20"/>
        </w:rPr>
        <w:t xml:space="preserve"> </w:t>
      </w:r>
      <w:r>
        <w:rPr>
          <w:rFonts w:ascii="Times New Roman" w:hAnsi="Times New Roman"/>
          <w:b/>
          <w:color w:val="000000"/>
          <w:sz w:val="16"/>
        </w:rPr>
        <w:t>Expense</w:t>
      </w:r>
    </w:p>
    <w:p>
      <w:pPr>
        <w:pStyle w:val="TextBody"/>
        <w:bidi w:val="0"/>
        <w:spacing w:before="120" w:after="283"/>
        <w:jc w:val="both"/>
        <w:rPr>
          <w:rFonts w:ascii="Times New Roman" w:hAnsi="Times New Roman"/>
          <w:sz w:val="20"/>
        </w:rPr>
      </w:pPr>
      <w:r>
        <w:rPr>
          <w:rFonts w:ascii="Times New Roman" w:hAnsi="Times New Roman"/>
          <w:color w:val="000000"/>
          <w:sz w:val="16"/>
        </w:rPr>
        <w:t>Our Independent Directors receive an annual fee of $50,000. They also receive $5,000</w:t>
      </w:r>
      <w:r>
        <w:rPr>
          <w:rFonts w:ascii="Times New Roman" w:hAnsi="Times New Roman"/>
          <w:color w:val="000000"/>
          <w:sz w:val="20"/>
        </w:rPr>
        <w:t xml:space="preserve"> </w:t>
      </w:r>
      <w:r>
        <w:rPr>
          <w:rFonts w:ascii="Times New Roman" w:hAnsi="Times New Roman"/>
          <w:color w:val="000000"/>
          <w:sz w:val="16"/>
        </w:rPr>
        <w:t>plus reimbursement of reasonable out-of-pocket expenses incurred in connection with attending each Board meeting and $5,000</w:t>
      </w:r>
      <w:r>
        <w:rPr>
          <w:rFonts w:ascii="Times New Roman" w:hAnsi="Times New Roman"/>
          <w:color w:val="000000"/>
          <w:sz w:val="20"/>
        </w:rPr>
        <w:t xml:space="preserve"> </w:t>
      </w:r>
      <w:r>
        <w:rPr>
          <w:rFonts w:ascii="Times New Roman" w:hAnsi="Times New Roman"/>
          <w:color w:val="000000"/>
          <w:sz w:val="16"/>
        </w:rPr>
        <w:t>plus reimbursement of reasonable out-of-pocket expenses incurred in connection with attending each committee meeting. In addition, the chairman of the audit committee receives an annual fee of $10,000</w:t>
      </w:r>
      <w:r>
        <w:rPr>
          <w:rFonts w:ascii="Times New Roman" w:hAnsi="Times New Roman"/>
          <w:color w:val="000000"/>
          <w:sz w:val="20"/>
        </w:rPr>
        <w:t xml:space="preserve"> </w:t>
      </w:r>
      <w:r>
        <w:rPr>
          <w:rFonts w:ascii="Times New Roman" w:hAnsi="Times New Roman"/>
          <w:color w:val="000000"/>
          <w:sz w:val="16"/>
        </w:rPr>
        <w:t>and each chairman of any other committee receives an annual fee of $5,000</w:t>
      </w:r>
      <w:r>
        <w:rPr>
          <w:rFonts w:ascii="Times New Roman" w:hAnsi="Times New Roman"/>
          <w:color w:val="000000"/>
          <w:sz w:val="20"/>
        </w:rPr>
        <w:t xml:space="preserve"> </w:t>
      </w:r>
      <w:r>
        <w:rPr>
          <w:rFonts w:ascii="Times New Roman" w:hAnsi="Times New Roman"/>
          <w:color w:val="000000"/>
          <w:sz w:val="16"/>
        </w:rPr>
        <w:t>for their additional services, if any, in these capacities. For the three and six months ended June 30, 2024, the Company recognized directors’ expense of $0.2</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and $0.3</w:t>
      </w:r>
      <w:r>
        <w:rPr>
          <w:rFonts w:ascii="Times New Roman" w:hAnsi="Times New Roman"/>
          <w:color w:val="000000"/>
          <w:sz w:val="20"/>
        </w:rPr>
        <w:t xml:space="preserve"> </w:t>
      </w:r>
      <w:r>
        <w:rPr>
          <w:rFonts w:ascii="Times New Roman" w:hAnsi="Times New Roman"/>
          <w:color w:val="000000"/>
          <w:sz w:val="16"/>
        </w:rPr>
        <w:t>million, respectively. For the three and six months ended June 30, 2023, the Company recognized directors’ expense of $0.1</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and $0.3</w:t>
      </w:r>
      <w:r>
        <w:rPr>
          <w:rFonts w:ascii="Times New Roman" w:hAnsi="Times New Roman"/>
          <w:color w:val="000000"/>
          <w:sz w:val="20"/>
        </w:rPr>
        <w:t xml:space="preserve"> </w:t>
      </w:r>
      <w:r>
        <w:rPr>
          <w:rFonts w:ascii="Times New Roman" w:hAnsi="Times New Roman"/>
          <w:color w:val="000000"/>
          <w:sz w:val="16"/>
        </w:rPr>
        <w:t>million, respectively. No</w:t>
      </w:r>
      <w:r>
        <w:rPr>
          <w:rFonts w:ascii="Times New Roman" w:hAnsi="Times New Roman"/>
          <w:color w:val="000000"/>
          <w:sz w:val="20"/>
        </w:rPr>
        <w:t xml:space="preserve"> </w:t>
      </w:r>
      <w:r>
        <w:rPr>
          <w:rFonts w:ascii="Times New Roman" w:hAnsi="Times New Roman"/>
          <w:color w:val="000000"/>
          <w:sz w:val="16"/>
        </w:rPr>
        <w:t>compensation is expected to be paid to directors who are “interested persons” of the Company, as such term is defined in Section 2(a)(19) of the 1940 Act.</w:t>
      </w:r>
    </w:p>
    <w:p>
      <w:pPr>
        <w:pStyle w:val="TextBody"/>
        <w:bidi w:val="0"/>
        <w:spacing w:before="120" w:after="120"/>
        <w:jc w:val="left"/>
        <w:rPr>
          <w:rFonts w:ascii="Times New Roman" w:hAnsi="Times New Roman"/>
          <w:b/>
          <w:color w:val="000000"/>
          <w:sz w:val="16"/>
        </w:rPr>
      </w:pPr>
      <w:r>
        <w:rPr>
          <w:rFonts w:ascii="Times New Roman" w:hAnsi="Times New Roman"/>
          <w:b/>
          <w:color w:val="000000"/>
          <w:sz w:val="16"/>
        </w:rPr>
        <w:t>Note 8. Stockholders' Equity</w:t>
      </w:r>
    </w:p>
    <w:p>
      <w:pPr>
        <w:pStyle w:val="TextBody"/>
        <w:bidi w:val="0"/>
        <w:spacing w:before="120" w:after="120"/>
        <w:jc w:val="both"/>
        <w:rPr>
          <w:rFonts w:ascii="Times New Roman" w:hAnsi="Times New Roman"/>
          <w:sz w:val="20"/>
        </w:rPr>
      </w:pPr>
      <w:r>
        <w:rPr>
          <w:rFonts w:ascii="Times New Roman" w:hAnsi="Times New Roman"/>
          <w:color w:val="000000"/>
          <w:sz w:val="16"/>
        </w:rPr>
        <w:t>On March 6, 2023, the Company's Board authorized a share repurchase program, whereby the Company could repurchase up to an aggregate of $5.0</w:t>
      </w:r>
      <w:r>
        <w:rPr>
          <w:rFonts w:ascii="Times New Roman" w:hAnsi="Times New Roman"/>
          <w:color w:val="000000"/>
          <w:sz w:val="20"/>
        </w:rPr>
        <w:t xml:space="preserve"> </w:t>
      </w:r>
      <w:r>
        <w:rPr>
          <w:rFonts w:ascii="Times New Roman" w:hAnsi="Times New Roman"/>
          <w:color w:val="000000"/>
          <w:sz w:val="16"/>
        </w:rPr>
        <w:t>million of its outstanding shares of common stock in the open market. The repurchase program did not obligate the Company to acquire any specific number of shares, and all repurchases were made in accordance with SEC Rule 10b-18 and accomplished through a Rule 10b5-1 plan, which set certain restrictions on the method, timing, price and volume of share repurchases. On March 11, 2024, the Board authorized the extension of the share repurchase program for an additional year and increased the aggregate available balance to $5.0</w:t>
      </w:r>
      <w:r>
        <w:rPr>
          <w:rFonts w:ascii="Times New Roman" w:hAnsi="Times New Roman"/>
          <w:color w:val="000000"/>
          <w:sz w:val="20"/>
        </w:rPr>
        <w:t xml:space="preserve"> </w:t>
      </w:r>
      <w:r>
        <w:rPr>
          <w:rFonts w:ascii="Times New Roman" w:hAnsi="Times New Roman"/>
          <w:color w:val="000000"/>
          <w:sz w:val="16"/>
        </w:rPr>
        <w:t>million. Unless extended or discontinued by the Board, the repurchase program will terminate on March 31, 2025. The repurchase program may be extended, modified or discontinued at any time for any reason without prior notice.</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color w:val="000000"/>
          <w:sz w:val="16"/>
        </w:rPr>
        <w:t>During the three and six months ended June 30, 2024, the Company repurchased zero</w:t>
      </w:r>
      <w:r>
        <w:rPr>
          <w:rFonts w:ascii="Times New Roman" w:hAnsi="Times New Roman"/>
          <w:color w:val="000000"/>
          <w:sz w:val="20"/>
        </w:rPr>
        <w:t xml:space="preserve"> </w:t>
      </w:r>
      <w:r>
        <w:rPr>
          <w:rFonts w:ascii="Times New Roman" w:hAnsi="Times New Roman"/>
          <w:color w:val="000000"/>
          <w:sz w:val="16"/>
        </w:rPr>
        <w:t>and 20,867</w:t>
      </w:r>
      <w:r>
        <w:rPr>
          <w:rFonts w:ascii="Times New Roman" w:hAnsi="Times New Roman"/>
          <w:color w:val="000000"/>
          <w:sz w:val="20"/>
        </w:rPr>
        <w:t xml:space="preserve"> </w:t>
      </w:r>
      <w:r>
        <w:rPr>
          <w:rFonts w:ascii="Times New Roman" w:hAnsi="Times New Roman"/>
          <w:color w:val="000000"/>
          <w:sz w:val="16"/>
        </w:rPr>
        <w:t>of its outstanding shares, respectively, under the share repurchase program at an aggregate cost of approximately zero</w:t>
      </w:r>
      <w:r>
        <w:rPr>
          <w:rFonts w:ascii="Times New Roman" w:hAnsi="Times New Roman"/>
          <w:color w:val="000000"/>
          <w:sz w:val="20"/>
        </w:rPr>
        <w:t xml:space="preserve"> </w:t>
      </w:r>
      <w:r>
        <w:rPr>
          <w:rFonts w:ascii="Times New Roman" w:hAnsi="Times New Roman"/>
          <w:color w:val="000000"/>
          <w:sz w:val="16"/>
        </w:rPr>
        <w:t>and $0.5</w:t>
      </w:r>
      <w:r>
        <w:rPr>
          <w:rFonts w:ascii="Times New Roman" w:hAnsi="Times New Roman"/>
          <w:color w:val="000000"/>
          <w:sz w:val="20"/>
        </w:rPr>
        <w:t xml:space="preserve"> </w:t>
      </w:r>
      <w:r>
        <w:rPr>
          <w:rFonts w:ascii="Times New Roman" w:hAnsi="Times New Roman"/>
          <w:color w:val="000000"/>
          <w:sz w:val="16"/>
        </w:rPr>
        <w:t>million, respectively. During the three and six months ended June 30, 2023, the Company repurchased 12,487</w:t>
      </w:r>
      <w:r>
        <w:rPr>
          <w:rFonts w:ascii="Times New Roman" w:hAnsi="Times New Roman"/>
          <w:color w:val="000000"/>
          <w:sz w:val="20"/>
        </w:rPr>
        <w:t xml:space="preserve"> </w:t>
      </w:r>
      <w:r>
        <w:rPr>
          <w:rFonts w:ascii="Times New Roman" w:hAnsi="Times New Roman"/>
          <w:color w:val="000000"/>
          <w:sz w:val="16"/>
        </w:rPr>
        <w:t>and 14,112</w:t>
      </w:r>
      <w:r>
        <w:rPr>
          <w:rFonts w:ascii="Times New Roman" w:hAnsi="Times New Roman"/>
          <w:color w:val="000000"/>
          <w:sz w:val="20"/>
        </w:rPr>
        <w:t xml:space="preserve"> </w:t>
      </w:r>
      <w:r>
        <w:rPr>
          <w:rFonts w:ascii="Times New Roman" w:hAnsi="Times New Roman"/>
          <w:color w:val="000000"/>
          <w:sz w:val="16"/>
        </w:rPr>
        <w:t>of its outstanding shares, respectively, under the share repurchase program at an aggregate cost of approximately $0.3</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FF0000"/>
          <w:sz w:val="20"/>
        </w:rPr>
        <w:t xml:space="preserve"> </w:t>
      </w:r>
      <w:r>
        <w:rPr>
          <w:rFonts w:ascii="Times New Roman" w:hAnsi="Times New Roman"/>
          <w:color w:val="000000"/>
          <w:sz w:val="16"/>
        </w:rPr>
        <w:t>and $0.3</w:t>
      </w:r>
      <w:r>
        <w:rPr>
          <w:rFonts w:ascii="Times New Roman" w:hAnsi="Times New Roman"/>
          <w:color w:val="000000"/>
          <w:sz w:val="20"/>
        </w:rPr>
        <w:t xml:space="preserve"> </w:t>
      </w:r>
      <w:r>
        <w:rPr>
          <w:rFonts w:ascii="Times New Roman" w:hAnsi="Times New Roman"/>
          <w:color w:val="000000"/>
          <w:sz w:val="16"/>
        </w:rPr>
        <w:t>million, respectively.</w:t>
      </w:r>
    </w:p>
    <w:p>
      <w:pPr>
        <w:pStyle w:val="TextBody"/>
        <w:bidi w:val="0"/>
        <w:spacing w:before="120" w:after="120"/>
        <w:jc w:val="both"/>
        <w:rPr>
          <w:rFonts w:ascii="Times New Roman" w:hAnsi="Times New Roman"/>
          <w:sz w:val="20"/>
        </w:rPr>
      </w:pPr>
      <w:r>
        <w:rPr>
          <w:rFonts w:ascii="Times New Roman" w:hAnsi="Times New Roman"/>
          <w:color w:val="000000"/>
          <w:sz w:val="16"/>
        </w:rPr>
        <w:t>During the three and six months ended June 30, 2024, the Company issued 126</w:t>
      </w:r>
      <w:r>
        <w:rPr>
          <w:rFonts w:ascii="Times New Roman" w:hAnsi="Times New Roman"/>
          <w:color w:val="000000"/>
          <w:sz w:val="20"/>
        </w:rPr>
        <w:t xml:space="preserve"> </w:t>
      </w:r>
      <w:r>
        <w:rPr>
          <w:rFonts w:ascii="Times New Roman" w:hAnsi="Times New Roman"/>
          <w:color w:val="000000"/>
          <w:sz w:val="16"/>
        </w:rPr>
        <w:t>and 126 shares, respectively, of common stock under its DRIP</w:t>
      </w:r>
      <w:r>
        <w:rPr>
          <w:rFonts w:ascii="Times New Roman" w:hAnsi="Times New Roman"/>
          <w:color w:val="FF0000"/>
          <w:sz w:val="16"/>
        </w:rPr>
        <w:t>.</w:t>
      </w:r>
      <w:r>
        <w:rPr>
          <w:rFonts w:ascii="Times New Roman" w:hAnsi="Times New Roman"/>
          <w:color w:val="000000"/>
          <w:sz w:val="20"/>
        </w:rPr>
        <w:t xml:space="preserve"> </w:t>
      </w:r>
      <w:r>
        <w:rPr>
          <w:rFonts w:ascii="Times New Roman" w:hAnsi="Times New Roman"/>
          <w:color w:val="000000"/>
          <w:sz w:val="16"/>
        </w:rPr>
        <w:t>During the three and six months ended June 30, 2023, the Company issued 47</w:t>
      </w:r>
      <w:r>
        <w:rPr>
          <w:rFonts w:ascii="Times New Roman" w:hAnsi="Times New Roman"/>
          <w:color w:val="000000"/>
          <w:sz w:val="20"/>
        </w:rPr>
        <w:t xml:space="preserve"> </w:t>
      </w:r>
      <w:r>
        <w:rPr>
          <w:rFonts w:ascii="Times New Roman" w:hAnsi="Times New Roman"/>
          <w:color w:val="000000"/>
          <w:sz w:val="16"/>
        </w:rPr>
        <w:t>and 187</w:t>
      </w:r>
      <w:r>
        <w:rPr>
          <w:rFonts w:ascii="Times New Roman" w:hAnsi="Times New Roman"/>
          <w:color w:val="000000"/>
          <w:sz w:val="20"/>
        </w:rPr>
        <w:t xml:space="preserve"> </w:t>
      </w:r>
      <w:r>
        <w:rPr>
          <w:rFonts w:ascii="Times New Roman" w:hAnsi="Times New Roman"/>
          <w:color w:val="000000"/>
          <w:sz w:val="16"/>
        </w:rPr>
        <w:t>shares, respectively, of common stock under its DRIP.</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color w:val="000000"/>
          <w:sz w:val="16"/>
        </w:rPr>
        <w:t>During the three and six months ended June 30, 2024, the 2032 Note Convertible Noteholders elected to convert zero</w:t>
      </w:r>
      <w:r>
        <w:rPr>
          <w:rFonts w:ascii="Times New Roman" w:hAnsi="Times New Roman"/>
          <w:color w:val="000000"/>
          <w:sz w:val="20"/>
        </w:rPr>
        <w:t xml:space="preserve"> </w:t>
      </w:r>
      <w:r>
        <w:rPr>
          <w:rFonts w:ascii="Times New Roman" w:hAnsi="Times New Roman"/>
          <w:color w:val="000000"/>
          <w:sz w:val="16"/>
        </w:rPr>
        <w:t>and $0.5</w:t>
      </w:r>
      <w:r>
        <w:rPr>
          <w:rFonts w:ascii="Times New Roman" w:hAnsi="Times New Roman"/>
          <w:color w:val="000000"/>
          <w:sz w:val="20"/>
        </w:rPr>
        <w:t xml:space="preserve"> </w:t>
      </w:r>
      <w:r>
        <w:rPr>
          <w:rFonts w:ascii="Times New Roman" w:hAnsi="Times New Roman"/>
          <w:color w:val="000000"/>
          <w:sz w:val="16"/>
        </w:rPr>
        <w:t>million par of the 2032 Convertible Notes, respectively, into 22,105</w:t>
      </w:r>
      <w:r>
        <w:rPr>
          <w:rFonts w:ascii="Times New Roman" w:hAnsi="Times New Roman"/>
          <w:color w:val="000000"/>
          <w:sz w:val="20"/>
        </w:rPr>
        <w:t xml:space="preserve"> </w:t>
      </w:r>
      <w:r>
        <w:rPr>
          <w:rFonts w:ascii="Times New Roman" w:hAnsi="Times New Roman"/>
          <w:color w:val="000000"/>
          <w:sz w:val="16"/>
        </w:rPr>
        <w:t>shares of common stock pursuant to the Note Purchase Agreement at a rate of $22.61</w:t>
      </w:r>
      <w:r>
        <w:rPr>
          <w:rFonts w:ascii="Times New Roman" w:hAnsi="Times New Roman"/>
          <w:color w:val="000000"/>
          <w:sz w:val="20"/>
        </w:rPr>
        <w:t xml:space="preserve"> </w:t>
      </w:r>
      <w:r>
        <w:rPr>
          <w:rFonts w:ascii="Times New Roman" w:hAnsi="Times New Roman"/>
          <w:color w:val="000000"/>
          <w:sz w:val="16"/>
        </w:rPr>
        <w:t>per principal amount, in accordance with a Notice of Exercise of Conversion. There were no</w:t>
      </w:r>
      <w:r>
        <w:rPr>
          <w:rFonts w:ascii="Times New Roman" w:hAnsi="Times New Roman"/>
          <w:color w:val="000000"/>
          <w:sz w:val="20"/>
        </w:rPr>
        <w:t xml:space="preserve"> </w:t>
      </w:r>
      <w:r>
        <w:rPr>
          <w:rFonts w:ascii="Times New Roman" w:hAnsi="Times New Roman"/>
          <w:color w:val="000000"/>
          <w:sz w:val="16"/>
        </w:rPr>
        <w:t>such conversion during the three and six months ended June 30, 2023.</w:t>
      </w:r>
    </w:p>
    <w:p>
      <w:pPr>
        <w:pStyle w:val="TextBody"/>
        <w:bidi w:val="0"/>
        <w:spacing w:before="120" w:after="120"/>
        <w:jc w:val="both"/>
        <w:rPr>
          <w:rFonts w:ascii="Times New Roman" w:hAnsi="Times New Roman"/>
          <w:sz w:val="20"/>
        </w:rPr>
      </w:pPr>
      <w:r>
        <w:rPr>
          <w:rFonts w:ascii="Times New Roman" w:hAnsi="Times New Roman"/>
          <w:color w:val="000000"/>
          <w:sz w:val="16"/>
        </w:rPr>
        <w:t>The total number of shares of the Company’s common stock outstanding as of June 30, 2024 and December 31, 2023 was 2,676,062</w:t>
      </w:r>
      <w:r>
        <w:rPr>
          <w:rFonts w:ascii="Times New Roman" w:hAnsi="Times New Roman"/>
          <w:color w:val="000000"/>
          <w:sz w:val="20"/>
        </w:rPr>
        <w:t xml:space="preserve"> </w:t>
      </w:r>
      <w:r>
        <w:rPr>
          <w:rFonts w:ascii="Times New Roman" w:hAnsi="Times New Roman"/>
          <w:color w:val="000000"/>
          <w:sz w:val="16"/>
        </w:rPr>
        <w:t>and 2,674,698, respectively.</w:t>
      </w:r>
    </w:p>
    <w:p>
      <w:pPr>
        <w:pStyle w:val="TextBody"/>
        <w:bidi w:val="0"/>
        <w:spacing w:before="120" w:after="283"/>
        <w:jc w:val="both"/>
        <w:rPr>
          <w:rFonts w:ascii="Times New Roman" w:hAnsi="Times New Roman"/>
          <w:sz w:val="20"/>
        </w:rPr>
      </w:pPr>
      <w:r>
        <w:rPr>
          <w:rFonts w:ascii="Times New Roman" w:hAnsi="Times New Roman"/>
          <w:b/>
          <w:color w:val="000000"/>
          <w:sz w:val="16"/>
        </w:rPr>
        <w:t>Note 9. Earnings Per Share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16"/>
        </w:rPr>
        <w:t xml:space="preserve">In accordance with the provisions of ASC Topic 260 - </w:t>
      </w:r>
      <w:r>
        <w:rPr>
          <w:rFonts w:ascii="Times New Roman" w:hAnsi="Times New Roman"/>
          <w:i/>
          <w:color w:val="000000"/>
          <w:sz w:val="16"/>
        </w:rPr>
        <w:t>Earnings per Share</w:t>
      </w:r>
      <w:r>
        <w:rPr>
          <w:rFonts w:ascii="Times New Roman" w:hAnsi="Times New Roman"/>
          <w:color w:val="000000"/>
          <w:sz w:val="20"/>
        </w:rPr>
        <w:t xml:space="preserve"> </w:t>
      </w:r>
      <w:r>
        <w:rPr>
          <w:rFonts w:ascii="Times New Roman" w:hAnsi="Times New Roman"/>
          <w:color w:val="000000"/>
          <w:sz w:val="16"/>
        </w:rPr>
        <w:t>(“ASC 260”), basic earnings per share is computed by dividing earnings available to common stockholders by the weighted average number of shares of the Company’s common stock outstanding during the period. Other potentially dilutive shares of the Company’s common stock, and the related impact to earnings, are considered when calculating diluted earnings per share. For the three and six months ended June 30, 2024 and 2023, zero</w:t>
      </w:r>
      <w:r>
        <w:rPr>
          <w:rFonts w:ascii="Times New Roman" w:hAnsi="Times New Roman"/>
          <w:color w:val="000000"/>
          <w:sz w:val="20"/>
        </w:rPr>
        <w:t xml:space="preserve"> </w:t>
      </w:r>
      <w:r>
        <w:rPr>
          <w:rFonts w:ascii="Times New Roman" w:hAnsi="Times New Roman"/>
          <w:color w:val="000000"/>
          <w:sz w:val="16"/>
        </w:rPr>
        <w:t>and 0.5</w:t>
      </w:r>
      <w:r>
        <w:rPr>
          <w:rFonts w:ascii="Times New Roman" w:hAnsi="Times New Roman"/>
          <w:color w:val="000000"/>
          <w:sz w:val="20"/>
        </w:rPr>
        <w:t xml:space="preserve"> </w:t>
      </w:r>
      <w:r>
        <w:rPr>
          <w:rFonts w:ascii="Times New Roman" w:hAnsi="Times New Roman"/>
          <w:color w:val="000000"/>
          <w:sz w:val="16"/>
        </w:rPr>
        <w:t>million, respectively, in convertible shares related to the 2032 Convertible Notes were considered dilutive.</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The following information sets forth the computation of the weighted average basic and diluted net increase (decrease) in net assets per share resulting from operations for the three and six months ended June 30, 2024 and 2023 (dollars in thousands, except share and per share data):</w:t>
      </w:r>
    </w:p>
    <w:tbl>
      <w:tblPr>
        <w:tblW w:w="10205" w:type="dxa"/>
        <w:jc w:val="left"/>
        <w:tblInd w:w="0" w:type="dxa"/>
        <w:tblLayout w:type="fixed"/>
        <w:tblCellMar>
          <w:top w:w="28" w:type="dxa"/>
          <w:left w:w="28" w:type="dxa"/>
          <w:bottom w:w="28" w:type="dxa"/>
          <w:right w:w="28" w:type="dxa"/>
        </w:tblCellMar>
      </w:tblPr>
      <w:tblGrid>
        <w:gridCol w:w="4307"/>
        <w:gridCol w:w="146"/>
        <w:gridCol w:w="225"/>
        <w:gridCol w:w="949"/>
        <w:gridCol w:w="190"/>
        <w:gridCol w:w="167"/>
        <w:gridCol w:w="225"/>
        <w:gridCol w:w="949"/>
        <w:gridCol w:w="146"/>
        <w:gridCol w:w="146"/>
        <w:gridCol w:w="214"/>
        <w:gridCol w:w="906"/>
        <w:gridCol w:w="160"/>
        <w:gridCol w:w="160"/>
        <w:gridCol w:w="214"/>
        <w:gridCol w:w="906"/>
        <w:gridCol w:w="195"/>
      </w:tblGrid>
      <w:tr>
        <w:trPr/>
        <w:tc>
          <w:tcPr>
            <w:tcW w:w="43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30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2024</w:t>
            </w:r>
            <w:r>
              <w:rPr>
                <w:rFonts w:ascii="Times New Roman" w:hAnsi="Times New Roman"/>
                <w:b/>
                <w:color w:val="000000"/>
                <w:sz w:val="11"/>
              </w:rPr>
              <w:t>(1)</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vAlign w:val="center"/>
          </w:tcPr>
          <w:p>
            <w:pPr>
              <w:pStyle w:val="TableContents"/>
              <w:bidi w:val="0"/>
              <w:spacing w:before="0" w:after="283"/>
              <w:jc w:val="left"/>
              <w:rPr/>
            </w:pPr>
            <w:r>
              <w:rPr/>
              <w:t> </w:t>
            </w:r>
          </w:p>
        </w:tc>
        <w:tc>
          <w:tcPr>
            <w:tcW w:w="11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2023</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2024</w:t>
            </w:r>
            <w:r>
              <w:rPr>
                <w:rFonts w:ascii="Times New Roman" w:hAnsi="Times New Roman"/>
                <w:b/>
                <w:color w:val="000000"/>
                <w:sz w:val="11"/>
              </w:rPr>
              <w:t>(1)</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vAlign w:val="center"/>
          </w:tcPr>
          <w:p>
            <w:pPr>
              <w:pStyle w:val="TableContents"/>
              <w:bidi w:val="0"/>
              <w:spacing w:before="0" w:after="283"/>
              <w:jc w:val="left"/>
              <w:rPr/>
            </w:pPr>
            <w:r>
              <w:rPr/>
              <w:t> </w:t>
            </w:r>
          </w:p>
        </w:tc>
        <w:tc>
          <w:tcPr>
            <w:tcW w:w="1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2023</w:t>
            </w:r>
            <w:r>
              <w:rPr>
                <w:rFonts w:ascii="Times New Roman" w:hAnsi="Times New Roman"/>
                <w:b/>
                <w:color w:val="000000"/>
                <w:sz w:val="11"/>
              </w:rPr>
              <w:t>(2)</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(decrease) in net assets resulting from operations - basic</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w:t>
            </w:r>
          </w:p>
        </w:tc>
        <w:tc>
          <w:tcPr>
            <w:tcW w:w="19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7"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1,193</w:t>
            </w:r>
          </w:p>
        </w:tc>
        <w:tc>
          <w:tcPr>
            <w:tcW w:w="160"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2,590</w:t>
            </w:r>
          </w:p>
        </w:tc>
        <w:tc>
          <w:tcPr>
            <w:tcW w:w="195" w:type="dxa"/>
            <w:tcBorders/>
            <w:shd w:fill="CFF0FC" w:val="clear"/>
            <w:vAlign w:val="center"/>
          </w:tcPr>
          <w:p>
            <w:pPr>
              <w:pStyle w:val="TableContents"/>
              <w:bidi w:val="0"/>
              <w:spacing w:before="0" w:after="283"/>
              <w:jc w:val="left"/>
              <w:rPr/>
            </w:pPr>
            <w:r>
              <w:rPr/>
              <w:t> </w:t>
            </w:r>
          </w:p>
        </w:tc>
      </w:tr>
      <w:tr>
        <w:trPr/>
        <w:tc>
          <w:tcPr>
            <w:tcW w:w="430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common stock outstanding – basic</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2,676,018</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2,703,871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2,677,187</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2,707,399</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0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(decrease) in net assets per share from operations - basic</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(0.25</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7"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0.45</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0.96</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0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(decrease) in net assets resulting from operations - basic</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w:t>
            </w:r>
          </w:p>
        </w:tc>
        <w:tc>
          <w:tcPr>
            <w:tcW w:w="19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7"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1,193</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2,590</w:t>
            </w:r>
          </w:p>
        </w:tc>
        <w:tc>
          <w:tcPr>
            <w:tcW w:w="195" w:type="dxa"/>
            <w:tcBorders/>
            <w:shd w:fill="FFFFFF" w:val="clear"/>
            <w:vAlign w:val="center"/>
          </w:tcPr>
          <w:p>
            <w:pPr>
              <w:pStyle w:val="TableContents"/>
              <w:bidi w:val="0"/>
              <w:spacing w:before="0" w:after="283"/>
              <w:jc w:val="left"/>
              <w:rPr/>
            </w:pPr>
            <w:r>
              <w:rPr/>
              <w:t> </w:t>
            </w:r>
          </w:p>
        </w:tc>
      </w:tr>
      <w:tr>
        <w:trPr/>
        <w:tc>
          <w:tcPr>
            <w:tcW w:w="430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 for interest on the 2032 Convertible Notes and incentive fees, net</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0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Adjusted net increase (decrease) in net assets resulting from operations - diluted</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w:t>
            </w:r>
          </w:p>
        </w:tc>
        <w:tc>
          <w:tcPr>
            <w:tcW w:w="19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7"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1,193</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3,042</w:t>
            </w:r>
          </w:p>
        </w:tc>
        <w:tc>
          <w:tcPr>
            <w:tcW w:w="195" w:type="dxa"/>
            <w:tcBorders/>
            <w:shd w:fill="FFFFFF" w:val="clear"/>
            <w:vAlign w:val="center"/>
          </w:tcPr>
          <w:p>
            <w:pPr>
              <w:pStyle w:val="TableContents"/>
              <w:bidi w:val="0"/>
              <w:spacing w:before="0" w:after="283"/>
              <w:jc w:val="left"/>
              <w:rPr/>
            </w:pPr>
            <w:r>
              <w:rPr/>
              <w:t> </w:t>
            </w:r>
          </w:p>
        </w:tc>
      </w:tr>
      <w:tr>
        <w:trPr/>
        <w:tc>
          <w:tcPr>
            <w:tcW w:w="430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common stock outstanding – basic</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2,676,018</w:t>
            </w:r>
          </w:p>
        </w:tc>
        <w:tc>
          <w:tcPr>
            <w:tcW w:w="190"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2,703,871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2,677,187</w:t>
            </w:r>
          </w:p>
        </w:tc>
        <w:tc>
          <w:tcPr>
            <w:tcW w:w="160"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2,707,399</w:t>
            </w:r>
          </w:p>
        </w:tc>
        <w:tc>
          <w:tcPr>
            <w:tcW w:w="195" w:type="dxa"/>
            <w:tcBorders/>
            <w:shd w:fill="CFF0FC" w:val="clear"/>
            <w:vAlign w:val="center"/>
          </w:tcPr>
          <w:p>
            <w:pPr>
              <w:pStyle w:val="TableContents"/>
              <w:bidi w:val="0"/>
              <w:spacing w:before="0" w:after="283"/>
              <w:jc w:val="left"/>
              <w:rPr/>
            </w:pPr>
            <w:r>
              <w:rPr/>
              <w:t> </w:t>
            </w:r>
          </w:p>
        </w:tc>
      </w:tr>
      <w:tr>
        <w:trPr/>
        <w:tc>
          <w:tcPr>
            <w:tcW w:w="430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 for dilutive effect of the 2032 Convertible Notes</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539,503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539,503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0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Adjusted weighted average common stock outstanding - diluted</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2,676,018</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3,243,374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2,677,187</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3,246,902</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0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(decrease) in net assets per share resulting from operations - diluted</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(0.25</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7"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0.45</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top w:val="single" w:sz="6" w:space="1" w:color="000000"/>
        </w:pBdr>
        <w:bidi w:val="0"/>
        <w:spacing w:before="120" w:after="283"/>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In applying the if-converted method, conversion is not assumed for purposes of computing diluted earnings per share if the effect would be anti-dilutive. For the three and six months ended June 30, 2024, conversion of the 2032 Convertible Notes into 0.5 million shares was not assumed as the effect on diluted earnings per share would be anti-dilutive.</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jc w:val="both"/>
        <w:rPr>
          <w:rFonts w:ascii="Times New Roman" w:hAnsi="Times New Roman"/>
          <w:color w:val="000000"/>
          <w:sz w:val="16"/>
        </w:rPr>
      </w:pPr>
      <w:r>
        <w:rPr>
          <w:rFonts w:ascii="Times New Roman" w:hAnsi="Times New Roman"/>
          <w:color w:val="000000"/>
          <w:sz w:val="16"/>
        </w:rPr>
        <w:t>In applying the if-converted method, conversion is not assumed for purposes of computing diluted earnings per share if the effect would be anti-dilutive. For the three and six months ended June 30, 2023, conversion of the 2032 Convertible Notes into 0.5 million shares was assumed as the effect on diluted earnings per share would be dilutive.</w:t>
      </w:r>
    </w:p>
    <w:p>
      <w:pPr>
        <w:pStyle w:val="TextBody"/>
        <w:bidi w:val="0"/>
        <w:spacing w:before="120" w:after="120"/>
        <w:jc w:val="left"/>
        <w:rPr>
          <w:rFonts w:ascii="Times New Roman" w:hAnsi="Times New Roman"/>
          <w:b/>
          <w:color w:val="000000"/>
          <w:sz w:val="16"/>
        </w:rPr>
      </w:pPr>
      <w:r>
        <w:rPr>
          <w:rFonts w:ascii="Times New Roman" w:hAnsi="Times New Roman"/>
          <w:b/>
          <w:color w:val="000000"/>
          <w:sz w:val="16"/>
        </w:rPr>
        <w:t>Note 10. Distributions</w:t>
      </w:r>
    </w:p>
    <w:p>
      <w:pPr>
        <w:pStyle w:val="TextBody"/>
        <w:bidi w:val="0"/>
        <w:spacing w:before="0" w:after="120"/>
        <w:jc w:val="both"/>
        <w:rPr>
          <w:rFonts w:ascii="Times New Roman" w:hAnsi="Times New Roman"/>
          <w:sz w:val="20"/>
        </w:rPr>
      </w:pPr>
      <w:r>
        <w:rPr>
          <w:rFonts w:ascii="Times New Roman" w:hAnsi="Times New Roman"/>
          <w:color w:val="000000"/>
          <w:sz w:val="16"/>
        </w:rPr>
        <w:t>The Company’s distributions are recorded on the record date. Stockholders have the option to receive payment of the distribution in cash, shares of the Company’s common stock, or a combination of cash and shares of common stock. Tax characteristics of all distributions paid are reported to stockholders on Form 1099 after the end of the calendar year. Accordingly, distributions may be subject to reclassification based on future dividends and operating results and will not be determined until the end of the year.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June 30, 2024</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The following table summarizes the Company's distribution declarations for the six months ended June 30, 2024 (dollars in thousands, except share and per share data):</w:t>
      </w:r>
    </w:p>
    <w:tbl>
      <w:tblPr>
        <w:tblW w:w="8528" w:type="dxa"/>
        <w:jc w:val="left"/>
        <w:tblInd w:w="0" w:type="dxa"/>
        <w:tblLayout w:type="fixed"/>
        <w:tblCellMar>
          <w:top w:w="28" w:type="dxa"/>
          <w:left w:w="28" w:type="dxa"/>
          <w:bottom w:w="28" w:type="dxa"/>
          <w:right w:w="28" w:type="dxa"/>
        </w:tblCellMar>
      </w:tblPr>
      <w:tblGrid>
        <w:gridCol w:w="1246"/>
        <w:gridCol w:w="146"/>
        <w:gridCol w:w="1231"/>
        <w:gridCol w:w="146"/>
        <w:gridCol w:w="1141"/>
        <w:gridCol w:w="146"/>
        <w:gridCol w:w="261"/>
        <w:gridCol w:w="564"/>
        <w:gridCol w:w="146"/>
        <w:gridCol w:w="146"/>
        <w:gridCol w:w="382"/>
        <w:gridCol w:w="998"/>
        <w:gridCol w:w="146"/>
        <w:gridCol w:w="146"/>
        <w:gridCol w:w="175"/>
        <w:gridCol w:w="455"/>
        <w:gridCol w:w="146"/>
        <w:gridCol w:w="146"/>
        <w:gridCol w:w="206"/>
        <w:gridCol w:w="364"/>
        <w:gridCol w:w="191"/>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Date Declared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Amount </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Distribution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DRIP </w:t>
              <w:br/>
              <w:t xml:space="preserve">Shares </w:t>
              <w:br/>
              <w:t>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DRIP </w:t>
              <w:br/>
              <w:t xml:space="preserve">Share </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March 11, 2024</w:t>
            </w:r>
          </w:p>
        </w:tc>
        <w:tc>
          <w:tcPr>
            <w:tcW w:w="146"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March 25, 2024</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2, 2024</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4"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2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May 7, 2024</w:t>
            </w:r>
          </w:p>
        </w:tc>
        <w:tc>
          <w:tcPr>
            <w:tcW w:w="146"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May 21, 2024</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May 31, 2024</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0" w:type="dxa"/>
            <w:gridSpan w:val="5"/>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Distributions Declared and Distributed for 2024</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16"/>
        </w:rPr>
      </w:pPr>
      <w:r>
        <w:rPr>
          <w:rFonts w:ascii="Times New Roman" w:hAnsi="Times New Roman"/>
          <w:color w:val="000000"/>
          <w:sz w:val="16"/>
        </w:rPr>
        <w:t>The following table summarizes the Company's distribution declarations for the six months ended June 30, 2023 (dollars in thousands, except share and per share data):</w:t>
      </w:r>
    </w:p>
    <w:tbl>
      <w:tblPr>
        <w:tblW w:w="8528" w:type="dxa"/>
        <w:jc w:val="left"/>
        <w:tblInd w:w="0" w:type="dxa"/>
        <w:tblLayout w:type="fixed"/>
        <w:tblCellMar>
          <w:top w:w="28" w:type="dxa"/>
          <w:left w:w="28" w:type="dxa"/>
          <w:bottom w:w="28" w:type="dxa"/>
          <w:right w:w="28" w:type="dxa"/>
        </w:tblCellMar>
      </w:tblPr>
      <w:tblGrid>
        <w:gridCol w:w="1156"/>
        <w:gridCol w:w="146"/>
        <w:gridCol w:w="1231"/>
        <w:gridCol w:w="146"/>
        <w:gridCol w:w="1231"/>
        <w:gridCol w:w="146"/>
        <w:gridCol w:w="261"/>
        <w:gridCol w:w="564"/>
        <w:gridCol w:w="146"/>
        <w:gridCol w:w="146"/>
        <w:gridCol w:w="382"/>
        <w:gridCol w:w="998"/>
        <w:gridCol w:w="146"/>
        <w:gridCol w:w="146"/>
        <w:gridCol w:w="175"/>
        <w:gridCol w:w="455"/>
        <w:gridCol w:w="146"/>
        <w:gridCol w:w="146"/>
        <w:gridCol w:w="285"/>
        <w:gridCol w:w="285"/>
        <w:gridCol w:w="191"/>
      </w:tblGrid>
      <w:tr>
        <w:trPr/>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Date Declared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Amount </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Distribution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DRIP </w:t>
              <w:br/>
              <w:t xml:space="preserve">Shares </w:t>
              <w:br/>
              <w:t>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DRIP </w:t>
              <w:br/>
              <w:t xml:space="preserve">Share </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5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March 6, 2023</w:t>
            </w:r>
          </w:p>
        </w:tc>
        <w:tc>
          <w:tcPr>
            <w:tcW w:w="146"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March 20, 2023</w:t>
            </w:r>
          </w:p>
        </w:tc>
        <w:tc>
          <w:tcPr>
            <w:tcW w:w="146"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March 31, 2023</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91" w:type="dxa"/>
            <w:tcBorders/>
            <w:shd w:fill="CFF0FC" w:val="clear"/>
            <w:vAlign w:val="center"/>
          </w:tcPr>
          <w:p>
            <w:pPr>
              <w:pStyle w:val="TableContents"/>
              <w:bidi w:val="0"/>
              <w:spacing w:before="0" w:after="283"/>
              <w:jc w:val="left"/>
              <w:rPr/>
            </w:pPr>
            <w:r>
              <w:rPr/>
              <w:t> </w:t>
            </w:r>
          </w:p>
        </w:tc>
      </w:tr>
      <w:tr>
        <w:trPr/>
        <w:tc>
          <w:tcPr>
            <w:tcW w:w="115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May 9, 2023</w:t>
            </w:r>
          </w:p>
        </w:tc>
        <w:tc>
          <w:tcPr>
            <w:tcW w:w="146"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May 22, 2023</w:t>
            </w:r>
          </w:p>
        </w:tc>
        <w:tc>
          <w:tcPr>
            <w:tcW w:w="146"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May 31, 2023</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0" w:type="dxa"/>
            <w:gridSpan w:val="5"/>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Distributions Declared and Distributed for 2023</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June 30, 2024</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spacing w:before="240" w:after="120"/>
        <w:jc w:val="left"/>
        <w:rPr>
          <w:rFonts w:ascii="Times New Roman" w:hAnsi="Times New Roman"/>
          <w:sz w:val="20"/>
        </w:rPr>
      </w:pPr>
      <w:r>
        <w:rPr>
          <w:rFonts w:ascii="Times New Roman" w:hAnsi="Times New Roman"/>
          <w:b/>
          <w:color w:val="000000"/>
          <w:sz w:val="16"/>
        </w:rPr>
        <w:t>Note 11. Financial Highlights</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color w:val="000000"/>
          <w:sz w:val="16"/>
        </w:rPr>
        <w:t>The following is a schedule of financial highlights for the six months ended June 30, 2024 and 2023 (dollars in thousands, except share and per share data):</w:t>
      </w:r>
      <w:r>
        <w:rPr>
          <w:rFonts w:ascii="Times New Roman" w:hAnsi="Times New Roman"/>
          <w:color w:val="000000"/>
          <w:sz w:val="20"/>
        </w:rPr>
        <w:t xml:space="preserve"> </w:t>
      </w:r>
    </w:p>
    <w:tbl>
      <w:tblPr>
        <w:tblW w:w="9372" w:type="dxa"/>
        <w:jc w:val="left"/>
        <w:tblInd w:w="0" w:type="dxa"/>
        <w:tblLayout w:type="fixed"/>
        <w:tblCellMar>
          <w:top w:w="28" w:type="dxa"/>
          <w:left w:w="28" w:type="dxa"/>
          <w:bottom w:w="28" w:type="dxa"/>
          <w:right w:w="28" w:type="dxa"/>
        </w:tblCellMar>
      </w:tblPr>
      <w:tblGrid>
        <w:gridCol w:w="6226"/>
        <w:gridCol w:w="146"/>
        <w:gridCol w:w="214"/>
        <w:gridCol w:w="902"/>
        <w:gridCol w:w="263"/>
        <w:gridCol w:w="159"/>
        <w:gridCol w:w="214"/>
        <w:gridCol w:w="902"/>
        <w:gridCol w:w="346"/>
      </w:tblGrid>
      <w:tr>
        <w:trPr/>
        <w:tc>
          <w:tcPr>
            <w:tcW w:w="6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62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54"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346" w:type="dxa"/>
            <w:tcBorders/>
            <w:shd w:fill="FFFFFF" w:val="clear"/>
            <w:vAlign w:val="center"/>
          </w:tcPr>
          <w:p>
            <w:pPr>
              <w:pStyle w:val="TableContents"/>
              <w:bidi w:val="0"/>
              <w:spacing w:before="0" w:after="283"/>
              <w:jc w:val="center"/>
              <w:rPr/>
            </w:pPr>
            <w:r>
              <w:rPr/>
              <w:t> </w:t>
            </w:r>
          </w:p>
        </w:tc>
      </w:tr>
      <w:tr>
        <w:trPr/>
        <w:tc>
          <w:tcPr>
            <w:tcW w:w="62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jc w:val="center"/>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2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 share data:</w:t>
            </w:r>
          </w:p>
        </w:tc>
        <w:tc>
          <w:tcPr>
            <w:tcW w:w="146" w:type="dxa"/>
            <w:tcBorders/>
            <w:shd w:fill="CFF0FC" w:val="clear"/>
            <w:vAlign w:val="center"/>
          </w:tcPr>
          <w:p>
            <w:pPr>
              <w:pStyle w:val="TableContents"/>
              <w:bidi w:val="0"/>
              <w:spacing w:before="0" w:after="283"/>
              <w:jc w:val="left"/>
              <w:rPr/>
            </w:pPr>
            <w:r>
              <w:rPr/>
              <w:t> </w:t>
            </w:r>
          </w:p>
        </w:tc>
        <w:tc>
          <w:tcPr>
            <w:tcW w:w="1116" w:type="dxa"/>
            <w:gridSpan w:val="2"/>
            <w:tcBorders/>
            <w:shd w:fill="CFF0FC" w:val="clear"/>
            <w:vAlign w:val="center"/>
          </w:tcPr>
          <w:p>
            <w:pPr>
              <w:pStyle w:val="TableContents"/>
              <w:bidi w:val="0"/>
              <w:spacing w:before="0" w:after="283"/>
              <w:jc w:val="right"/>
              <w:rPr/>
            </w:pPr>
            <w:r>
              <w:rPr/>
              <w:t> </w:t>
            </w:r>
          </w:p>
        </w:tc>
        <w:tc>
          <w:tcPr>
            <w:tcW w:w="263"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1116" w:type="dxa"/>
            <w:gridSpan w:val="2"/>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right"/>
              <w:rPr/>
            </w:pPr>
            <w:r>
              <w:rPr/>
              <w:t> </w:t>
            </w:r>
          </w:p>
        </w:tc>
      </w:tr>
      <w:tr>
        <w:trPr/>
        <w:tc>
          <w:tcPr>
            <w:tcW w:w="62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asset value at beginning of period</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33.34</w:t>
            </w:r>
          </w:p>
        </w:tc>
        <w:tc>
          <w:tcPr>
            <w:tcW w:w="263"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35.04</w:t>
            </w:r>
          </w:p>
        </w:tc>
        <w:tc>
          <w:tcPr>
            <w:tcW w:w="346" w:type="dxa"/>
            <w:tcBorders/>
            <w:shd w:fill="FFFFFF" w:val="clear"/>
            <w:vAlign w:val="center"/>
          </w:tcPr>
          <w:p>
            <w:pPr>
              <w:pStyle w:val="TableContents"/>
              <w:bidi w:val="0"/>
              <w:spacing w:before="0" w:after="283"/>
              <w:jc w:val="left"/>
              <w:rPr/>
            </w:pPr>
            <w:r>
              <w:rPr/>
              <w:t> </w:t>
            </w:r>
          </w:p>
        </w:tc>
      </w:tr>
      <w:tr>
        <w:trPr/>
        <w:tc>
          <w:tcPr>
            <w:tcW w:w="6226"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Net investment income</w:t>
            </w:r>
            <w:r>
              <w:rPr>
                <w:rFonts w:ascii="Times New Roman" w:hAnsi="Times New Roman"/>
                <w:color w:val="000000"/>
                <w:sz w:val="11"/>
              </w:rPr>
              <w:t>(1)</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0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0.63</w:t>
            </w:r>
          </w:p>
        </w:tc>
        <w:tc>
          <w:tcPr>
            <w:tcW w:w="263"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0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0.78</w:t>
            </w:r>
          </w:p>
        </w:tc>
        <w:tc>
          <w:tcPr>
            <w:tcW w:w="346" w:type="dxa"/>
            <w:tcBorders/>
            <w:shd w:fill="CFF0FC" w:val="clear"/>
            <w:vAlign w:val="center"/>
          </w:tcPr>
          <w:p>
            <w:pPr>
              <w:pStyle w:val="TableContents"/>
              <w:bidi w:val="0"/>
              <w:spacing w:before="0" w:after="283"/>
              <w:jc w:val="left"/>
              <w:rPr/>
            </w:pPr>
            <w:r>
              <w:rPr/>
              <w:t> </w:t>
            </w:r>
          </w:p>
        </w:tc>
      </w:tr>
      <w:tr>
        <w:trPr/>
        <w:tc>
          <w:tcPr>
            <w:tcW w:w="6226"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Net realized gain (loss) on investments</w:t>
            </w:r>
            <w:r>
              <w:rPr>
                <w:rFonts w:ascii="Times New Roman" w:hAnsi="Times New Roman"/>
                <w:color w:val="000000"/>
                <w:sz w:val="11"/>
              </w:rPr>
              <w:t>(1)</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0.04</w:t>
            </w:r>
          </w:p>
        </w:tc>
        <w:tc>
          <w:tcPr>
            <w:tcW w:w="263"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w:t>
            </w:r>
          </w:p>
        </w:tc>
        <w:tc>
          <w:tcPr>
            <w:tcW w:w="3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226"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Net change in unrealized (depreciation) on investments</w:t>
            </w:r>
            <w:r>
              <w:rPr>
                <w:rFonts w:ascii="Times New Roman" w:hAnsi="Times New Roman"/>
                <w:color w:val="000000"/>
                <w:sz w:val="11"/>
              </w:rPr>
              <w:t>(1)</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0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(0.16</w:t>
            </w:r>
          </w:p>
        </w:tc>
        <w:tc>
          <w:tcPr>
            <w:tcW w:w="26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0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w:t>
            </w:r>
          </w:p>
        </w:tc>
        <w:tc>
          <w:tcPr>
            <w:tcW w:w="346" w:type="dxa"/>
            <w:tcBorders/>
            <w:shd w:fill="CFF0FC" w:val="clear"/>
            <w:vAlign w:val="center"/>
          </w:tcPr>
          <w:p>
            <w:pPr>
              <w:pStyle w:val="TableContents"/>
              <w:bidi w:val="0"/>
              <w:spacing w:before="0" w:after="283"/>
              <w:jc w:val="left"/>
              <w:rPr/>
            </w:pPr>
            <w:r>
              <w:rPr/>
              <w:t> </w:t>
            </w:r>
          </w:p>
        </w:tc>
      </w:tr>
      <w:tr>
        <w:trPr/>
        <w:tc>
          <w:tcPr>
            <w:tcW w:w="6226"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Net realized (loss) on extinguishment of debt</w:t>
            </w:r>
            <w:r>
              <w:rPr>
                <w:rFonts w:ascii="Times New Roman" w:hAnsi="Times New Roman"/>
                <w:color w:val="000000"/>
                <w:sz w:val="11"/>
              </w:rPr>
              <w:t>(1)</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(0.07</w:t>
            </w:r>
          </w:p>
        </w:tc>
        <w:tc>
          <w:tcPr>
            <w:tcW w:w="26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color w:val="000000"/>
              </w:rPr>
            </w:pPr>
            <w:r>
              <w:rPr>
                <w:color w:val="000000"/>
              </w:rPr>
              <w:t>—</w:t>
            </w:r>
          </w:p>
        </w:tc>
        <w:tc>
          <w:tcPr>
            <w:tcW w:w="346" w:type="dxa"/>
            <w:tcBorders/>
            <w:shd w:fill="FFFFFF" w:val="clear"/>
            <w:vAlign w:val="center"/>
          </w:tcPr>
          <w:p>
            <w:pPr>
              <w:pStyle w:val="TableContents"/>
              <w:bidi w:val="0"/>
              <w:spacing w:before="0" w:after="283"/>
              <w:jc w:val="left"/>
              <w:rPr/>
            </w:pPr>
            <w:r>
              <w:rPr/>
              <w:t> </w:t>
            </w:r>
          </w:p>
        </w:tc>
      </w:tr>
      <w:tr>
        <w:trPr/>
        <w:tc>
          <w:tcPr>
            <w:tcW w:w="6226"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Dilutive effect of common stock issuance</w:t>
            </w:r>
            <w:r>
              <w:rPr>
                <w:rFonts w:ascii="Times New Roman" w:hAnsi="Times New Roman"/>
                <w:color w:val="000000"/>
                <w:sz w:val="11"/>
              </w:rPr>
              <w:t>(1)</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0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(0.08</w:t>
            </w:r>
          </w:p>
        </w:tc>
        <w:tc>
          <w:tcPr>
            <w:tcW w:w="26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02" w:type="dxa"/>
            <w:tcBorders/>
            <w:shd w:fill="CFF0FC" w:val="clear"/>
            <w:vAlign w:val="center"/>
          </w:tcPr>
          <w:p>
            <w:pPr>
              <w:pStyle w:val="TableContents"/>
              <w:bidi w:val="0"/>
              <w:spacing w:before="0" w:after="283"/>
              <w:jc w:val="right"/>
              <w:rPr>
                <w:color w:val="000000"/>
              </w:rPr>
            </w:pPr>
            <w:r>
              <w:rPr>
                <w:color w:val="000000"/>
              </w:rPr>
              <w:t>—</w:t>
            </w:r>
          </w:p>
        </w:tc>
        <w:tc>
          <w:tcPr>
            <w:tcW w:w="346" w:type="dxa"/>
            <w:tcBorders/>
            <w:shd w:fill="CFF0FC" w:val="clear"/>
            <w:vAlign w:val="center"/>
          </w:tcPr>
          <w:p>
            <w:pPr>
              <w:pStyle w:val="TableContents"/>
              <w:bidi w:val="0"/>
              <w:spacing w:before="0" w:after="283"/>
              <w:jc w:val="left"/>
              <w:rPr/>
            </w:pPr>
            <w:r>
              <w:rPr/>
              <w:t> </w:t>
            </w:r>
          </w:p>
        </w:tc>
      </w:tr>
      <w:tr>
        <w:trPr/>
        <w:tc>
          <w:tcPr>
            <w:tcW w:w="62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Distributions - net investment income</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(0.65</w:t>
            </w:r>
          </w:p>
        </w:tc>
        <w:tc>
          <w:tcPr>
            <w:tcW w:w="26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(0.40</w:t>
            </w:r>
          </w:p>
        </w:tc>
        <w:tc>
          <w:tcPr>
            <w:tcW w:w="3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226"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Accretive effect of common stock repurchases</w:t>
            </w:r>
            <w:r>
              <w:rPr>
                <w:rFonts w:ascii="Times New Roman" w:hAnsi="Times New Roman"/>
                <w:color w:val="000000"/>
                <w:sz w:val="11"/>
              </w:rPr>
              <w:t>(1)</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0.08</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0.08</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asset value at end of year</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33.13</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35.68</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assets at end of period</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88,661</w:t>
            </w:r>
          </w:p>
        </w:tc>
        <w:tc>
          <w:tcPr>
            <w:tcW w:w="263"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96,226</w:t>
            </w:r>
          </w:p>
        </w:tc>
        <w:tc>
          <w:tcPr>
            <w:tcW w:w="346" w:type="dxa"/>
            <w:tcBorders/>
            <w:shd w:fill="CFF0FC" w:val="clear"/>
            <w:vAlign w:val="center"/>
          </w:tcPr>
          <w:p>
            <w:pPr>
              <w:pStyle w:val="TableContents"/>
              <w:bidi w:val="0"/>
              <w:spacing w:before="0" w:after="283"/>
              <w:jc w:val="left"/>
              <w:rPr/>
            </w:pPr>
            <w:r>
              <w:rPr/>
              <w:t> </w:t>
            </w:r>
          </w:p>
        </w:tc>
      </w:tr>
      <w:tr>
        <w:trPr/>
        <w:tc>
          <w:tcPr>
            <w:tcW w:w="62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outstanding at end of period</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2,676,062</w:t>
            </w:r>
          </w:p>
        </w:tc>
        <w:tc>
          <w:tcPr>
            <w:tcW w:w="263"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2,697,143</w:t>
            </w:r>
          </w:p>
        </w:tc>
        <w:tc>
          <w:tcPr>
            <w:tcW w:w="346" w:type="dxa"/>
            <w:tcBorders/>
            <w:shd w:fill="FFFFFF" w:val="clear"/>
            <w:vAlign w:val="center"/>
          </w:tcPr>
          <w:p>
            <w:pPr>
              <w:pStyle w:val="TableContents"/>
              <w:bidi w:val="0"/>
              <w:spacing w:before="0" w:after="283"/>
              <w:jc w:val="left"/>
              <w:rPr/>
            </w:pPr>
            <w:r>
              <w:rPr/>
              <w:t> </w:t>
            </w:r>
          </w:p>
        </w:tc>
      </w:tr>
      <w:tr>
        <w:trPr/>
        <w:tc>
          <w:tcPr>
            <w:tcW w:w="62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Per share market value at end of period</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22.40</w:t>
            </w:r>
          </w:p>
        </w:tc>
        <w:tc>
          <w:tcPr>
            <w:tcW w:w="263"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20.71</w:t>
            </w:r>
          </w:p>
        </w:tc>
        <w:tc>
          <w:tcPr>
            <w:tcW w:w="346" w:type="dxa"/>
            <w:tcBorders/>
            <w:shd w:fill="CFF0FC" w:val="clear"/>
            <w:vAlign w:val="center"/>
          </w:tcPr>
          <w:p>
            <w:pPr>
              <w:pStyle w:val="TableContents"/>
              <w:bidi w:val="0"/>
              <w:spacing w:before="0" w:after="283"/>
              <w:jc w:val="left"/>
              <w:rPr/>
            </w:pPr>
            <w:r>
              <w:rPr/>
              <w:t> </w:t>
            </w:r>
          </w:p>
        </w:tc>
      </w:tr>
      <w:tr>
        <w:trPr/>
        <w:tc>
          <w:tcPr>
            <w:tcW w:w="6226"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Total return based on market value</w:t>
            </w:r>
            <w:r>
              <w:rPr>
                <w:rFonts w:ascii="Times New Roman" w:hAnsi="Times New Roman"/>
                <w:color w:val="000000"/>
                <w:sz w:val="11"/>
              </w:rPr>
              <w:t>(2)</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w:t>
            </w:r>
          </w:p>
        </w:tc>
        <w:tc>
          <w:tcPr>
            <w:tcW w:w="26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w:t>
            </w:r>
          </w:p>
        </w:tc>
        <w:tc>
          <w:tcPr>
            <w:tcW w:w="3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22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Ratio/Supplemental data:</w:t>
            </w:r>
          </w:p>
        </w:tc>
        <w:tc>
          <w:tcPr>
            <w:tcW w:w="146" w:type="dxa"/>
            <w:tcBorders/>
            <w:shd w:fill="CFF0FC" w:val="clear"/>
            <w:vAlign w:val="center"/>
          </w:tcPr>
          <w:p>
            <w:pPr>
              <w:pStyle w:val="TableContents"/>
              <w:bidi w:val="0"/>
              <w:spacing w:before="0" w:after="283"/>
              <w:jc w:val="left"/>
              <w:rPr/>
            </w:pPr>
            <w:r>
              <w:rPr/>
              <w:t> </w:t>
            </w:r>
          </w:p>
        </w:tc>
        <w:tc>
          <w:tcPr>
            <w:tcW w:w="1116" w:type="dxa"/>
            <w:gridSpan w:val="2"/>
            <w:tcBorders/>
            <w:shd w:fill="CFF0FC" w:val="clear"/>
            <w:vAlign w:val="center"/>
          </w:tcPr>
          <w:p>
            <w:pPr>
              <w:pStyle w:val="TableContents"/>
              <w:bidi w:val="0"/>
              <w:spacing w:before="0" w:after="283"/>
              <w:jc w:val="right"/>
              <w:rPr/>
            </w:pPr>
            <w:r>
              <w:rPr/>
              <w:t> </w:t>
            </w:r>
          </w:p>
        </w:tc>
        <w:tc>
          <w:tcPr>
            <w:tcW w:w="263"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1116" w:type="dxa"/>
            <w:gridSpan w:val="2"/>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right"/>
              <w:rPr/>
            </w:pPr>
            <w:r>
              <w:rPr/>
              <w:t> </w:t>
            </w:r>
          </w:p>
        </w:tc>
      </w:tr>
      <w:tr>
        <w:trPr/>
        <w:tc>
          <w:tcPr>
            <w:tcW w:w="62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Ratio of net investment income (loss) to average net assets</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w:t>
            </w:r>
          </w:p>
        </w:tc>
        <w:tc>
          <w:tcPr>
            <w:tcW w:w="26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w:t>
            </w:r>
          </w:p>
        </w:tc>
        <w:tc>
          <w:tcPr>
            <w:tcW w:w="3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2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Ratio of interest and financing expenses to average net assets</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0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9.65</w:t>
            </w:r>
          </w:p>
        </w:tc>
        <w:tc>
          <w:tcPr>
            <w:tcW w:w="26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0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9.14</w:t>
            </w:r>
          </w:p>
        </w:tc>
        <w:tc>
          <w:tcPr>
            <w:tcW w:w="3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2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Ratio of other operating expenses to average net assets</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9.77</w:t>
            </w:r>
          </w:p>
        </w:tc>
        <w:tc>
          <w:tcPr>
            <w:tcW w:w="26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8.88</w:t>
            </w:r>
          </w:p>
        </w:tc>
        <w:tc>
          <w:tcPr>
            <w:tcW w:w="3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226"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Ratio of total expenses including tax provision, net of fee waivers to average net assets</w:t>
            </w:r>
            <w:r>
              <w:rPr>
                <w:rFonts w:ascii="Times New Roman" w:hAnsi="Times New Roman"/>
                <w:color w:val="000000"/>
                <w:sz w:val="11"/>
              </w:rPr>
              <w:t>(3)</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0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19.42</w:t>
            </w:r>
          </w:p>
        </w:tc>
        <w:tc>
          <w:tcPr>
            <w:tcW w:w="26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0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18.02</w:t>
            </w:r>
          </w:p>
        </w:tc>
        <w:tc>
          <w:tcPr>
            <w:tcW w:w="3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226"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Portfolio turnover rate</w:t>
            </w:r>
            <w:r>
              <w:rPr>
                <w:rFonts w:ascii="Times New Roman" w:hAnsi="Times New Roman"/>
                <w:color w:val="000000"/>
                <w:sz w:val="11"/>
              </w:rPr>
              <w:t>(4)</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w:t>
            </w:r>
          </w:p>
        </w:tc>
        <w:tc>
          <w:tcPr>
            <w:tcW w:w="26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w:t>
            </w:r>
          </w:p>
        </w:tc>
        <w:tc>
          <w:tcPr>
            <w:tcW w:w="3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226"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Average debt outstanding</w:t>
            </w:r>
            <w:r>
              <w:rPr>
                <w:rFonts w:ascii="Times New Roman" w:hAnsi="Times New Roman"/>
                <w:color w:val="000000"/>
                <w:sz w:val="11"/>
              </w:rPr>
              <w:t>(5)</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111,847</w:t>
            </w:r>
          </w:p>
        </w:tc>
        <w:tc>
          <w:tcPr>
            <w:tcW w:w="263"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120,438</w:t>
            </w:r>
          </w:p>
        </w:tc>
        <w:tc>
          <w:tcPr>
            <w:tcW w:w="346" w:type="dxa"/>
            <w:tcBorders/>
            <w:shd w:fill="CFF0FC" w:val="clear"/>
            <w:vAlign w:val="center"/>
          </w:tcPr>
          <w:p>
            <w:pPr>
              <w:pStyle w:val="TableContents"/>
              <w:bidi w:val="0"/>
              <w:spacing w:before="0" w:after="283"/>
              <w:jc w:val="left"/>
              <w:rPr/>
            </w:pPr>
            <w:r>
              <w:rPr/>
              <w:t> </w:t>
            </w:r>
          </w:p>
        </w:tc>
      </w:tr>
      <w:tr>
        <w:trPr/>
        <w:tc>
          <w:tcPr>
            <w:tcW w:w="6226"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Average debt outstanding per common share</w:t>
            </w:r>
            <w:r>
              <w:rPr>
                <w:rFonts w:ascii="Times New Roman" w:hAnsi="Times New Roman"/>
                <w:color w:val="000000"/>
                <w:sz w:val="11"/>
              </w:rPr>
              <w:t>(1)</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41.78</w:t>
            </w:r>
          </w:p>
        </w:tc>
        <w:tc>
          <w:tcPr>
            <w:tcW w:w="263"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44.48</w:t>
            </w:r>
          </w:p>
        </w:tc>
        <w:tc>
          <w:tcPr>
            <w:tcW w:w="346" w:type="dxa"/>
            <w:tcBorders/>
            <w:shd w:fill="FFFFFF" w:val="clear"/>
            <w:vAlign w:val="center"/>
          </w:tcPr>
          <w:p>
            <w:pPr>
              <w:pStyle w:val="TableContents"/>
              <w:bidi w:val="0"/>
              <w:spacing w:before="0" w:after="283"/>
              <w:jc w:val="left"/>
              <w:rPr/>
            </w:pPr>
            <w:r>
              <w:rPr/>
              <w:t> </w:t>
            </w:r>
          </w:p>
        </w:tc>
      </w:tr>
      <w:tr>
        <w:trPr/>
        <w:tc>
          <w:tcPr>
            <w:tcW w:w="6226"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Asset coverage ratio per unit</w:t>
            </w:r>
            <w:r>
              <w:rPr>
                <w:rFonts w:ascii="Times New Roman" w:hAnsi="Times New Roman"/>
                <w:color w:val="000000"/>
                <w:sz w:val="11"/>
              </w:rPr>
              <w:t>(6)</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1,761</w:t>
            </w:r>
          </w:p>
        </w:tc>
        <w:tc>
          <w:tcPr>
            <w:tcW w:w="263"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1,779</w:t>
            </w:r>
          </w:p>
        </w:tc>
        <w:tc>
          <w:tcPr>
            <w:tcW w:w="346" w:type="dxa"/>
            <w:tcBorders/>
            <w:shd w:fill="CFF0FC" w:val="clear"/>
            <w:vAlign w:val="center"/>
          </w:tcPr>
          <w:p>
            <w:pPr>
              <w:pStyle w:val="TableContents"/>
              <w:bidi w:val="0"/>
              <w:spacing w:before="0" w:after="283"/>
              <w:jc w:val="left"/>
              <w:rPr/>
            </w:pPr>
            <w:r>
              <w:rPr/>
              <w:t> </w:t>
            </w:r>
          </w:p>
        </w:tc>
      </w:tr>
    </w:tbl>
    <w:p>
      <w:pPr>
        <w:pStyle w:val="TextBody"/>
        <w:pBdr>
          <w:bottom w:val="single" w:sz="6" w:space="1" w:color="000000"/>
        </w:pBdr>
        <w:bidi w:val="0"/>
        <w:spacing w:before="0" w:after="120"/>
        <w:jc w:val="both"/>
        <w:rPr/>
      </w:pPr>
      <w:r>
        <w:rPr/>
        <w:t> </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(1)</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Based on daily weighted average balance of shares of the Company’s common stock outstanding during the period.</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(2)</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Total investment return is calculated assuming a purchase of shares of the Company's common stock at the current market value on the first day and a sale at the current market value on the last day of the period reported. Dividends and distributions, if any, are assumed for purposes of this calculation to be reinvested at prices obtained under the Company’s DRIP. Total investment return does not reflect brokerage commissions. Total investment returns covering less than a full period are not annualized.</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(3)</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Ratio is annualized.</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(4)</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Portfolio turnover rate is calculated using the lesser of year-to-date sales or year-to-date purchases over the average of the invested assets at fair value. Portfolio turnover rates that cover less than a full period are not annualized.</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(5)</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Based on the daily weighted average balance of debt outstanding during the period.</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(6)</w:t>
      </w:r>
    </w:p>
    <w:p>
      <w:pPr>
        <w:pStyle w:val="TextBody"/>
        <w:bidi w:val="0"/>
        <w:jc w:val="both"/>
        <w:rPr>
          <w:rFonts w:ascii="Times New Roman" w:hAnsi="Times New Roman"/>
          <w:sz w:val="16"/>
        </w:rPr>
      </w:pPr>
      <w:r>
        <w:rPr>
          <w:rFonts w:ascii="Times New Roman" w:hAnsi="Times New Roman"/>
          <w:color w:val="000000"/>
          <w:sz w:val="14"/>
        </w:rPr>
        <w:t>Asset coverage per unit is the ratio of the carrying value of our total consolidated assets, less all liabilities and indebtedness not represented by senior securities, to the aggregate amount of senior securities representing indebtedness. Asset coverage per unit is expressed in terms of dollar amounts per $1,000</w:t>
      </w:r>
      <w:r>
        <w:rPr>
          <w:rFonts w:ascii="Times New Roman" w:hAnsi="Times New Roman"/>
          <w:color w:val="000000"/>
          <w:sz w:val="16"/>
        </w:rPr>
        <w:t xml:space="preserve"> </w:t>
      </w:r>
      <w:r>
        <w:rPr>
          <w:rFonts w:ascii="Times New Roman" w:hAnsi="Times New Roman"/>
          <w:color w:val="000000"/>
          <w:sz w:val="14"/>
        </w:rPr>
        <w:t>of indebtedness.</w:t>
      </w:r>
    </w:p>
    <w:p>
      <w:pPr>
        <w:pStyle w:val="TextBody"/>
        <w:bidi w:val="0"/>
        <w:jc w:val="both"/>
        <w:rPr/>
      </w:pPr>
      <w:r>
        <w:rPr/>
        <w:t> </w:t>
      </w:r>
    </w:p>
    <w:p>
      <w:pPr>
        <w:pStyle w:val="TextBody"/>
        <w:bidi w:val="0"/>
        <w:spacing w:before="80" w:after="120"/>
        <w:jc w:val="both"/>
        <w:rPr>
          <w:rFonts w:ascii="Times New Roman" w:hAnsi="Times New Roman"/>
          <w:b/>
          <w:color w:val="000000"/>
          <w:sz w:val="16"/>
        </w:rPr>
      </w:pPr>
      <w:r>
        <w:rPr>
          <w:rFonts w:ascii="Times New Roman" w:hAnsi="Times New Roman"/>
          <w:b/>
          <w:color w:val="000000"/>
          <w:sz w:val="16"/>
        </w:rPr>
        <w:t>Note 12. Subsequent Events</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Management has evaluated subsequent events through the date of issuance of the consolidated financial statements included herein. There have been no subsequent events that occurred during such period that would be required to be recognized in the consolidated financial statements as of June 30, 2024, other than as set forth below.</w:t>
      </w:r>
    </w:p>
    <w:p>
      <w:pPr>
        <w:pStyle w:val="TextBody"/>
        <w:bidi w:val="0"/>
        <w:spacing w:before="120" w:after="120"/>
        <w:jc w:val="both"/>
        <w:rPr>
          <w:rFonts w:ascii="Times New Roman" w:hAnsi="Times New Roman"/>
          <w:sz w:val="20"/>
        </w:rPr>
      </w:pPr>
      <w:r>
        <w:rPr>
          <w:rFonts w:ascii="Times New Roman" w:hAnsi="Times New Roman"/>
          <w:color w:val="000000"/>
          <w:sz w:val="16"/>
        </w:rPr>
        <w:t>On August 7, 2024, the Company’s Board of Directors approved a distribution of $0.33</w:t>
      </w:r>
      <w:r>
        <w:rPr>
          <w:rFonts w:ascii="Times New Roman" w:hAnsi="Times New Roman"/>
          <w:color w:val="000000"/>
          <w:sz w:val="20"/>
        </w:rPr>
        <w:t xml:space="preserve"> </w:t>
      </w:r>
      <w:r>
        <w:rPr>
          <w:rFonts w:ascii="Times New Roman" w:hAnsi="Times New Roman"/>
          <w:color w:val="000000"/>
          <w:sz w:val="16"/>
        </w:rPr>
        <w:t>per share, payable on August 30, 2024</w:t>
      </w:r>
      <w:r>
        <w:rPr>
          <w:rFonts w:ascii="Times New Roman" w:hAnsi="Times New Roman"/>
          <w:color w:val="000000"/>
          <w:sz w:val="20"/>
        </w:rPr>
        <w:t xml:space="preserve"> </w:t>
      </w:r>
      <w:r>
        <w:rPr>
          <w:rFonts w:ascii="Times New Roman" w:hAnsi="Times New Roman"/>
          <w:color w:val="000000"/>
          <w:sz w:val="16"/>
        </w:rPr>
        <w:t>to stockholders of record as of August 22, 2024.</w:t>
      </w:r>
    </w:p>
    <w:p>
      <w:pPr>
        <w:pStyle w:val="TextBody"/>
        <w:bidi w:val="0"/>
        <w:spacing w:before="120" w:after="12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sz w:val="20"/>
        </w:rPr>
      </w:pPr>
      <w:bookmarkStart w:id="10" w:name="item_2_management_discussion"/>
      <w:bookmarkEnd w:id="10"/>
      <w:r>
        <w:rPr>
          <w:rFonts w:ascii="Times New Roman" w:hAnsi="Times New Roman"/>
          <w:b/>
          <w:color w:val="000000"/>
          <w:sz w:val="16"/>
        </w:rPr>
        <w:t>Item 2. Management’s Discussion and Analysis</w:t>
      </w:r>
      <w:r>
        <w:rPr>
          <w:rFonts w:ascii="Times New Roman" w:hAnsi="Times New Roman"/>
          <w:color w:val="000000"/>
          <w:sz w:val="20"/>
        </w:rPr>
        <w:t xml:space="preserve"> </w:t>
      </w:r>
      <w:r>
        <w:rPr>
          <w:rFonts w:ascii="Times New Roman" w:hAnsi="Times New Roman"/>
          <w:b/>
          <w:color w:val="000000"/>
          <w:sz w:val="16"/>
        </w:rPr>
        <w:t>of Financial Condition and Results of Operations</w:t>
      </w:r>
    </w:p>
    <w:p>
      <w:pPr>
        <w:pStyle w:val="TextBody"/>
        <w:bidi w:val="0"/>
        <w:jc w:val="both"/>
        <w:rPr>
          <w:rFonts w:ascii="Times New Roman" w:hAnsi="Times New Roman"/>
          <w:color w:val="000000"/>
          <w:sz w:val="16"/>
        </w:rPr>
      </w:pPr>
      <w:r>
        <w:rPr>
          <w:rFonts w:ascii="Times New Roman" w:hAnsi="Times New Roman"/>
          <w:color w:val="000000"/>
          <w:sz w:val="16"/>
        </w:rPr>
        <w:t>The information contained in this section should be read in conjunction with our consolidated financial statements and related notes thereto appearing elsewhere in this Quarterly Report on Form 10-Q.</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Except as otherwise indicated, the terms “we”, “us”, “our”, the “Company”, “Logan Ridge” and “LRFC” refer to Logan Ridge Finance Corporation.</w:t>
      </w:r>
    </w:p>
    <w:p>
      <w:pPr>
        <w:pStyle w:val="TextBody"/>
        <w:bidi w:val="0"/>
        <w:spacing w:before="0" w:after="120"/>
        <w:jc w:val="both"/>
        <w:rPr>
          <w:rFonts w:ascii="Times New Roman" w:hAnsi="Times New Roman"/>
          <w:b/>
          <w:color w:val="000000"/>
          <w:sz w:val="16"/>
        </w:rPr>
      </w:pPr>
      <w:r>
        <w:rPr>
          <w:rFonts w:ascii="Times New Roman" w:hAnsi="Times New Roman"/>
          <w:b/>
          <w:color w:val="000000"/>
          <w:sz w:val="16"/>
        </w:rPr>
        <w:t>Forward-Looking Statements</w:t>
      </w:r>
    </w:p>
    <w:p>
      <w:pPr>
        <w:pStyle w:val="TextBody"/>
        <w:bidi w:val="0"/>
        <w:jc w:val="both"/>
        <w:rPr>
          <w:rFonts w:ascii="Times New Roman" w:hAnsi="Times New Roman"/>
          <w:color w:val="000000"/>
          <w:sz w:val="16"/>
        </w:rPr>
      </w:pPr>
      <w:r>
        <w:rPr>
          <w:rFonts w:ascii="Times New Roman" w:hAnsi="Times New Roman"/>
          <w:color w:val="000000"/>
          <w:sz w:val="16"/>
        </w:rPr>
        <w:t>This Quarterly Report on Form 10-Q, including Management’s Discussion and Analysis of Financial Condition and Results of Operations, contains forward-looking statements that involve substantial risks and uncertainties. These forward-looking statements are not historical facts, but rather are based on current expectations, estimates and projections about the Company,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Some of the statements in this Quarterly Report on Form 10-Q constitute forward-looking statements, which relate to future events or our performance or financial condition. The forward-looking statements contained in this Quarterly Report on Form 10-Q involve risks and uncertainties, including statements as to:</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16"/>
        </w:rPr>
      </w:pPr>
      <w:r>
        <w:rPr>
          <w:rFonts w:ascii="Times New Roman" w:hAnsi="Times New Roman"/>
          <w:color w:val="231F20"/>
          <w:sz w:val="16"/>
        </w:rPr>
        <w:t>our future operating results;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16"/>
        </w:rPr>
      </w:pPr>
      <w:r>
        <w:rPr>
          <w:rFonts w:ascii="Times New Roman" w:hAnsi="Times New Roman"/>
          <w:color w:val="231F20"/>
          <w:sz w:val="16"/>
        </w:rPr>
        <w:t>our business prospects and the prospects of our portfolio companies, including our and their ability to achieve our respective objectives;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16"/>
        </w:rPr>
      </w:pPr>
      <w:r>
        <w:rPr>
          <w:rFonts w:ascii="Times New Roman" w:hAnsi="Times New Roman"/>
          <w:color w:val="231F20"/>
          <w:sz w:val="16"/>
        </w:rPr>
        <w:t>the impact of investments that we expect to make;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16"/>
        </w:rPr>
      </w:pPr>
      <w:r>
        <w:rPr>
          <w:rFonts w:ascii="Times New Roman" w:hAnsi="Times New Roman"/>
          <w:color w:val="231F20"/>
          <w:sz w:val="16"/>
        </w:rPr>
        <w:t>our contractual arrangements and relationships with third parties;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16"/>
        </w:rPr>
      </w:pPr>
      <w:r>
        <w:rPr>
          <w:rFonts w:ascii="Times New Roman" w:hAnsi="Times New Roman"/>
          <w:color w:val="231F20"/>
          <w:sz w:val="16"/>
        </w:rPr>
        <w:t>the dependence of our future success on the general economy and its impact on the industries in which we invest;</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16"/>
        </w:rPr>
      </w:pPr>
      <w:r>
        <w:rPr>
          <w:rFonts w:ascii="Times New Roman" w:hAnsi="Times New Roman"/>
          <w:color w:val="231F20"/>
          <w:sz w:val="16"/>
        </w:rPr>
        <w:t>our expected financings and investments;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16"/>
        </w:rPr>
      </w:pPr>
      <w:r>
        <w:rPr>
          <w:rFonts w:ascii="Times New Roman" w:hAnsi="Times New Roman"/>
          <w:color w:val="231F20"/>
          <w:sz w:val="16"/>
        </w:rPr>
        <w:t>the adequacy of our cash resources and working capital; and</w:t>
      </w:r>
    </w:p>
    <w:p>
      <w:pPr>
        <w:pStyle w:val="TextBody"/>
        <w:bidi w:val="0"/>
        <w:spacing w:before="120" w:after="120"/>
        <w:jc w:val="both"/>
        <w:rPr>
          <w:color w:val="231F20"/>
        </w:rPr>
      </w:pPr>
      <w:r>
        <w:rPr>
          <w:color w:val="231F20"/>
        </w:rPr>
        <w:t>•</w:t>
      </w:r>
    </w:p>
    <w:p>
      <w:pPr>
        <w:pStyle w:val="TextBody"/>
        <w:bidi w:val="0"/>
        <w:spacing w:before="120" w:after="120"/>
        <w:jc w:val="both"/>
        <w:rPr>
          <w:rFonts w:ascii="Times New Roman" w:hAnsi="Times New Roman"/>
          <w:color w:val="231F20"/>
          <w:sz w:val="16"/>
        </w:rPr>
      </w:pPr>
      <w:r>
        <w:rPr>
          <w:rFonts w:ascii="Times New Roman" w:hAnsi="Times New Roman"/>
          <w:color w:val="231F20"/>
          <w:sz w:val="16"/>
        </w:rPr>
        <w:t>the timing of cash flows, if any, from the operations of our portfolio companies.</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16"/>
        </w:rPr>
      </w:pPr>
      <w:r>
        <w:rPr>
          <w:rFonts w:ascii="Times New Roman" w:hAnsi="Times New Roman"/>
          <w:color w:val="231F20"/>
          <w:sz w:val="16"/>
        </w:rPr>
        <w:t>an economic downturn could impair our portfolio companies’ ability to continue to operate or repay their borrowings, which could lead to the loss of some or all of our investments in such portfolio companies;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16"/>
        </w:rPr>
      </w:pPr>
      <w:r>
        <w:rPr>
          <w:rFonts w:ascii="Times New Roman" w:hAnsi="Times New Roman"/>
          <w:color w:val="231F20"/>
          <w:sz w:val="16"/>
        </w:rPr>
        <w:t>a contraction of available credit and/or an inability to access the equity markets could impair our lending and investment activities;</w:t>
      </w:r>
    </w:p>
    <w:p>
      <w:pPr>
        <w:pStyle w:val="TextBody"/>
        <w:bidi w:val="0"/>
        <w:spacing w:before="120" w:after="283"/>
        <w:jc w:val="both"/>
        <w:rPr>
          <w:color w:val="231F20"/>
        </w:rPr>
      </w:pPr>
      <w:r>
        <w:rPr>
          <w:color w:val="231F20"/>
        </w:rPr>
        <w:t>•</w:t>
      </w:r>
    </w:p>
    <w:p>
      <w:pPr>
        <w:pStyle w:val="TextBody"/>
        <w:bidi w:val="0"/>
        <w:spacing w:before="120" w:after="283"/>
        <w:jc w:val="both"/>
        <w:rPr/>
      </w:pPr>
      <w:r>
        <w:rPr>
          <w:rFonts w:ascii="Times New Roman" w:hAnsi="Times New Roman"/>
          <w:color w:val="231F20"/>
          <w:sz w:val="16"/>
        </w:rPr>
        <w:t>geopolitical instability and volatility in the global markets caused by events such as the deterioration in the bilateral relationship between the U.S. and China, the conflict between Russia and Ukraine</w:t>
      </w:r>
      <w:r>
        <w:rPr>
          <w:rFonts w:ascii="Times New Roman" w:hAnsi="Times New Roman"/>
          <w:color w:val="000000"/>
          <w:sz w:val="16"/>
        </w:rPr>
        <w:t>, and the conflict between Israel and Hamas</w:t>
      </w:r>
      <w:r>
        <w:rPr>
          <w:rFonts w:ascii="Times New Roman" w:hAnsi="Times New Roman"/>
          <w:color w:val="231F20"/>
          <w:sz w:val="16"/>
        </w:rPr>
        <w:t>;</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16"/>
        </w:rPr>
      </w:pPr>
      <w:r>
        <w:rPr>
          <w:rFonts w:ascii="Times New Roman" w:hAnsi="Times New Roman"/>
          <w:color w:val="231F20"/>
          <w:sz w:val="16"/>
        </w:rPr>
        <w:t>uncertain effects due to the discontinuation of LIBOR and due to the transition to SOFR;</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16"/>
        </w:rPr>
      </w:pPr>
      <w:r>
        <w:rPr>
          <w:rFonts w:ascii="Times New Roman" w:hAnsi="Times New Roman"/>
          <w:color w:val="231F20"/>
          <w:sz w:val="16"/>
        </w:rPr>
        <w:t>interest rate volatility could adversely affect our results, particularly if we use leverage as part of our investment strategy; and</w:t>
      </w:r>
    </w:p>
    <w:p>
      <w:pPr>
        <w:pStyle w:val="TextBody"/>
        <w:bidi w:val="0"/>
        <w:spacing w:before="120" w:after="120"/>
        <w:jc w:val="both"/>
        <w:rPr>
          <w:color w:val="231F20"/>
        </w:rPr>
      </w:pPr>
      <w:r>
        <w:rPr>
          <w:color w:val="231F20"/>
        </w:rPr>
        <w:t>•</w:t>
      </w:r>
    </w:p>
    <w:p>
      <w:pPr>
        <w:pStyle w:val="TextBody"/>
        <w:bidi w:val="0"/>
        <w:spacing w:before="120" w:after="120"/>
        <w:jc w:val="both"/>
        <w:rPr/>
      </w:pPr>
      <w:r>
        <w:rPr>
          <w:rFonts w:ascii="Times New Roman" w:hAnsi="Times New Roman"/>
          <w:color w:val="231F20"/>
          <w:sz w:val="16"/>
        </w:rPr>
        <w:t>the risks, uncertainties and other factors we identify in “Risk Factors” and elsewhere in this Quarterly Report on Form 10-Q.</w:t>
      </w:r>
      <w:r>
        <w:rPr>
          <w:color w:val="000000"/>
        </w:rPr>
        <w:t xml:space="preserve"> </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and elsewhere in our Annual Report on Form 10-K for the fiscal year ended December 31, 2023 and in this Quarterly Report on Form 10-Q. You should not place undue reliance on these forward-looking statements, which apply only as of the date of this Quarterly Report on Form 10-Q. We undertake no obligation to revise or update any forward-looking statements, whether as a result of new information, future events, or otherwise, unless required by law or U.S. Securities and Exchange Commission (“SEC”) rule or regulation.</w:t>
      </w:r>
    </w:p>
    <w:p>
      <w:pPr>
        <w:pStyle w:val="TextBody"/>
        <w:bidi w:val="0"/>
        <w:spacing w:before="0" w:after="120"/>
        <w:jc w:val="both"/>
        <w:rPr>
          <w:rFonts w:ascii="Times New Roman" w:hAnsi="Times New Roman"/>
          <w:b/>
          <w:color w:val="000000"/>
          <w:sz w:val="16"/>
        </w:rPr>
      </w:pPr>
      <w:r>
        <w:rPr>
          <w:rFonts w:ascii="Times New Roman" w:hAnsi="Times New Roman"/>
          <w:b/>
          <w:color w:val="000000"/>
          <w:sz w:val="16"/>
        </w:rPr>
        <w:t>Overview</w:t>
      </w:r>
    </w:p>
    <w:p>
      <w:pPr>
        <w:pStyle w:val="TextBody"/>
        <w:bidi w:val="0"/>
        <w:jc w:val="both"/>
        <w:rPr>
          <w:rFonts w:ascii="Times New Roman" w:hAnsi="Times New Roman"/>
          <w:sz w:val="20"/>
        </w:rPr>
      </w:pPr>
      <w:r>
        <w:rPr>
          <w:rFonts w:ascii="Times New Roman" w:hAnsi="Times New Roman"/>
          <w:color w:val="000000"/>
          <w:sz w:val="16"/>
        </w:rPr>
        <w:t>We are a Maryland corporation that has elected to be regulated as a business development company (“BDC”) under the Investment Company Act of 1940, as amended (the “1940 Act”). Our investment objective is to generate both current income and capital appreciation through debt and equity investments.</w:t>
      </w:r>
      <w:r>
        <w:rPr>
          <w:rFonts w:ascii="Times New Roman" w:hAnsi="Times New Roman"/>
          <w:color w:val="000000"/>
          <w:sz w:val="20"/>
        </w:rPr>
        <w:t xml:space="preserve"> </w:t>
      </w:r>
      <w:r>
        <w:rPr>
          <w:rFonts w:ascii="Times New Roman" w:hAnsi="Times New Roman"/>
          <w:color w:val="000000"/>
          <w:sz w:val="16"/>
        </w:rPr>
        <w:t>We are managed by Mount Logan Management LLC (the “Investment Adviser”), and BC Partners Management LLC (the “Administrator”) provides the administrative services necessary for us to operate.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provide capital to lower and traditional middle-market companies in the United States (“U.S.”), with a non-exclusive emphasis on the Southeast, Southwest, and Mid-Atlantic regions. We invest primarily in companies with a history of earnings growth and positive cash flow, proven management teams, products or services with competitive advantages, and industry-appropriate margins. We primarily invest in companies with between $5.0 million and $50.0 million in trailing twelve-month earnings before interest, tax, depreciation, and amortization (“EBITDA”).</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invest in first lien loans and, to a lesser extent, second lien loans and equity securities issued by lower middle-market and traditional middle-market companies.</w:t>
      </w:r>
    </w:p>
    <w:p>
      <w:pPr>
        <w:pStyle w:val="TextBody"/>
        <w:bidi w:val="0"/>
        <w:spacing w:before="120" w:after="120"/>
        <w:jc w:val="both"/>
        <w:rPr>
          <w:rFonts w:ascii="Times New Roman" w:hAnsi="Times New Roman"/>
          <w:sz w:val="20"/>
        </w:rPr>
      </w:pPr>
      <w:r>
        <w:rPr>
          <w:rFonts w:ascii="Times New Roman" w:hAnsi="Times New Roman"/>
          <w:color w:val="000000"/>
          <w:sz w:val="16"/>
        </w:rPr>
        <w:t>As a BDC, we are required to comply with certain regulatory requirements. For instance, we generally must invest at least 70% of our total assets in “qualifying assets,” including securities of private or thinly traded public U.S. companies, cash, cash equivalents, U.S. government securities and high-quality debt investments that mature in one year or less. In addition, we are only allowed to borrow money such that our asset coverage, as defined in the 1940 Act, equals at least 150%, if certain requirements are met, after such borrowing, with certain limited exceptions. As of June 30, 2024, our asset coverage ratio was 176%. To maintain our regulated investment company (“RIC”) status, we must meet specified source-of-income and asset diversification requirements. To maintain our RIC tax treatment under Subchapter M of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Internal Revenue Code of 1986, as amended (the “Code”), we must distribute at least 90% of our net ordinary income and realized net short-term capital gains in excess of realized net long-term capital losses, if any, for the taxable year.</w:t>
      </w:r>
    </w:p>
    <w:p>
      <w:pPr>
        <w:pStyle w:val="TextBody"/>
        <w:bidi w:val="0"/>
        <w:spacing w:before="0" w:after="120"/>
        <w:jc w:val="both"/>
        <w:rPr>
          <w:rFonts w:ascii="Times New Roman" w:hAnsi="Times New Roman"/>
          <w:b/>
          <w:color w:val="000000"/>
          <w:sz w:val="16"/>
        </w:rPr>
      </w:pPr>
      <w:r>
        <w:rPr>
          <w:rFonts w:ascii="Times New Roman" w:hAnsi="Times New Roman"/>
          <w:b/>
          <w:color w:val="000000"/>
          <w:sz w:val="16"/>
        </w:rPr>
        <w:t>Corporate History</w:t>
      </w:r>
    </w:p>
    <w:p>
      <w:pPr>
        <w:pStyle w:val="TextBody"/>
        <w:bidi w:val="0"/>
        <w:jc w:val="both"/>
        <w:rPr>
          <w:rFonts w:ascii="Times New Roman" w:hAnsi="Times New Roman"/>
          <w:sz w:val="20"/>
        </w:rPr>
      </w:pPr>
      <w:r>
        <w:rPr>
          <w:rFonts w:ascii="Times New Roman" w:hAnsi="Times New Roman"/>
          <w:color w:val="000000"/>
          <w:sz w:val="16"/>
        </w:rPr>
        <w:t>We commenced operations on May 24, 2013 and completed our initial public offering (“IPO”) on September 30, 2013. 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Fund III, L.P. (f/k/a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 II and Fund III retained their small business investment company (“SBIC”) licenses issued by the U.S. Small Business Administration (“SBA”), and continued to hold their existing investments at the time of IPO and have continued to make new investments after the IPO.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During the fourth quarter of 2017, Florida Sidecar transferred all of its assets to the Company and was legally dissolved as a standalone partnership. On March 1, 2019, Fund II repaid its outstanding debentures guaranteed by the SBA (“SBA-guaranteed debentures”) and relinquished its SBIC license. On June 10, 2021, Fund III repaid its SBA-guaranteed debentures and relinquished its SBIC license. Accordingly, as of June 30, 2024 and December 31, 2023, there were no SBA-guaranteed debentures outstanding.</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At the time of the Formation Transactions, our portfolio consisted of: (1) approximately $326.3 million in investments; (2) an aggregate of approximately $67.1 million in cash, interest receivable and other assets; and (3) liabilities of approximately $202.2 million of SBA-guaranteed debentures payable. Fund III, our subsidiary, was licensed under the SBIC Act until June 10, 2021 and has elected to be regulated as BDC under the 1940 Act. Fund II, our subsidiary, was licensed under the SBIC Act until March 1, 2019 and has elected to be regulated as a BDC under the 1940 Act.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 has formed and expects to continue to form certain consolidated taxable subsidiaries (the ‘‘Taxable Subsidiaries’’), which are taxed as corporations for U.S. federal income tax purposes. The Taxable Subsidiaries allow the Company to make equity investments in companies organized as pass-through entities while continuing to satisfy the requirements of a RIC under the Code.</w:t>
      </w:r>
    </w:p>
    <w:p>
      <w:pPr>
        <w:pStyle w:val="TextBody"/>
        <w:bidi w:val="0"/>
        <w:spacing w:before="120" w:after="120"/>
        <w:jc w:val="both"/>
        <w:rPr>
          <w:rFonts w:ascii="Times New Roman" w:hAnsi="Times New Roman"/>
          <w:color w:val="231F20"/>
          <w:sz w:val="16"/>
        </w:rPr>
      </w:pPr>
      <w:r>
        <w:rPr>
          <w:rFonts w:ascii="Times New Roman" w:hAnsi="Times New Roman"/>
          <w:color w:val="231F20"/>
          <w:sz w:val="16"/>
        </w:rPr>
        <w:t>Capitala Business Lending, LLC (“CBL”), a wholly-owned subsidiary of ours, was established on October 30, 2020, for the sole purpose of holding certain investments pledged as collateral under a senior secured revolving credit agreement with KeyBank National Association (the “KeyBank Credit Facility”). See “Financial Condition, Liquidity and Capital Resources” for more details. The financial statements of CBL are consolidated with those of Logan Ridge Finance Corporation.</w:t>
      </w:r>
    </w:p>
    <w:p>
      <w:pPr>
        <w:pStyle w:val="TextBody"/>
        <w:bidi w:val="0"/>
        <w:spacing w:before="120" w:after="120"/>
        <w:jc w:val="both"/>
        <w:rPr>
          <w:rFonts w:ascii="Times New Roman" w:hAnsi="Times New Roman"/>
          <w:color w:val="231F20"/>
          <w:sz w:val="16"/>
        </w:rPr>
      </w:pPr>
      <w:r>
        <w:rPr>
          <w:rFonts w:ascii="Times New Roman" w:hAnsi="Times New Roman"/>
          <w:color w:val="231F20"/>
          <w:sz w:val="16"/>
        </w:rPr>
        <w:t>In addition, we evaluate strategic opportunities available to us, including mergers with unaffiliated funds and affiliated funds, divestures, spin-offs, joint ventures and other similar transactions from time to time. An example of an opportunity we are currently in the initial stages of evaluating is a potential merger with one or more of our affiliated 1940 Act funds, which may result in the use of an exchange ratio other than NAV-for-NAV (including but not limited to relative market price) in connection therewith.</w:t>
      </w:r>
    </w:p>
    <w:p>
      <w:pPr>
        <w:pStyle w:val="TextBody"/>
        <w:bidi w:val="0"/>
        <w:spacing w:before="0" w:after="120"/>
        <w:jc w:val="both"/>
        <w:rPr>
          <w:rFonts w:ascii="Times New Roman" w:hAnsi="Times New Roman"/>
          <w:b/>
          <w:color w:val="000000"/>
          <w:sz w:val="16"/>
        </w:rPr>
      </w:pPr>
      <w:r>
        <w:rPr>
          <w:rFonts w:ascii="Times New Roman" w:hAnsi="Times New Roman"/>
          <w:b/>
          <w:color w:val="000000"/>
          <w:sz w:val="16"/>
        </w:rPr>
        <w:t>Definitive Agreement</w:t>
      </w:r>
    </w:p>
    <w:p>
      <w:pPr>
        <w:pStyle w:val="TextBody"/>
        <w:bidi w:val="0"/>
        <w:jc w:val="both"/>
        <w:rPr>
          <w:rFonts w:ascii="Times New Roman" w:hAnsi="Times New Roman"/>
          <w:color w:val="000000"/>
          <w:sz w:val="16"/>
        </w:rPr>
      </w:pPr>
      <w:r>
        <w:rPr>
          <w:rFonts w:ascii="Times New Roman" w:hAnsi="Times New Roman"/>
          <w:color w:val="000000"/>
          <w:sz w:val="16"/>
        </w:rPr>
        <w:t>On April 20, 2021, Capitala Investment Advisors, LLC (“Capitala”), the Company’s former investment adviser, entered into a definitive agreement (the “Definitive Agreement”) with the Investment Adviser and Mount Logan Capital Inc. (“MLC”), both affiliates of BC Partners Advisors L.P. (“BC Partners”) for U.S. regulatory purposes, whereby Mount Logan acquired certain assets related to Capitala’s business of providing investment management services to the Company (the “Transaction”), through which the Investment Adviser became the Company’s investment adviser pursuant to an investment advisory agreement (the “Investment Advisory Agreement”) with the Company. At a special meeting of the Company’s stockholders (the “Special Meeting”) held on May 27, 2021, the Company’s stockholders approved the Investment Advisory Agreement. The transactions contemplated by the Definitive Agreement closed on July 1, 2021 (the “Closing”).</w:t>
      </w:r>
    </w:p>
    <w:p>
      <w:pPr>
        <w:pStyle w:val="TextBody"/>
        <w:bidi w:val="0"/>
        <w:spacing w:before="120" w:after="283"/>
        <w:jc w:val="both"/>
        <w:rPr>
          <w:rFonts w:ascii="Times New Roman" w:hAnsi="Times New Roman"/>
          <w:sz w:val="20"/>
        </w:rPr>
      </w:pPr>
      <w:r>
        <w:rPr>
          <w:rFonts w:ascii="Times New Roman" w:hAnsi="Times New Roman"/>
          <w:color w:val="000000"/>
          <w:sz w:val="16"/>
        </w:rPr>
        <w:t>As part of the Transaction, the Investment Adviser entered into a two-year contractual fee waiver (the “Fee Waiver”) with the Company to waive, to the extent necessary, any capital gains fee under the Investment Advisory Agreement that exceeds what would have been paid to Capitala in the aggregate over such two-year period under the prior advisory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16"/>
        </w:rPr>
        <w:t>On the date of the Closing, the Company changed its name from Capitala Finance Corp. to Logan Ridge Finance Corporation and on July 2, 2021, the Company’s common stock began trading on the NASDAQ Global Select Market under the symbol “LRFC.”</w:t>
      </w:r>
      <w:r>
        <w:rPr>
          <w:rFonts w:ascii="Times New Roman" w:hAnsi="Times New Roman"/>
          <w:color w:val="000000"/>
          <w:sz w:val="20"/>
        </w:rPr>
        <w:t xml:space="preserve"> </w:t>
      </w:r>
    </w:p>
    <w:p>
      <w:pPr>
        <w:pStyle w:val="TextBody"/>
        <w:bidi w:val="0"/>
        <w:spacing w:before="120" w:after="120"/>
        <w:jc w:val="both"/>
        <w:rPr>
          <w:rFonts w:ascii="Times New Roman" w:hAnsi="Times New Roman"/>
          <w:b/>
          <w:color w:val="231F20"/>
          <w:sz w:val="16"/>
        </w:rPr>
      </w:pPr>
      <w:r>
        <w:rPr>
          <w:rFonts w:ascii="Times New Roman" w:hAnsi="Times New Roman"/>
          <w:b/>
          <w:color w:val="231F20"/>
          <w:sz w:val="16"/>
        </w:rPr>
        <w:t>Basis of Presentation</w:t>
      </w:r>
    </w:p>
    <w:p>
      <w:pPr>
        <w:pStyle w:val="TextBody"/>
        <w:bidi w:val="0"/>
        <w:jc w:val="both"/>
        <w:rPr>
          <w:rFonts w:ascii="Times New Roman" w:hAnsi="Times New Roman"/>
          <w:sz w:val="20"/>
        </w:rPr>
      </w:pPr>
      <w:r>
        <w:rPr>
          <w:rFonts w:ascii="Times New Roman" w:hAnsi="Times New Roman"/>
          <w:color w:val="000000"/>
          <w:sz w:val="16"/>
        </w:rPr>
        <w:t xml:space="preserve">The Company is considered an investment company as defined in Accounting Standards Codification (“ASC”) Topic 946 — </w:t>
      </w:r>
      <w:r>
        <w:rPr>
          <w:rFonts w:ascii="Times New Roman" w:hAnsi="Times New Roman"/>
          <w:i/>
          <w:color w:val="000000"/>
          <w:sz w:val="16"/>
        </w:rPr>
        <w:t>Financial Services — Investment Companies</w:t>
      </w:r>
      <w:r>
        <w:rPr>
          <w:rFonts w:ascii="Times New Roman" w:hAnsi="Times New Roman"/>
          <w:color w:val="000000"/>
          <w:sz w:val="20"/>
        </w:rPr>
        <w:t xml:space="preserve"> </w:t>
      </w:r>
      <w:r>
        <w:rPr>
          <w:rFonts w:ascii="Times New Roman" w:hAnsi="Times New Roman"/>
          <w:color w:val="000000"/>
          <w:sz w:val="16"/>
        </w:rPr>
        <w:t>(“ASC 946”)</w:t>
      </w:r>
      <w:r>
        <w:rPr>
          <w:rFonts w:ascii="Times New Roman" w:hAnsi="Times New Roman"/>
          <w:i/>
          <w:color w:val="000000"/>
          <w:sz w:val="16"/>
        </w:rPr>
        <w:t>.</w:t>
      </w:r>
      <w:r>
        <w:rPr>
          <w:rFonts w:ascii="Times New Roman" w:hAnsi="Times New Roman"/>
          <w:color w:val="000000"/>
          <w:sz w:val="20"/>
        </w:rPr>
        <w:t xml:space="preserve"> </w:t>
      </w:r>
      <w:r>
        <w:rPr>
          <w:rFonts w:ascii="Times New Roman" w:hAnsi="Times New Roman"/>
          <w:color w:val="000000"/>
          <w:sz w:val="16"/>
        </w:rPr>
        <w:t>The accompanying unaudited consolidated financial statements have been prepared on the accrual basis of accounting in conformity with U.S. generally accepted accounting principles (“U.S. GAAP”) for interim financial information and pursuant to the requirements for reporting on Form 10-Q and Article 6 and Article 10 of Regulation S-X. Accordingly, certain disclosures accompanying our annual consolidated financial statements prepared in accordance with U.S. GAAP have been omitted. The consolidated financial statements of the Company include the accounts of the Company and its wholly owned subsidiaries, including Fund II, Fund III, CBL, and the Taxable Subsidiaries.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Company’s financial statements as of June 30, 2024 and December 31, 2023 and for the periods ended June 30, 2024 and 2023 are presented on a consolidated basis. The effects of all intercompany transactions between the Company and its subsidiaries (Fund II, Fund III, CBL, and the Taxable Subsidiaries)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pStyle w:val="TextBody"/>
        <w:bidi w:val="0"/>
        <w:spacing w:before="120" w:after="120"/>
        <w:jc w:val="both"/>
        <w:rPr>
          <w:rFonts w:ascii="Times New Roman" w:hAnsi="Times New Roman"/>
          <w:sz w:val="20"/>
        </w:rPr>
      </w:pPr>
      <w:r>
        <w:rPr>
          <w:rFonts w:ascii="Times New Roman" w:hAnsi="Times New Roman"/>
          <w:color w:val="000000"/>
          <w:sz w:val="16"/>
        </w:rPr>
        <w:t>The current period’s results of operations are not necessarily indicative of results that ultimately may be achieved for the year. Additionally, the unaudited consolidated financial statements and notes should be read in conjunction with the audited consolidated financial statements and notes thereto appearing in the Company’s Annual Report on Form 10-K for the year ended December 31, 2023, filed with the SEC on March 26, 2024.</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b/>
          <w:color w:val="000000"/>
          <w:sz w:val="16"/>
        </w:rPr>
      </w:pPr>
      <w:r>
        <w:rPr>
          <w:rFonts w:ascii="Times New Roman" w:hAnsi="Times New Roman"/>
          <w:b/>
          <w:color w:val="000000"/>
          <w:sz w:val="16"/>
        </w:rPr>
        <w:t>Consolidation</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As provided under ASC 946, the Company will generally not consolidate its investment in a company other than an investment company subsidiary or a controlled operating company whose business consists of providing services to the Company. Accordingly, the Company consolidated the results of the Company’s wholly owned investment company subsidiaries (Fund II, Fund III, CBL, and the Taxable Subsidiaries) in its consolidated financial statements.</w:t>
      </w:r>
    </w:p>
    <w:p>
      <w:pPr>
        <w:pStyle w:val="TextBody"/>
        <w:bidi w:val="0"/>
        <w:spacing w:before="0" w:after="120"/>
        <w:jc w:val="left"/>
        <w:rPr>
          <w:rFonts w:ascii="Times New Roman" w:hAnsi="Times New Roman"/>
          <w:b/>
          <w:color w:val="000000"/>
          <w:sz w:val="16"/>
        </w:rPr>
      </w:pPr>
      <w:r>
        <w:rPr>
          <w:rFonts w:ascii="Times New Roman" w:hAnsi="Times New Roman"/>
          <w:b/>
          <w:color w:val="000000"/>
          <w:sz w:val="16"/>
        </w:rPr>
        <w:t>Revenues</w:t>
      </w:r>
    </w:p>
    <w:p>
      <w:pPr>
        <w:pStyle w:val="TextBody"/>
        <w:bidi w:val="0"/>
        <w:spacing w:before="0" w:after="120"/>
        <w:jc w:val="both"/>
        <w:rPr>
          <w:rFonts w:ascii="Times New Roman" w:hAnsi="Times New Roman"/>
          <w:sz w:val="20"/>
        </w:rPr>
      </w:pPr>
      <w:r>
        <w:rPr>
          <w:rFonts w:ascii="Times New Roman" w:hAnsi="Times New Roman"/>
          <w:color w:val="000000"/>
          <w:sz w:val="16"/>
        </w:rPr>
        <w:t>We generate revenue primarily from the periodic cash interest we collect on our debt investments. In addition, most of our debt investments offer the opportunity to participate in a borrower’s equity performance through warrant participation, direct equity ownership, or otherwise, which we expect to result in revenue in the form of dividends and/or capital gains. Further, we may generate revenue in the form of commitment fees, origination fees, amendment fees, diligence fees, monitoring fees, fees for providing managerial assistance and possibly consulting fees and performance-based fees. These fees will be recognized as they are earned.</w:t>
      </w:r>
      <w:r>
        <w:rPr>
          <w:rFonts w:ascii="Times New Roman" w:hAnsi="Times New Roman"/>
          <w:color w:val="000000"/>
          <w:sz w:val="20"/>
        </w:rPr>
        <w:t xml:space="preserve"> </w:t>
      </w:r>
    </w:p>
    <w:p>
      <w:pPr>
        <w:pStyle w:val="TextBody"/>
        <w:bidi w:val="0"/>
        <w:spacing w:before="0" w:after="120"/>
        <w:jc w:val="both"/>
        <w:rPr>
          <w:rFonts w:ascii="Times New Roman" w:hAnsi="Times New Roman"/>
          <w:b/>
          <w:color w:val="000000"/>
          <w:sz w:val="16"/>
        </w:rPr>
      </w:pPr>
      <w:r>
        <w:rPr>
          <w:rFonts w:ascii="Times New Roman" w:hAnsi="Times New Roman"/>
          <w:b/>
          <w:color w:val="000000"/>
          <w:sz w:val="16"/>
        </w:rPr>
        <w:t>Expenses</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Our primary operating expenses include the payment of investment advisory fees to our Investment Adviser, our allocable portion of overhead and other expenses incurred by our Administrator in performing its obligations under an administration agreement between us and the Administrator (the “Administration Agreement”) and other operating expenses as detailed below. Our investment advisory fee will compensate our Investment Adviser for its work in identifying, evaluating, negotiating, closing, monitoring, and servicing our investments. We will bear all other expenses of our operations and transactions, including (without limitation):</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16"/>
        </w:rPr>
      </w:pPr>
      <w:r>
        <w:rPr>
          <w:rFonts w:ascii="Times New Roman" w:hAnsi="Times New Roman"/>
          <w:color w:val="231F20"/>
          <w:sz w:val="16"/>
        </w:rPr>
        <w:t>the cost of our organization;</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16"/>
        </w:rPr>
      </w:pPr>
      <w:r>
        <w:rPr>
          <w:rFonts w:ascii="Times New Roman" w:hAnsi="Times New Roman"/>
          <w:color w:val="231F20"/>
          <w:sz w:val="16"/>
        </w:rPr>
        <w:t>the cost of calculating our net asset value, including the cost of any third-party valuation services;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16"/>
        </w:rPr>
      </w:pPr>
      <w:r>
        <w:rPr>
          <w:rFonts w:ascii="Times New Roman" w:hAnsi="Times New Roman"/>
          <w:color w:val="231F20"/>
          <w:sz w:val="16"/>
        </w:rPr>
        <w:t>the cost of effecting sales and repurchases of our shares and other securities;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16"/>
        </w:rPr>
      </w:pPr>
      <w:r>
        <w:rPr>
          <w:rFonts w:ascii="Times New Roman" w:hAnsi="Times New Roman"/>
          <w:color w:val="231F20"/>
          <w:sz w:val="16"/>
        </w:rPr>
        <w:t>interest payable on debt, if any, to finance our investments;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16"/>
        </w:rPr>
      </w:pPr>
      <w:r>
        <w:rPr>
          <w:rFonts w:ascii="Times New Roman" w:hAnsi="Times New Roman"/>
          <w:color w:val="231F20"/>
          <w:sz w:val="16"/>
        </w:rPr>
        <w:t>fees payable to third parties relating to, or associated with, making investments (such as legal, accounting, and travel expenses incurred in connection with making investments), including fees and expenses associated with performing due diligence reviews of prospective investments and advisory fees;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16"/>
        </w:rPr>
      </w:pPr>
      <w:r>
        <w:rPr>
          <w:rFonts w:ascii="Times New Roman" w:hAnsi="Times New Roman"/>
          <w:color w:val="231F20"/>
          <w:sz w:val="16"/>
        </w:rPr>
        <w:t>transfer agent and custodial fees;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16"/>
        </w:rPr>
      </w:pPr>
      <w:r>
        <w:rPr>
          <w:rFonts w:ascii="Times New Roman" w:hAnsi="Times New Roman"/>
          <w:color w:val="231F20"/>
          <w:sz w:val="16"/>
        </w:rPr>
        <w:t>fees and expenses associated with marketing efforts;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16"/>
        </w:rPr>
      </w:pPr>
      <w:r>
        <w:rPr>
          <w:rFonts w:ascii="Times New Roman" w:hAnsi="Times New Roman"/>
          <w:color w:val="231F20"/>
          <w:sz w:val="16"/>
        </w:rPr>
        <w:t>costs associated with our reporting and compliance obligations under the 1940 Act, the Securities Exchange Act of 1934, as amended (the “Exchange Act”), other applicable federal and state securities laws and ongoing stock exchange listing fees;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16"/>
        </w:rPr>
      </w:pPr>
      <w:r>
        <w:rPr>
          <w:rFonts w:ascii="Times New Roman" w:hAnsi="Times New Roman"/>
          <w:color w:val="231F20"/>
          <w:sz w:val="16"/>
        </w:rPr>
        <w:t>federal, state and local taxes;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16"/>
        </w:rPr>
      </w:pPr>
      <w:r>
        <w:rPr>
          <w:rFonts w:ascii="Times New Roman" w:hAnsi="Times New Roman"/>
          <w:color w:val="231F20"/>
          <w:sz w:val="16"/>
        </w:rPr>
        <w:t>independent directors’ fees and expenses;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16"/>
        </w:rPr>
      </w:pPr>
      <w:r>
        <w:rPr>
          <w:rFonts w:ascii="Times New Roman" w:hAnsi="Times New Roman"/>
          <w:color w:val="231F20"/>
          <w:sz w:val="16"/>
        </w:rPr>
        <w:t>brokerage commissions;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16"/>
        </w:rPr>
      </w:pPr>
      <w:r>
        <w:rPr>
          <w:rFonts w:ascii="Times New Roman" w:hAnsi="Times New Roman"/>
          <w:color w:val="231F20"/>
          <w:sz w:val="16"/>
        </w:rPr>
        <w:t>costs of proxy statements, stockholders’ reports and other communications with stockholders;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16"/>
        </w:rPr>
      </w:pPr>
      <w:r>
        <w:rPr>
          <w:rFonts w:ascii="Times New Roman" w:hAnsi="Times New Roman"/>
          <w:color w:val="231F20"/>
          <w:sz w:val="16"/>
        </w:rPr>
        <w:t>fidelity bond, directors’ and officers’ liability insurance, errors and omissions liability insurance and other insurance premiums;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16"/>
        </w:rPr>
      </w:pPr>
      <w:r>
        <w:rPr>
          <w:rFonts w:ascii="Times New Roman" w:hAnsi="Times New Roman"/>
          <w:color w:val="231F20"/>
          <w:sz w:val="16"/>
        </w:rPr>
        <w:t>direct costs and expenses of administration, including printing, mailing, telephone and staff;</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16"/>
        </w:rPr>
      </w:pPr>
      <w:r>
        <w:rPr>
          <w:rFonts w:ascii="Times New Roman" w:hAnsi="Times New Roman"/>
          <w:color w:val="231F20"/>
          <w:sz w:val="16"/>
        </w:rPr>
        <w:t>fees and expenses associated with independent audits and outside legal costs; and</w:t>
      </w:r>
    </w:p>
    <w:p>
      <w:pPr>
        <w:pStyle w:val="TextBody"/>
        <w:bidi w:val="0"/>
        <w:spacing w:before="120" w:after="120"/>
        <w:jc w:val="both"/>
        <w:rPr>
          <w:color w:val="231F20"/>
        </w:rPr>
      </w:pPr>
      <w:r>
        <w:rPr>
          <w:color w:val="231F20"/>
        </w:rPr>
        <w:t>•</w:t>
      </w:r>
    </w:p>
    <w:p>
      <w:pPr>
        <w:pStyle w:val="TextBody"/>
        <w:bidi w:val="0"/>
        <w:spacing w:before="120" w:after="120"/>
        <w:jc w:val="both"/>
        <w:rPr>
          <w:rFonts w:ascii="Times New Roman" w:hAnsi="Times New Roman"/>
          <w:color w:val="231F20"/>
          <w:sz w:val="16"/>
        </w:rPr>
      </w:pPr>
      <w:r>
        <w:rPr>
          <w:rFonts w:ascii="Times New Roman" w:hAnsi="Times New Roman"/>
          <w:color w:val="231F20"/>
          <w:sz w:val="16"/>
        </w:rPr>
        <w:t>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our chief financial officer, and their respective administrative support staff.</w:t>
      </w:r>
    </w:p>
    <w:p>
      <w:pPr>
        <w:pStyle w:val="TextBody"/>
        <w:bidi w:val="0"/>
        <w:spacing w:before="0" w:after="120"/>
        <w:jc w:val="both"/>
        <w:rPr>
          <w:rFonts w:ascii="Times New Roman" w:hAnsi="Times New Roman"/>
          <w:b/>
          <w:color w:val="000000"/>
          <w:sz w:val="16"/>
        </w:rPr>
      </w:pPr>
      <w:r>
        <w:rPr>
          <w:rFonts w:ascii="Times New Roman" w:hAnsi="Times New Roman"/>
          <w:b/>
          <w:color w:val="000000"/>
          <w:sz w:val="16"/>
        </w:rPr>
        <w:t>Critical Accounting Estimates</w:t>
      </w:r>
    </w:p>
    <w:p>
      <w:pPr>
        <w:pStyle w:val="TextBody"/>
        <w:bidi w:val="0"/>
        <w:spacing w:before="0" w:after="120"/>
        <w:jc w:val="both"/>
        <w:rPr>
          <w:rFonts w:ascii="Times New Roman" w:hAnsi="Times New Roman"/>
          <w:sz w:val="20"/>
        </w:rPr>
      </w:pPr>
      <w:r>
        <w:rPr>
          <w:rFonts w:ascii="Times New Roman" w:hAnsi="Times New Roman"/>
          <w:color w:val="000000"/>
          <w:sz w:val="16"/>
        </w:rPr>
        <w:t>In the preparation of our consolidated financial statements and related disclosures, we have adopted various accounting policies that govern the application of U.S. GAAP. Our significant accounting policies are described in Note 2 to the consolidated financial statements. While all of these policies are important to understanding our consolidated financial statements, certain accounting policies and estimates are considered critical due to their impact on the reported amounts of assets and liabilities at the date of the consolidated financial statements and the reported amounts of revenues and expenses for the periods covered by such consolidated financial statements. We have identified investment valuation, revenue recognition, and income taxes as our most critical accounting estimates. We continuously evaluate our estimates, including those related to the matters described below. Because of the nature of the judgments and assumptions we make, actual results could materially differ from those estimates under different assumptions or conditions. A discussion of our critical accounting policies follows.</w:t>
      </w:r>
      <w:r>
        <w:rPr>
          <w:rFonts w:ascii="Times New Roman" w:hAnsi="Times New Roman"/>
          <w:color w:val="000000"/>
          <w:sz w:val="20"/>
        </w:rPr>
        <w:t xml:space="preserve"> </w:t>
      </w:r>
    </w:p>
    <w:p>
      <w:pPr>
        <w:pStyle w:val="TextBody"/>
        <w:bidi w:val="0"/>
        <w:spacing w:before="0" w:after="120"/>
        <w:jc w:val="both"/>
        <w:rPr>
          <w:rFonts w:ascii="Times New Roman" w:hAnsi="Times New Roman"/>
          <w:b/>
          <w:i/>
          <w:color w:val="000000"/>
          <w:sz w:val="16"/>
        </w:rPr>
      </w:pPr>
      <w:r>
        <w:rPr>
          <w:rFonts w:ascii="Times New Roman" w:hAnsi="Times New Roman"/>
          <w:b/>
          <w:i/>
          <w:color w:val="000000"/>
          <w:sz w:val="16"/>
        </w:rPr>
        <w:t>Valuation of Investments</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Investment transactions are recorded on the trade date. Realized gains or losses on investments are calculated using the specific identification method as the difference between the net proceeds received (excluding prepayment fees, if any) and the amortized cost basis of the investment without regard to unrealized appreciation or depreciation previously recognized, and include investments charged off during the period, net of recoveries. Net change in unrealized appreciation or depreciation reflects the change in portfolio investment values during the reporting period, including any reversal of previously recorded unrealized appreciation or depreciation when gains or losses are recognized.</w:t>
      </w:r>
    </w:p>
    <w:p>
      <w:pPr>
        <w:pStyle w:val="TextBody"/>
        <w:bidi w:val="0"/>
        <w:jc w:val="both"/>
        <w:rPr>
          <w:rFonts w:ascii="Times New Roman" w:hAnsi="Times New Roman"/>
          <w:color w:val="000000"/>
          <w:sz w:val="16"/>
        </w:rPr>
      </w:pPr>
      <w:r>
        <w:rPr>
          <w:rFonts w:ascii="Times New Roman" w:hAnsi="Times New Roman"/>
          <w:color w:val="000000"/>
          <w:sz w:val="16"/>
        </w:rPr>
        <w:t>Investments for which market quotations are available are typically valued at those market quotations. To validate market quotations, the Company will utilize a number of factors to determine if the quotations are representative of fair value, including the source and number of the quotations.</w:t>
      </w:r>
    </w:p>
    <w:p>
      <w:pPr>
        <w:pStyle w:val="TextBody"/>
        <w:bidi w:val="0"/>
        <w:spacing w:before="120" w:after="120"/>
        <w:jc w:val="both"/>
        <w:rPr>
          <w:rFonts w:ascii="Times New Roman" w:hAnsi="Times New Roman"/>
          <w:sz w:val="20"/>
        </w:rPr>
      </w:pPr>
      <w:r>
        <w:rPr>
          <w:rFonts w:ascii="Times New Roman" w:hAnsi="Times New Roman"/>
          <w:color w:val="000000"/>
          <w:sz w:val="16"/>
        </w:rPr>
        <w:t>Debt that is not publicly traded but for which there are external pricing sources available as of the valuation date is valued using independent broker-dealer, market maker quotations or independent pricing services. The valuation committee, comprised of members of the Investment Adviser, (the “Valuation Committee”) subjects these quotes to various criteria including, but not limited to, the number and quality of quotes, the deviation among the quotes and information derived from</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analyzing the Company’s own transactions in such investments throughout the reporting period. Generally, such investments are categorized in Level 2 of the fair value hierarchy, unless the Valuation Committee determines that the quality, quantity or deviation among quotes warrants significant adjustment to the inputs utilized.</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The Board has designated the Investment Adviser as its “valuation designee” pursuant to Rule 2a-5 under the 1940 Act, and in that role the Investment Adviser is responsible for performing fair value determinations relating to all of the Company's investments, including periodically assessing and managing any material valuation risks and establishing and applying fair value methodologies, in accordance with valuation policies and procedures that have been approved by the Board. The Board remains ultimately responsible for fair value determinations under the 1940 Act and satisfies its responsibility through oversight of the valuation designee in accordance with Rule 2a-5. Investments that are not publicly traded or whose market prices are not readily available, as is expected to be the case for substantially all of the Company’s investments, are valued at fair value as determined in good faith by the Investment Adviser, based on, among other things, input of independent third-party valuation firm(s).</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The Investment Adviser undertakes a multi-step valuation process, which includes, among other procedures,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Company’s quarterly valuation process begins with each portfolio company or investment being initially valued using certain inputs, among others, provided by the investment professionals responsible for the portfolio investment in conjunction with the Company’s portfolio management team. The Company utilizes an independent valuation firm to provide valuation on each material illiquid security at least once every trailing 12-month period,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Preliminary valuations are reviewed and discussed with management of the Investment Adviser and investment professionals;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Investment Adviser will review the valuations and determine the fair value of each investment. Valuations that are not based on readily available market quotations will be valued in good faith based on, among other things, the input of, where applicable, third parties.</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As part of the valuation process, the Investment Adviser may consider other information and may use valuation methods including but not limited to (i) market quotes for similar investments, (ii) recent trading activity, (iii) discounting forecasted cash flows of the investment, (iv) models that consider the implied yields from comparable debt, (v) third party appraisal, (vi) sale negotiations and purchase offers received from independent parties and (vii) estimated value of underlying assets to be received in liquidation or restructuring.</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Due to the inherent uncertainty of determining the fair value of investments that do not have a readily available market value, the fair value of our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In addition, changes in the market environment and other events that may occur over the life of the investments may cause the gains or losses ultimately realized on these investments to be different than the unrealized gains or losses reflected herein.</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Under existing accounting guidance, fair value is defined as the price that the Company would receive upon selling an investment or pay to transfer a liability in an orderly transaction to a market participant in the principal or most advantageous market for the investment. This accounting guidance emphasizes valuation techniques that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the Company. Unobservable inputs are inputs that reflect the assumptions market participants would use in pricing an asset or liability developed based on the best information available in the circumstances.</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The Company classifies the inputs used to measure these fair values into the following hierarchy as defined by current accounting guidance:</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Level 1: Unadjusted quoted prices in active markets for identical assets or liabilities that are accessible to the Company.</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Level 2: Quoted prices for similar assets or liabilities in active markets, or quoted prices for identical or similar assets or liabilities in markets that are not active, or other observable inputs other than quoted prices.</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Level 3: Significant inputs that are unobservable for an asset or liability.</w:t>
      </w:r>
    </w:p>
    <w:p>
      <w:pPr>
        <w:pStyle w:val="TextBody"/>
        <w:bidi w:val="0"/>
        <w:jc w:val="both"/>
        <w:rPr>
          <w:rFonts w:ascii="Times New Roman" w:hAnsi="Times New Roman"/>
          <w:color w:val="000000"/>
          <w:sz w:val="16"/>
        </w:rPr>
      </w:pPr>
      <w:r>
        <w:rPr>
          <w:rFonts w:ascii="Times New Roman" w:hAnsi="Times New Roman"/>
          <w:color w:val="000000"/>
          <w:sz w:val="16"/>
        </w:rPr>
        <w:t>A financial instrument’s categorization within the valuation hierarchy is based upon the lowest level of input that is significant to the fair value measurement. Investments for which no external pricing sources are available as of the valuation date are included in Level 3 of the fair value hierarchy.</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As a practical expedient, the Company uses net asset value (“NAV”) as the fair value for its equity investment in Great Lakes Funding II LLC (“Great Lakes II Joint Venture”). The Great Lakes II Joint Venture records its underlying investments at fair value on a quarterly basis in accordance with the 1940 Act and U.S. GAAP.</w:t>
      </w:r>
    </w:p>
    <w:p>
      <w:pPr>
        <w:pStyle w:val="TextBody"/>
        <w:bidi w:val="0"/>
        <w:spacing w:before="120" w:after="120"/>
        <w:jc w:val="both"/>
        <w:rPr>
          <w:rFonts w:ascii="Times New Roman" w:hAnsi="Times New Roman"/>
          <w:b/>
          <w:i/>
          <w:color w:val="000000"/>
          <w:sz w:val="16"/>
        </w:rPr>
      </w:pPr>
      <w:r>
        <w:rPr>
          <w:rFonts w:ascii="Times New Roman" w:hAnsi="Times New Roman"/>
          <w:b/>
          <w:i/>
          <w:color w:val="000000"/>
          <w:sz w:val="16"/>
        </w:rPr>
        <w:t>Valuation Techniques</w:t>
      </w:r>
    </w:p>
    <w:p>
      <w:pPr>
        <w:pStyle w:val="TextBody"/>
        <w:bidi w:val="0"/>
        <w:jc w:val="both"/>
        <w:rPr>
          <w:rFonts w:ascii="Times New Roman" w:hAnsi="Times New Roman"/>
          <w:i/>
          <w:color w:val="000000"/>
          <w:sz w:val="16"/>
        </w:rPr>
      </w:pPr>
      <w:r>
        <w:rPr>
          <w:rFonts w:ascii="Times New Roman" w:hAnsi="Times New Roman"/>
          <w:i/>
          <w:color w:val="000000"/>
          <w:sz w:val="16"/>
        </w:rPr>
        <w:t>Enterprise Value Waterfall Approach</w:t>
      </w:r>
    </w:p>
    <w:p>
      <w:pPr>
        <w:pStyle w:val="TextBody"/>
        <w:bidi w:val="0"/>
        <w:spacing w:before="120" w:after="120"/>
        <w:jc w:val="both"/>
        <w:rPr>
          <w:rFonts w:ascii="Times New Roman" w:hAnsi="Times New Roman"/>
          <w:sz w:val="20"/>
        </w:rPr>
      </w:pPr>
      <w:r>
        <w:rPr>
          <w:rFonts w:ascii="Times New Roman" w:hAnsi="Times New Roman"/>
          <w:color w:val="000000"/>
          <w:sz w:val="16"/>
        </w:rPr>
        <w:t>The enterprise value waterfall approach determines an enterprise value based 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i/>
          <w:color w:val="000000"/>
          <w:sz w:val="16"/>
        </w:rPr>
        <w:t>Income Approach</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color w:val="000000"/>
          <w:sz w:val="16"/>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 return on capital, and debt to equity ratios. The implied credit rating is used to assign a base discount rate range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pStyle w:val="TextBody"/>
        <w:bidi w:val="0"/>
        <w:spacing w:before="120" w:after="120"/>
        <w:jc w:val="both"/>
        <w:rPr>
          <w:rFonts w:ascii="Times New Roman" w:hAnsi="Times New Roman"/>
          <w:sz w:val="20"/>
        </w:rPr>
      </w:pPr>
      <w:r>
        <w:rPr>
          <w:rFonts w:ascii="Times New Roman" w:hAnsi="Times New Roman"/>
          <w:i/>
          <w:color w:val="000000"/>
          <w:sz w:val="16"/>
        </w:rPr>
        <w:t>Asset Approach</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The asset approach values an investment based on the value of the underlying collateral securing the investment.</w:t>
      </w:r>
    </w:p>
    <w:p>
      <w:pPr>
        <w:pStyle w:val="TextBody"/>
        <w:bidi w:val="0"/>
        <w:spacing w:before="120" w:after="120"/>
        <w:jc w:val="both"/>
        <w:rPr>
          <w:rFonts w:ascii="Times New Roman" w:hAnsi="Times New Roman"/>
          <w:b/>
          <w:i/>
          <w:color w:val="000000"/>
          <w:sz w:val="16"/>
        </w:rPr>
      </w:pPr>
      <w:r>
        <w:rPr>
          <w:rFonts w:ascii="Times New Roman" w:hAnsi="Times New Roman"/>
          <w:b/>
          <w:i/>
          <w:color w:val="000000"/>
          <w:sz w:val="16"/>
        </w:rPr>
        <w:t>Revenue Recognition</w:t>
      </w:r>
    </w:p>
    <w:p>
      <w:pPr>
        <w:pStyle w:val="TextBody"/>
        <w:bidi w:val="0"/>
        <w:spacing w:before="0" w:after="120"/>
        <w:jc w:val="both"/>
        <w:rPr>
          <w:rFonts w:ascii="Times New Roman" w:hAnsi="Times New Roman"/>
          <w:sz w:val="20"/>
        </w:rPr>
      </w:pPr>
      <w:r>
        <w:rPr>
          <w:rFonts w:ascii="Times New Roman" w:hAnsi="Times New Roman"/>
          <w:color w:val="000000"/>
          <w:sz w:val="16"/>
        </w:rPr>
        <w:t>The Company’s revenue recognition policies are as follows: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i/>
          <w:color w:val="000000"/>
          <w:sz w:val="16"/>
        </w:rPr>
        <w:t>Interest income and payment-in-kind (</w:t>
      </w:r>
      <w:r>
        <w:rPr>
          <w:rFonts w:ascii="Times New Roman" w:hAnsi="Times New Roman"/>
          <w:color w:val="000000"/>
          <w:sz w:val="20"/>
        </w:rPr>
        <w:t>“</w:t>
      </w:r>
      <w:r>
        <w:rPr>
          <w:rFonts w:ascii="Times New Roman" w:hAnsi="Times New Roman"/>
          <w:i/>
          <w:color w:val="000000"/>
          <w:sz w:val="16"/>
        </w:rPr>
        <w:t>PIK</w:t>
      </w:r>
      <w:r>
        <w:rPr>
          <w:rFonts w:ascii="Times New Roman" w:hAnsi="Times New Roman"/>
          <w:color w:val="000000"/>
          <w:sz w:val="20"/>
        </w:rPr>
        <w:t>”</w:t>
      </w:r>
      <w:r>
        <w:rPr>
          <w:rFonts w:ascii="Times New Roman" w:hAnsi="Times New Roman"/>
          <w:i/>
          <w:color w:val="000000"/>
          <w:sz w:val="16"/>
        </w:rPr>
        <w:t xml:space="preserve">) interest income: </w:t>
      </w:r>
      <w:r>
        <w:rPr>
          <w:rFonts w:ascii="Times New Roman" w:hAnsi="Times New Roman"/>
          <w:color w:val="000000"/>
          <w:sz w:val="16"/>
        </w:rPr>
        <w:t>Interest income is recorded on the accrual basis to the extent that such amounts are expected to be collected. The Company has loans in the portfolio that contain a PIK interest provision. PIK interest, which represents contractually deferred interest added to the loan balance that is generally due at maturity, is recorded on the accrual basis to the extent that such amounts are expected to be collected. PIK interest is not accrued if the Company does not expect the issuer to be able to pay all principal and interest when due.</w:t>
      </w:r>
    </w:p>
    <w:p>
      <w:pPr>
        <w:pStyle w:val="TextBody"/>
        <w:bidi w:val="0"/>
        <w:spacing w:before="120" w:after="120"/>
        <w:jc w:val="both"/>
        <w:rPr>
          <w:rFonts w:ascii="Times New Roman" w:hAnsi="Times New Roman"/>
          <w:sz w:val="20"/>
        </w:rPr>
      </w:pPr>
      <w:r>
        <w:rPr>
          <w:rFonts w:ascii="Times New Roman" w:hAnsi="Times New Roman"/>
          <w:i/>
          <w:color w:val="000000"/>
          <w:sz w:val="16"/>
        </w:rPr>
        <w:t xml:space="preserve">Non-accrual investments: </w:t>
      </w:r>
      <w:r>
        <w:rPr>
          <w:rFonts w:ascii="Times New Roman" w:hAnsi="Times New Roman"/>
          <w:color w:val="000000"/>
          <w:sz w:val="16"/>
        </w:rPr>
        <w:t>Management reviews all loans that become 90 days or more past due, or when there is reasonable doubt that principal or interest will be collected, for possible 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interest when it is determined that interest is no longer considered collectible. Non-accrual loans are returned to accrual status when the borrower’s financial condition improves such that management believes current interest and principal payments are expected to be collected.</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i/>
          <w:color w:val="000000"/>
          <w:sz w:val="16"/>
        </w:rPr>
        <w:t xml:space="preserve">Gains and losses on investment sales and paydowns: </w:t>
      </w:r>
      <w:r>
        <w:rPr>
          <w:rFonts w:ascii="Times New Roman" w:hAnsi="Times New Roman"/>
          <w:color w:val="000000"/>
          <w:sz w:val="16"/>
        </w:rPr>
        <w:t>Realized gains and losses on investments are recognized using the specific identification method.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i/>
          <w:color w:val="000000"/>
          <w:sz w:val="16"/>
        </w:rPr>
        <w:t xml:space="preserve">Dividend income and payment-in-kind dividends: </w:t>
      </w:r>
      <w:r>
        <w:rPr>
          <w:rFonts w:ascii="Times New Roman" w:hAnsi="Times New Roman"/>
          <w:color w:val="000000"/>
          <w:sz w:val="16"/>
        </w:rPr>
        <w:t>Dividend income is recognized on the date dividends are declared. The Company holds preferred equity investments in the portfolio that contain a PIK dividend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PIK dividends are more likely than not to be collected, management may elect to continue accruing PIK dividends.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i/>
          <w:color w:val="000000"/>
          <w:sz w:val="16"/>
        </w:rPr>
        <w:t xml:space="preserve">Original issue discount: </w:t>
      </w:r>
      <w:r>
        <w:rPr>
          <w:rFonts w:ascii="Times New Roman" w:hAnsi="Times New Roman"/>
          <w:color w:val="000000"/>
          <w:sz w:val="16"/>
        </w:rPr>
        <w:t>Discounts received to par on loans purchased are capitalized and accreted into income over the life of the loan. Any remaining discount is accreted into income upon prepayment of the loan.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i/>
          <w:color w:val="000000"/>
          <w:sz w:val="16"/>
        </w:rPr>
        <w:t xml:space="preserve">Other income: </w:t>
      </w:r>
      <w:r>
        <w:rPr>
          <w:rFonts w:ascii="Times New Roman" w:hAnsi="Times New Roman"/>
          <w:color w:val="000000"/>
          <w:sz w:val="16"/>
        </w:rPr>
        <w:t>Origination fees (to the extent services are performed to earn such income upon closing), amendment fees, consent fees and other fees associated with investments in portfolio companies are recognized as income when they are earned. Prepayment penalties received by the Company for debt instruments repaid prior to the maturity date are recorded as income upon receipt.</w:t>
      </w:r>
    </w:p>
    <w:p>
      <w:pPr>
        <w:pStyle w:val="TextBody"/>
        <w:bidi w:val="0"/>
        <w:spacing w:before="120" w:after="120"/>
        <w:jc w:val="both"/>
        <w:rPr>
          <w:rFonts w:ascii="Times New Roman" w:hAnsi="Times New Roman"/>
          <w:b/>
          <w:color w:val="000000"/>
          <w:sz w:val="16"/>
        </w:rPr>
      </w:pPr>
      <w:r>
        <w:rPr>
          <w:rFonts w:ascii="Times New Roman" w:hAnsi="Times New Roman"/>
          <w:b/>
          <w:color w:val="000000"/>
          <w:sz w:val="16"/>
        </w:rPr>
        <w:t>Income Taxes</w:t>
      </w:r>
    </w:p>
    <w:p>
      <w:pPr>
        <w:pStyle w:val="TextBody"/>
        <w:bidi w:val="0"/>
        <w:jc w:val="both"/>
        <w:rPr>
          <w:rFonts w:ascii="Times New Roman" w:hAnsi="Times New Roman"/>
          <w:color w:val="000000"/>
          <w:sz w:val="16"/>
        </w:rPr>
      </w:pPr>
      <w:r>
        <w:rPr>
          <w:rFonts w:ascii="Times New Roman" w:hAnsi="Times New Roman"/>
          <w:color w:val="000000"/>
          <w:sz w:val="16"/>
        </w:rPr>
        <w:t>Prior to the Formation Transactions, the Legacy Funds were treated as partnerships for U.S. federal, state and local income tax purposes and, therefore, no provision has been made in the accompanying consolidated financial statements for federal, state or local income taxes. In accordance with the partnership tax law requirements, each partner would include their respective components of the Legacy Funds’ taxable profits or losses, as shown on their Schedule K-1 in their respective tax or information returns. Subsequent to the Formation Transactions, the Legacy Funds became disregarded entities for tax purposes.</w:t>
      </w:r>
    </w:p>
    <w:p>
      <w:pPr>
        <w:pStyle w:val="TextBody"/>
        <w:bidi w:val="0"/>
        <w:spacing w:before="120" w:after="283"/>
        <w:jc w:val="both"/>
        <w:rPr>
          <w:rFonts w:ascii="Times New Roman" w:hAnsi="Times New Roman"/>
          <w:sz w:val="20"/>
        </w:rPr>
      </w:pPr>
      <w:r>
        <w:rPr>
          <w:rFonts w:ascii="Times New Roman" w:hAnsi="Times New Roman"/>
          <w:color w:val="000000"/>
          <w:sz w:val="16"/>
        </w:rPr>
        <w:t>The Company has elected to be treated for U.S. federal income tax purposes, and intends to comply with the requirements to qualify annually, as a RIC under Subchapter M of the Code and, among other things, intends to make the requisite distributions to its stockholders which will relieve the Company from U.S. federal income taxes.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order to qualify for tax treatment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certain undistributed income if it does not distribute an amount at least equal to the sum of (i) 98.0% of its ordinary income for the calendar year, (ii) 98.2% of its capital gains in excess of capital losses for the one-year period ending on October 31 of the calendar year, and (iii) any ordinary income and capital gain net income that it recognized for preceding years, but were not distributed during such years, and on which it paid no U.S. federal income tax.</w:t>
      </w:r>
    </w:p>
    <w:p>
      <w:pPr>
        <w:pStyle w:val="TextBody"/>
        <w:bidi w:val="0"/>
        <w:spacing w:before="120" w:after="283"/>
        <w:jc w:val="both"/>
        <w:rPr>
          <w:rFonts w:ascii="Times New Roman" w:hAnsi="Times New Roman"/>
          <w:sz w:val="20"/>
        </w:rPr>
      </w:pPr>
      <w:r>
        <w:rPr>
          <w:rFonts w:ascii="Times New Roman" w:hAnsi="Times New Roman"/>
          <w:color w:val="000000"/>
          <w:sz w:val="16"/>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U.S. federal excise tax purposes, the Company accrues excise tax, if any, on estimated excess taxable income as taxable income is earned. Since the Company’s IPO, the Company has not accrued or paid excise tax.</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tax years ended December 31, 2023, 2022, 2021 and 2020 remain subject to examination by U.S. federal, state, and local tax authorities. No material interest expense or penalties have been assessed for the three and six months ended June 30, 2024 and 2023. If the Company was required to recognize interest and penalties, if any, related to unrecognized tax benefits this would be recognized as income tax expense in the consolidated statements of operations.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Company’s Taxable Subsidiaries record deferred tax assets or liabilities related to temporary book versus tax differences on the income or loss generated by the underlying equity investments held by the Taxable Subsidiaries. As of both June 30, 2024 and December 31, 2023, the Company recorded a net deferred tax asset of zero. For both the three and six months ended June 30, 2024 and 2023, the Company recorded a tax provision of zero. As of June 30, 2024 and December 31, 2023, the valuation allowance on the Company’s net deferred tax asset was $3.4 million and $3.9 million, respectively. During the three and six months ended June 30, 2024, the Company recognized a decrease in the valuation allowance of $0.5 million. During the three and six months ended June 30, 2023, the Company recognized a decrease in the valuation allowance of $0.1 million.</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accordance with certain applicable U.S. Treasury regulations and guidance issued by the Internal Revenue Service, a publicly offered RIC may treat a distribution of its own stock as fulfilling its RIC distribution requirements if each stockholder may elect to receive its entire distribution in either cash or stock of the RIC, subject to a limitation on the aggregate amount of cash available to be distributed to all stockholders, which limitation must be at least 20.0% of the aggregate declared distribution. If too many stockholders elect to receive cash, the cash available for distribution must be allocated pro rata among the stockholders electing to receive cash (with the balance of the distribution paid in stock). In no event will any stockholder, electing to receive cash, receive less than 20.0% of its entire distribution in cash. If these and certain other requirements are met, for U.S. federal income tax purposes, the amount of the dividend paid in stock will be equal to the amount of cash that could have been received instead of stock. The Company has no current intention of paying dividends in shares of its stock in accordance with these Treasury regulations or other applicable IRS guidance.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U.S. GAAP provides guidance on thresholds, measurement, de-recognition, classification, interest and penalties, accounting in interim periods, disclosure, and transition that is intended to provide better financial statement comparability among different entities.</w:t>
      </w:r>
    </w:p>
    <w:p>
      <w:pPr>
        <w:pStyle w:val="TextBody"/>
        <w:bidi w:val="0"/>
        <w:spacing w:before="120" w:after="283"/>
        <w:jc w:val="both"/>
        <w:rPr>
          <w:rFonts w:ascii="Times New Roman" w:hAnsi="Times New Roman"/>
          <w:sz w:val="20"/>
        </w:rPr>
      </w:pPr>
      <w:r>
        <w:rPr>
          <w:rFonts w:ascii="Times New Roman" w:hAnsi="Times New Roman"/>
          <w:color w:val="000000"/>
          <w:sz w:val="16"/>
        </w:rPr>
        <w:t xml:space="preserve">ASC Topic 740 — </w:t>
      </w:r>
      <w:r>
        <w:rPr>
          <w:rFonts w:ascii="Times New Roman" w:hAnsi="Times New Roman"/>
          <w:i/>
          <w:color w:val="000000"/>
          <w:sz w:val="16"/>
        </w:rPr>
        <w:t>Income Taxes</w:t>
      </w:r>
      <w:r>
        <w:rPr>
          <w:rFonts w:ascii="Times New Roman" w:hAnsi="Times New Roman"/>
          <w:color w:val="000000"/>
          <w:sz w:val="20"/>
        </w:rPr>
        <w:t xml:space="preserve"> </w:t>
      </w:r>
      <w:r>
        <w:rPr>
          <w:rFonts w:ascii="Times New Roman" w:hAnsi="Times New Roman"/>
          <w:color w:val="000000"/>
          <w:sz w:val="16"/>
        </w:rPr>
        <w:t>(“ASC 740”), provides guidance for how uncertain tax positions should be recognized, measured, presented, and disclosed in the consolidated financial statements. ASC 740 requires the evaluation of tax positions taken or expected to be taken in the course of preparing the Company’s U.S. federal income tax returns to determine whether the tax positions are “more-likely-than-not” to be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June 30, 2024 and December 31, 2023, there were no uncertain tax positions.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16"/>
        </w:rPr>
        <w:t>The Company is required to determine whether a tax position of the Company is more-likely-than-not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16"/>
        </w:rPr>
        <w:t>The Company has concluded that it was not necessary to record a liability for any such tax positions as of June 30, 2024 and December 31, 2023. However, the Company’s conclusions regarding this policy may be subject to review and adjustment at a later date based on factors including, but not limited to, ongoing analyses of, and changes to, tax laws, regulations and interpretations thereof.</w:t>
      </w:r>
      <w:r>
        <w:rPr>
          <w:rFonts w:ascii="Times New Roman" w:hAnsi="Times New Roman"/>
          <w:color w:val="000000"/>
          <w:sz w:val="20"/>
        </w:rPr>
        <w:t xml:space="preserve"> </w:t>
      </w:r>
    </w:p>
    <w:p>
      <w:pPr>
        <w:pStyle w:val="TextBody"/>
        <w:bidi w:val="0"/>
        <w:spacing w:before="120" w:after="120"/>
        <w:jc w:val="both"/>
        <w:rPr>
          <w:rFonts w:ascii="Times New Roman" w:hAnsi="Times New Roman"/>
          <w:b/>
          <w:color w:val="000000"/>
          <w:sz w:val="16"/>
        </w:rPr>
      </w:pPr>
      <w:r>
        <w:rPr>
          <w:rFonts w:ascii="Times New Roman" w:hAnsi="Times New Roman"/>
          <w:b/>
          <w:color w:val="000000"/>
          <w:sz w:val="16"/>
        </w:rPr>
        <w:t>Portfolio and Investment Activity</w:t>
      </w:r>
    </w:p>
    <w:p>
      <w:pPr>
        <w:pStyle w:val="TextBody"/>
        <w:bidi w:val="0"/>
        <w:jc w:val="both"/>
        <w:rPr>
          <w:rFonts w:ascii="Times New Roman" w:hAnsi="Times New Roman"/>
          <w:color w:val="000000"/>
          <w:sz w:val="16"/>
        </w:rPr>
      </w:pPr>
      <w:r>
        <w:rPr>
          <w:rFonts w:ascii="Times New Roman" w:hAnsi="Times New Roman"/>
          <w:color w:val="000000"/>
          <w:sz w:val="16"/>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primarily in first lien loans, and, to a lesser extent, second lien loans and equity securities issued by lower middle-market companies and traditional middle-market companies. As of June 30, 2024, our portfolio consisted of investments in 61 portfolio companies with a fair value of approximately $195.6 million. As of December 31, 2023, our portfolio consisted of investments in 60 portfolio companies with a fair value of approximately $189.7 million.</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delayed draw facilities, or revolving credit facilities. Unitranche debt, a form of first lien loan, typically involves issuing one debt security that blends the risk and return profiles of both senior secured and subordinated debt, bifurcating the loan into a first-out tranche and last-out tranche. As of June 30, 2024, none of the fair value of our first lien loans consisted of last-out loans. As of December 31, 2023, none of the fair value of our first lien loans consisted of last-out loans. In some cases, first lien loans may be subordinated, solely with respect to the payment of cash interest, to an asset based revolving credit facility.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 also invests in debt instruments structured as second lien loans. Second lien loans are loans which have a second priority security interest in all or substantially all of the borrower’s assets, and in some cases, may be subject to the interruption of cash interest payments upon certain events of default, at the discretion of the first lien lender.</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During the three months ended June 30, 2024, we made approximately $1.5 million of investments and had approximately $5.6 million in repayments and sales, resulting in net repayments and sales of approximately $4.1 million for the period. During the three months ended June 30, 2023, we made approximately $4.8 million of investments and had approximately $4.4 million in repayments and sales, resulting in net deployment of approximately $0.4 million for the period.</w:t>
      </w:r>
    </w:p>
    <w:p>
      <w:pPr>
        <w:pStyle w:val="TextBody"/>
        <w:bidi w:val="0"/>
        <w:spacing w:before="120" w:after="283"/>
        <w:jc w:val="both"/>
        <w:rPr>
          <w:rFonts w:ascii="Times New Roman" w:hAnsi="Times New Roman"/>
          <w:sz w:val="20"/>
        </w:rPr>
      </w:pPr>
      <w:r>
        <w:rPr>
          <w:rFonts w:ascii="Times New Roman" w:hAnsi="Times New Roman"/>
          <w:color w:val="000000"/>
          <w:sz w:val="16"/>
        </w:rPr>
        <w:t>During the six months ended June 30, 2024, we made approximately $11.3 million of investments and had approximately $6.5 million in repayments and sales, resulting in net deployment of approximately $4.8 million for the period. During the six months ended June 30, 2023, we made approximately $12.2 million of investments and had approximately $11.2 million in repayments and sales, resulting in net deployment of approximately $1.0 million for the period.</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As of June 30, 2024, our debt investment portfolio, which represented 80.0% of the fair value of our total portfolio, had a weighted average annualized yield of approximately 11.4% (excluding income from non-accruals and collateralized loan obligations). As of June 30, 2024, 11.9% of the fair value of our debt investment portfolio was bearing a fixed rate of interest. As of December 31, 2023, our debt investment portfolio, which represented 82.0% of the fair value of our total portfolio, had a weighted average annualized yield of approximately 11.1% (excluding income from non-accruals and collateralized loan obligations). As of December 31, 2023, 13.6% of the fair value of our debt investment portfolio was bearing a fixed rate of interest.</w:t>
      </w:r>
    </w:p>
    <w:p>
      <w:pPr>
        <w:pStyle w:val="TextBody"/>
        <w:bidi w:val="0"/>
        <w:spacing w:before="120" w:after="283"/>
        <w:jc w:val="both"/>
        <w:rPr>
          <w:rFonts w:ascii="Times New Roman" w:hAnsi="Times New Roman"/>
          <w:sz w:val="20"/>
        </w:rPr>
      </w:pPr>
      <w:r>
        <w:rPr>
          <w:rFonts w:ascii="Times New Roman" w:hAnsi="Times New Roman"/>
          <w:color w:val="000000"/>
          <w:sz w:val="16"/>
        </w:rPr>
        <w:t>The weighted average annualized yield is calculated based on the effective interest rate as of period end, divided by the fair value of our debt investments. The weighted average annualized yield of our debt investments is not the same as a return on investment for our stockholders but, rather, relates to a portion of our investment portfolio and is calculated before the payment of all of our fees and expenses. There can be no assurance that the weighted average annualized yield will remain at its current level.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 of June 30, 2024, the Company’s Adviser approved the fair value of the Company’s investment portfolio of approximately $195.6 million in good faith in accordance with the Company’s valuation procedures. The Company’s Adviser approved the fair value of the Company’s investment portfolio as of June 30, 2024 with input from third-party valuation firms and the Investment Adviser, as valuation designee, based on information known or knowable as of the valuation date, including trailing and forward looking data.</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 of June 30, 2024, we had debt investments in three portfolio companies on non-accrual status with an aggregate amortized cost of $17.2 million and an aggregate fair value of $10.1 million, which represented 8.5% and 5.2% of the investment portfolio, respectively. As of December 31, 2023, we had debt investments in three portfolio companies on non-accrual status with aggregate amortized cost of $17.2 million and an aggregate fair value of $12.8 million, which represented 8.7% and 6.8% of the investment portfolio,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sz w:val="20"/>
        </w:rPr>
      </w:pPr>
      <w:r>
        <w:rPr>
          <w:rFonts w:ascii="Times New Roman" w:hAnsi="Times New Roman"/>
          <w:color w:val="000000"/>
          <w:sz w:val="16"/>
        </w:rPr>
        <w:t>The following table summarizes the amortized cost and the fair value of investments as of June 30, 2024 (dollars in thousands):</w:t>
      </w:r>
      <w:r>
        <w:rPr>
          <w:rFonts w:ascii="Times New Roman" w:hAnsi="Times New Roman"/>
          <w:color w:val="000000"/>
          <w:sz w:val="20"/>
        </w:rPr>
        <w:t xml:space="preserve"> </w:t>
      </w:r>
    </w:p>
    <w:tbl>
      <w:tblPr>
        <w:tblW w:w="8559" w:type="dxa"/>
        <w:jc w:val="left"/>
        <w:tblInd w:w="0" w:type="dxa"/>
        <w:tblLayout w:type="fixed"/>
        <w:tblCellMar>
          <w:top w:w="28" w:type="dxa"/>
          <w:left w:w="28" w:type="dxa"/>
          <w:bottom w:w="28" w:type="dxa"/>
          <w:right w:w="28" w:type="dxa"/>
        </w:tblCellMar>
      </w:tblPr>
      <w:tblGrid>
        <w:gridCol w:w="2311"/>
        <w:gridCol w:w="146"/>
        <w:gridCol w:w="274"/>
        <w:gridCol w:w="971"/>
        <w:gridCol w:w="146"/>
        <w:gridCol w:w="146"/>
        <w:gridCol w:w="276"/>
        <w:gridCol w:w="969"/>
        <w:gridCol w:w="241"/>
        <w:gridCol w:w="146"/>
        <w:gridCol w:w="255"/>
        <w:gridCol w:w="900"/>
        <w:gridCol w:w="146"/>
        <w:gridCol w:w="146"/>
        <w:gridCol w:w="266"/>
        <w:gridCol w:w="934"/>
        <w:gridCol w:w="28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b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br/>
              <w:t>Percentage of</w:t>
              <w:br/>
              <w:t>Total Portfolio</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Percentage of</w:t>
              <w:br/>
              <w:t>Total Portfolio</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133,516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125,133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Joint Venture</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202,830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195,553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120"/>
        <w:jc w:val="both"/>
        <w:rPr>
          <w:rFonts w:ascii="Times New Roman" w:hAnsi="Times New Roman"/>
          <w:color w:val="000000"/>
          <w:sz w:val="16"/>
        </w:rPr>
      </w:pPr>
      <w:r>
        <w:rPr>
          <w:rFonts w:ascii="Times New Roman" w:hAnsi="Times New Roman"/>
          <w:color w:val="000000"/>
          <w:sz w:val="16"/>
        </w:rPr>
        <w:t>The following table summarizes the amortized cost and the fair value of investments as of December 31, 2023 (dollars in thousands):</w:t>
      </w:r>
    </w:p>
    <w:tbl>
      <w:tblPr>
        <w:tblW w:w="8559" w:type="dxa"/>
        <w:jc w:val="left"/>
        <w:tblInd w:w="0" w:type="dxa"/>
        <w:tblLayout w:type="fixed"/>
        <w:tblCellMar>
          <w:top w:w="28" w:type="dxa"/>
          <w:left w:w="28" w:type="dxa"/>
          <w:bottom w:w="28" w:type="dxa"/>
          <w:right w:w="28" w:type="dxa"/>
        </w:tblCellMar>
      </w:tblPr>
      <w:tblGrid>
        <w:gridCol w:w="2311"/>
        <w:gridCol w:w="146"/>
        <w:gridCol w:w="274"/>
        <w:gridCol w:w="971"/>
        <w:gridCol w:w="146"/>
        <w:gridCol w:w="146"/>
        <w:gridCol w:w="276"/>
        <w:gridCol w:w="969"/>
        <w:gridCol w:w="241"/>
        <w:gridCol w:w="146"/>
        <w:gridCol w:w="255"/>
        <w:gridCol w:w="900"/>
        <w:gridCol w:w="146"/>
        <w:gridCol w:w="146"/>
        <w:gridCol w:w="266"/>
        <w:gridCol w:w="934"/>
        <w:gridCol w:w="28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b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br/>
              <w:t>Percentage of</w:t>
              <w:br/>
              <w:t>Total Portfolio</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Percentage of</w:t>
              <w:br/>
              <w:t>Total Portfolio</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128,537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65.4</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65.4</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Joint Venture</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196,518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189,658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120"/>
        <w:jc w:val="both"/>
        <w:rPr>
          <w:rFonts w:ascii="Times New Roman" w:hAnsi="Times New Roman"/>
          <w:sz w:val="20"/>
        </w:rPr>
      </w:pPr>
      <w:r>
        <w:rPr>
          <w:rFonts w:ascii="Times New Roman" w:hAnsi="Times New Roman"/>
          <w:color w:val="000000"/>
          <w:sz w:val="16"/>
        </w:rPr>
        <w:t>The following table shows the portfolio composition by industry grouping at fair value as of June 30, 2024 and December 31, 2023 (dollars in thousands):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797"/>
        <w:gridCol w:w="146"/>
        <w:gridCol w:w="249"/>
        <w:gridCol w:w="882"/>
        <w:gridCol w:w="146"/>
        <w:gridCol w:w="146"/>
        <w:gridCol w:w="414"/>
        <w:gridCol w:w="1456"/>
        <w:gridCol w:w="241"/>
        <w:gridCol w:w="146"/>
        <w:gridCol w:w="249"/>
        <w:gridCol w:w="882"/>
        <w:gridCol w:w="146"/>
        <w:gridCol w:w="146"/>
        <w:gridCol w:w="414"/>
        <w:gridCol w:w="1456"/>
        <w:gridCol w:w="289"/>
      </w:tblGrid>
      <w:tr>
        <w:trPr/>
        <w:tc>
          <w:tcPr>
            <w:tcW w:w="2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79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Investments at </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Total Portfolio</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Investments at </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Total Portfolio</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Healthcare</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Business Services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Financials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Information Technology</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Industrials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Discretionary</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Healthcare Management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Automobile Part Manufacturer</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Advertising &amp; Marketing Services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Communication Services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Medical Device Distributor</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Textile Equipment Manufacturer</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Financial Services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Online Merchandise Retailer</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Staples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Household Product Manufacturer</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Oil &amp; Gas Engineering and Consulting Services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Data Processing &amp; Digital Marketing</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Electronic Machine Repair</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Industrial</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Testing Laboratories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color w:val="000000"/>
              </w:rPr>
            </w:pPr>
            <w:r>
              <w:rPr>
                <w:color w:val="000000"/>
              </w:rPr>
              <w:t>—</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24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195,553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189,658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8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20" w:after="120"/>
        <w:jc w:val="left"/>
        <w:rPr>
          <w:rFonts w:ascii="Times New Roman" w:hAnsi="Times New Roman"/>
          <w:b/>
          <w:color w:val="000000"/>
          <w:sz w:val="16"/>
        </w:rPr>
      </w:pPr>
      <w:r>
        <w:rPr>
          <w:rFonts w:ascii="Times New Roman" w:hAnsi="Times New Roman"/>
          <w:b/>
          <w:color w:val="000000"/>
          <w:sz w:val="16"/>
        </w:rPr>
        <w:t>Results of Operations</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Operating results for the three and six months ended June 30, 2024 and 2023 were as follows (dollars in thousands):</w:t>
      </w:r>
    </w:p>
    <w:tbl>
      <w:tblPr>
        <w:tblW w:w="10205" w:type="dxa"/>
        <w:jc w:val="left"/>
        <w:tblInd w:w="0" w:type="dxa"/>
        <w:tblLayout w:type="fixed"/>
        <w:tblCellMar>
          <w:top w:w="28" w:type="dxa"/>
          <w:left w:w="28" w:type="dxa"/>
          <w:bottom w:w="28" w:type="dxa"/>
          <w:right w:w="28" w:type="dxa"/>
        </w:tblCellMar>
      </w:tblPr>
      <w:tblGrid>
        <w:gridCol w:w="4297"/>
        <w:gridCol w:w="146"/>
        <w:gridCol w:w="286"/>
        <w:gridCol w:w="834"/>
        <w:gridCol w:w="242"/>
        <w:gridCol w:w="213"/>
        <w:gridCol w:w="286"/>
        <w:gridCol w:w="834"/>
        <w:gridCol w:w="166"/>
        <w:gridCol w:w="146"/>
        <w:gridCol w:w="261"/>
        <w:gridCol w:w="801"/>
        <w:gridCol w:w="221"/>
        <w:gridCol w:w="194"/>
        <w:gridCol w:w="261"/>
        <w:gridCol w:w="801"/>
        <w:gridCol w:w="216"/>
      </w:tblGrid>
      <w:tr>
        <w:trPr/>
        <w:tc>
          <w:tcPr>
            <w:tcW w:w="42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2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shd w:fill="FFFFFF" w:val="clear"/>
            <w:vAlign w:val="center"/>
          </w:tcPr>
          <w:p>
            <w:pPr>
              <w:pStyle w:val="TableContents"/>
              <w:bidi w:val="0"/>
              <w:spacing w:before="0" w:after="283"/>
              <w:jc w:val="left"/>
              <w:rPr/>
            </w:pPr>
            <w:r>
              <w:rPr/>
              <w:t> </w:t>
            </w:r>
          </w:p>
        </w:tc>
        <w:tc>
          <w:tcPr>
            <w:tcW w:w="1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0" w:type="dxa"/>
            <w:gridSpan w:val="2"/>
            <w:tcBorders/>
            <w:shd w:fill="FFFFFF" w:val="clear"/>
            <w:vAlign w:val="center"/>
          </w:tcPr>
          <w:p>
            <w:pPr>
              <w:pStyle w:val="TableContents"/>
              <w:bidi w:val="0"/>
              <w:spacing w:before="0" w:after="283"/>
              <w:jc w:val="center"/>
              <w:rPr/>
            </w:pPr>
            <w:r>
              <w:rPr/>
              <w:t> </w:t>
            </w:r>
          </w:p>
        </w:tc>
        <w:tc>
          <w:tcPr>
            <w:tcW w:w="242" w:type="dxa"/>
            <w:tcBorders/>
            <w:shd w:fill="FFFFFF" w:val="clear"/>
            <w:vAlign w:val="center"/>
          </w:tcPr>
          <w:p>
            <w:pPr>
              <w:pStyle w:val="TableContents"/>
              <w:bidi w:val="0"/>
              <w:spacing w:before="0" w:after="283"/>
              <w:jc w:val="center"/>
              <w:rPr/>
            </w:pPr>
            <w:r>
              <w:rPr/>
              <w:t> </w:t>
            </w:r>
          </w:p>
        </w:tc>
        <w:tc>
          <w:tcPr>
            <w:tcW w:w="213" w:type="dxa"/>
            <w:tcBorders/>
            <w:shd w:fill="FFFFFF" w:val="clear"/>
            <w:vAlign w:val="center"/>
          </w:tcPr>
          <w:p>
            <w:pPr>
              <w:pStyle w:val="TableContents"/>
              <w:bidi w:val="0"/>
              <w:spacing w:before="0" w:after="283"/>
              <w:jc w:val="left"/>
              <w:rPr/>
            </w:pPr>
            <w:r>
              <w:rPr/>
              <w:t> </w:t>
            </w:r>
          </w:p>
        </w:tc>
        <w:tc>
          <w:tcPr>
            <w:tcW w:w="1120"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221" w:type="dxa"/>
            <w:tcBorders/>
            <w:shd w:fill="FFFFFF" w:val="clear"/>
            <w:vAlign w:val="center"/>
          </w:tcPr>
          <w:p>
            <w:pPr>
              <w:pStyle w:val="TableContents"/>
              <w:bidi w:val="0"/>
              <w:spacing w:before="0" w:after="283"/>
              <w:jc w:val="center"/>
              <w:rPr/>
            </w:pPr>
            <w:r>
              <w:rPr/>
              <w:t> </w:t>
            </w:r>
          </w:p>
        </w:tc>
        <w:tc>
          <w:tcPr>
            <w:tcW w:w="194"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216" w:type="dxa"/>
            <w:tcBorders/>
            <w:shd w:fill="FFFFFF" w:val="clear"/>
            <w:vAlign w:val="center"/>
          </w:tcPr>
          <w:p>
            <w:pPr>
              <w:pStyle w:val="TableContents"/>
              <w:bidi w:val="0"/>
              <w:spacing w:before="0" w:after="283"/>
              <w:jc w:val="center"/>
              <w:rPr/>
            </w:pPr>
            <w:r>
              <w:rPr/>
              <w:t> </w:t>
            </w:r>
          </w:p>
        </w:tc>
      </w:tr>
      <w:tr>
        <w:trPr/>
        <w:tc>
          <w:tcPr>
            <w:tcW w:w="42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investment income</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5,370</w:t>
            </w:r>
          </w:p>
        </w:tc>
        <w:tc>
          <w:tcPr>
            <w:tcW w:w="242"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10,373</w:t>
            </w:r>
          </w:p>
        </w:tc>
        <w:tc>
          <w:tcPr>
            <w:tcW w:w="221"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10,600</w:t>
            </w:r>
          </w:p>
        </w:tc>
        <w:tc>
          <w:tcPr>
            <w:tcW w:w="216" w:type="dxa"/>
            <w:tcBorders/>
            <w:shd w:fill="CFF0FC" w:val="clear"/>
            <w:vAlign w:val="center"/>
          </w:tcPr>
          <w:p>
            <w:pPr>
              <w:pStyle w:val="TableContents"/>
              <w:bidi w:val="0"/>
              <w:spacing w:before="0" w:after="283"/>
              <w:jc w:val="left"/>
              <w:rPr/>
            </w:pPr>
            <w:r>
              <w:rPr/>
              <w:t> </w:t>
            </w:r>
          </w:p>
        </w:tc>
      </w:tr>
      <w:tr>
        <w:trPr/>
        <w:tc>
          <w:tcPr>
            <w:tcW w:w="42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w:t>
            </w:r>
          </w:p>
        </w:tc>
        <w:tc>
          <w:tcPr>
            <w:tcW w:w="146" w:type="dxa"/>
            <w:tcBorders/>
            <w:shd w:fill="FFFFFF" w:val="cle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4,620</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8,676</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8,488</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w:t>
            </w:r>
          </w:p>
        </w:tc>
        <w:tc>
          <w:tcPr>
            <w:tcW w:w="242"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1,697</w:t>
            </w:r>
          </w:p>
        </w:tc>
        <w:tc>
          <w:tcPr>
            <w:tcW w:w="221"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2,112</w:t>
            </w:r>
          </w:p>
        </w:tc>
        <w:tc>
          <w:tcPr>
            <w:tcW w:w="216" w:type="dxa"/>
            <w:tcBorders/>
            <w:shd w:fill="CFF0FC" w:val="clear"/>
            <w:vAlign w:val="center"/>
          </w:tcPr>
          <w:p>
            <w:pPr>
              <w:pStyle w:val="TableContents"/>
              <w:bidi w:val="0"/>
              <w:spacing w:before="0" w:after="283"/>
              <w:jc w:val="left"/>
              <w:rPr/>
            </w:pPr>
            <w:r>
              <w:rPr/>
              <w:t> </w:t>
            </w:r>
          </w:p>
        </w:tc>
      </w:tr>
      <w:tr>
        <w:trPr/>
        <w:tc>
          <w:tcPr>
            <w:tcW w:w="42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 investments</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24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3"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221"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(3,868</w:t>
            </w:r>
          </w:p>
        </w:tc>
        <w:tc>
          <w:tcPr>
            <w:tcW w:w="2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2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appreciation (depreciation) on investments</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(1,092</w:t>
            </w:r>
          </w:p>
        </w:tc>
        <w:tc>
          <w:tcPr>
            <w:tcW w:w="24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3"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w:t>
            </w:r>
          </w:p>
        </w:tc>
        <w:tc>
          <w:tcPr>
            <w:tcW w:w="2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4"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4,346</w:t>
            </w:r>
          </w:p>
        </w:tc>
        <w:tc>
          <w:tcPr>
            <w:tcW w:w="216" w:type="dxa"/>
            <w:tcBorders/>
            <w:shd w:fill="CFF0FC" w:val="clear"/>
            <w:vAlign w:val="center"/>
          </w:tcPr>
          <w:p>
            <w:pPr>
              <w:pStyle w:val="TableContents"/>
              <w:bidi w:val="0"/>
              <w:spacing w:before="0" w:after="283"/>
              <w:jc w:val="left"/>
              <w:rPr/>
            </w:pPr>
            <w:r>
              <w:rPr/>
              <w:t> </w:t>
            </w:r>
          </w:p>
        </w:tc>
      </w:tr>
      <w:tr>
        <w:trPr/>
        <w:tc>
          <w:tcPr>
            <w:tcW w:w="42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 extinguishment of debt</w:t>
            </w:r>
          </w:p>
        </w:tc>
        <w:tc>
          <w:tcPr>
            <w:tcW w:w="146" w:type="dxa"/>
            <w:tcBorders/>
            <w:shd w:fill="FFFFFF" w:val="cle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3" w:type="dxa"/>
            <w:tcBorders/>
            <w:shd w:fill="FFFFFF" w:val="cle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4"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146" w:type="dxa"/>
            <w:tcBorders/>
            <w:shd w:fill="CFF0FC" w:val="clear"/>
            <w:vAlign w:val="center"/>
          </w:tcPr>
          <w:p>
            <w:pPr>
              <w:pStyle w:val="TableContents"/>
              <w:bidi w:val="0"/>
              <w:spacing w:before="0" w:after="283"/>
              <w:jc w:val="left"/>
              <w:rPr/>
            </w:pPr>
            <w:r>
              <w:rP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3" w:type="dxa"/>
            <w:tcBorders/>
            <w:shd w:fill="CFF0FC" w:val="clear"/>
            <w:vAlign w:val="center"/>
          </w:tcPr>
          <w:p>
            <w:pPr>
              <w:pStyle w:val="TableContents"/>
              <w:bidi w:val="0"/>
              <w:spacing w:before="0" w:after="283"/>
              <w:jc w:val="left"/>
              <w:rPr/>
            </w:pPr>
            <w:r>
              <w:rP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1,193</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2,590</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i/>
          <w:color w:val="000000"/>
          <w:sz w:val="16"/>
        </w:rPr>
        <w:t>Investment income</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color w:val="000000"/>
          <w:sz w:val="16"/>
        </w:rPr>
        <w:t>The composition of our investment income for the three and six months ended June 30, 2024 and 2023 was as follows (dollars in thousands):</w:t>
      </w:r>
      <w:r>
        <w:rPr>
          <w:rFonts w:ascii="Times New Roman" w:hAnsi="Times New Roman"/>
          <w:color w:val="000000"/>
          <w:sz w:val="20"/>
        </w:rPr>
        <w:t xml:space="preserve"> </w:t>
      </w:r>
    </w:p>
    <w:tbl>
      <w:tblPr>
        <w:tblW w:w="7960" w:type="dxa"/>
        <w:jc w:val="left"/>
        <w:tblInd w:w="0" w:type="dxa"/>
        <w:tblLayout w:type="fixed"/>
        <w:tblCellMar>
          <w:top w:w="28" w:type="dxa"/>
          <w:left w:w="28" w:type="dxa"/>
          <w:bottom w:w="28" w:type="dxa"/>
          <w:right w:w="28" w:type="dxa"/>
        </w:tblCellMar>
      </w:tblPr>
      <w:tblGrid>
        <w:gridCol w:w="1831"/>
        <w:gridCol w:w="146"/>
        <w:gridCol w:w="327"/>
        <w:gridCol w:w="853"/>
        <w:gridCol w:w="243"/>
        <w:gridCol w:w="243"/>
        <w:gridCol w:w="327"/>
        <w:gridCol w:w="853"/>
        <w:gridCol w:w="146"/>
        <w:gridCol w:w="146"/>
        <w:gridCol w:w="276"/>
        <w:gridCol w:w="846"/>
        <w:gridCol w:w="205"/>
        <w:gridCol w:w="205"/>
        <w:gridCol w:w="276"/>
        <w:gridCol w:w="846"/>
        <w:gridCol w:w="1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3" w:type="dxa"/>
            <w:tcBorders/>
            <w:shd w:fill="FFFFFF" w:val="clear"/>
            <w:vAlign w:val="center"/>
          </w:tcPr>
          <w:p>
            <w:pPr>
              <w:pStyle w:val="TableContents"/>
              <w:bidi w:val="0"/>
              <w:spacing w:before="0" w:after="283"/>
              <w:jc w:val="left"/>
              <w:rPr/>
            </w:pPr>
            <w:r>
              <w:rPr/>
              <w:t> </w:t>
            </w:r>
          </w:p>
        </w:tc>
        <w:tc>
          <w:tcPr>
            <w:tcW w:w="11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4,635</w:t>
            </w:r>
          </w:p>
        </w:tc>
        <w:tc>
          <w:tcPr>
            <w:tcW w:w="243"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9,268</w:t>
            </w:r>
          </w:p>
        </w:tc>
        <w:tc>
          <w:tcPr>
            <w:tcW w:w="205"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9,675</w:t>
            </w:r>
          </w:p>
        </w:tc>
        <w:tc>
          <w:tcPr>
            <w:tcW w:w="191" w:type="dxa"/>
            <w:tcBorders/>
            <w:shd w:fill="CFF0FC" w:val="clear"/>
            <w:vAlign w:val="center"/>
          </w:tcPr>
          <w:p>
            <w:pPr>
              <w:pStyle w:val="TableContents"/>
              <w:bidi w:val="0"/>
              <w:spacing w:before="0" w:after="283"/>
              <w:jc w:val="left"/>
              <w:rPr/>
            </w:pPr>
            <w:r>
              <w:rPr/>
              <w:t> </w:t>
            </w:r>
          </w:p>
        </w:tc>
      </w:tr>
      <w:tr>
        <w:trPr/>
        <w:tc>
          <w:tcPr>
            <w:tcW w:w="18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Payment-in-kind interest</w:t>
            </w:r>
          </w:p>
        </w:tc>
        <w:tc>
          <w:tcPr>
            <w:tcW w:w="146"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w:t>
            </w:r>
          </w:p>
        </w:tc>
        <w:tc>
          <w:tcPr>
            <w:tcW w:w="243"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871</w:t>
            </w:r>
          </w:p>
        </w:tc>
        <w:tc>
          <w:tcPr>
            <w:tcW w:w="205"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783</w:t>
            </w:r>
          </w:p>
        </w:tc>
        <w:tc>
          <w:tcPr>
            <w:tcW w:w="191" w:type="dxa"/>
            <w:tcBorders/>
            <w:shd w:fill="FFFFFF" w:val="clear"/>
            <w:vAlign w:val="center"/>
          </w:tcPr>
          <w:p>
            <w:pPr>
              <w:pStyle w:val="TableContents"/>
              <w:bidi w:val="0"/>
              <w:spacing w:before="0" w:after="283"/>
              <w:jc w:val="left"/>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 income</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243"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205"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191" w:type="dxa"/>
            <w:tcBorders/>
            <w:shd w:fill="CFF0FC" w:val="clear"/>
            <w:vAlign w:val="center"/>
          </w:tcPr>
          <w:p>
            <w:pPr>
              <w:pStyle w:val="TableContents"/>
              <w:bidi w:val="0"/>
              <w:spacing w:before="0" w:after="283"/>
              <w:jc w:val="left"/>
              <w:rPr/>
            </w:pPr>
            <w:r>
              <w:rPr/>
              <w:t> </w:t>
            </w:r>
          </w:p>
        </w:tc>
      </w:tr>
      <w:tr>
        <w:trPr/>
        <w:tc>
          <w:tcPr>
            <w:tcW w:w="18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w:t>
            </w:r>
          </w:p>
        </w:tc>
        <w:tc>
          <w:tcPr>
            <w:tcW w:w="146" w:type="dxa"/>
            <w:tcBorders/>
            <w:shd w:fill="FFFFFF" w:val="cle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investment income</w:t>
            </w:r>
          </w:p>
        </w:tc>
        <w:tc>
          <w:tcPr>
            <w:tcW w:w="146" w:type="dxa"/>
            <w:tcBorders/>
            <w:shd w:fill="CFF0FC" w:val="clear"/>
            <w:vAlign w:val="center"/>
          </w:tcPr>
          <w:p>
            <w:pPr>
              <w:pStyle w:val="TableContents"/>
              <w:bidi w:val="0"/>
              <w:spacing w:before="0" w:after="283"/>
              <w:jc w:val="lef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5,370</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10,373</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16"/>
        </w:rPr>
      </w:pPr>
      <w:r>
        <w:rPr>
          <w:rFonts w:ascii="Times New Roman" w:hAnsi="Times New Roman"/>
          <w:color w:val="000000"/>
          <w:sz w:val="16"/>
        </w:rPr>
        <w:t>The income reported as interest income, PIK interest, and PIK dividend income is generally based on the stated rates as disclosed in our consolidated schedules of investments. Accretion of discounts received for purchased loans are included in interest income as an adjustment to yield. As a general rule, our interest income, PIK interest, and PIK dividend income are recurring in nature.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also generate fee income primarily through origination fees charged for new investments, and secondarily via amendment fees, consent fees, prepayment penalties, and other fees. While fee income is typically non-recurring for each investment, most of our new investments include an origination fee; as such, fee income is dependent upon our volume of directly originated investments and the fee structure associated with those investments.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earn dividends on certain equity investments within our investment portfolio. As noted in our consolidated schedules of investments, some investments are scheduled to pay a periodic dividend, though these recurring dividends do not make up a significant portion of our total investment income. We may receive, and have received, more substantial one-time dividends from our equity investments.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For the three months ended June 30, 2024, total investment income increased by less than $0.1 million, or 0.5%, compared to the three months ended June 30, 2023. The increase from the prior period was primarily driven by an increase in PIK interest from $0.3 million for the three months ended June 30, 2023 to $0.5 million for the three months ended June 30, 2024 as well as an increase in other income from $0.1 million for the three months ended June 30, 2023 to $0.2 million for the three months ended June 30, 2024, offset by a decrease in interest income from $4.9 million for the three months ended June 30, 2023 to $4.6 million for the three months ended June 30, 2024. The decrease in interest income is primarily due to a smaller interest earning debt portfolio for the three months ended June 30, 2024 compared to the three months ended June 30, 2023.</w:t>
      </w:r>
    </w:p>
    <w:p>
      <w:pPr>
        <w:pStyle w:val="TextBody"/>
        <w:bidi w:val="0"/>
        <w:spacing w:before="120" w:after="283"/>
        <w:jc w:val="both"/>
        <w:rPr>
          <w:rFonts w:ascii="Times New Roman" w:hAnsi="Times New Roman"/>
          <w:sz w:val="20"/>
        </w:rPr>
      </w:pPr>
      <w:r>
        <w:rPr>
          <w:rFonts w:ascii="Times New Roman" w:hAnsi="Times New Roman"/>
          <w:color w:val="000000"/>
          <w:sz w:val="16"/>
        </w:rPr>
        <w:t>For the six months ended June 30, 2024, total investment income decreased $0</w:t>
      </w:r>
      <w:r>
        <w:rPr>
          <w:rFonts w:ascii="Times New Roman" w:hAnsi="Times New Roman"/>
          <w:color w:val="FF0000"/>
          <w:sz w:val="16"/>
        </w:rPr>
        <w:t>.</w:t>
      </w:r>
      <w:r>
        <w:rPr>
          <w:rFonts w:ascii="Times New Roman" w:hAnsi="Times New Roman"/>
          <w:color w:val="000000"/>
          <w:sz w:val="16"/>
        </w:rPr>
        <w:t>2 million, or 2.1%, compared to the six months ended June 30, 2023. The decrease from the prior period was driven by an decrease in interest income from $10.6 million for the six months ended June 30, 2023 to $10.4 million for the six months ended June 30, 2024. The decrease in interest income is primarily due to a smaller interest earning debt portfolio for the six months ended June 30, 2024 compared to the six months ended June 30, 2023. PIK interest increased from $0.8 million for the six months ended June 30, 2023 to $0.9 million for the six months ended June 30, 2024. The increase in PIK income during the six months ended June 30, 2024 compared to the same period in prior year was primarily due to an increase in investments that was paid in-kind.</w:t>
      </w:r>
    </w:p>
    <w:p>
      <w:pPr>
        <w:pStyle w:val="TextBody"/>
        <w:bidi w:val="0"/>
        <w:spacing w:before="120" w:after="120"/>
        <w:jc w:val="both"/>
        <w:rPr>
          <w:rFonts w:ascii="Times New Roman" w:hAnsi="Times New Roman"/>
          <w:b/>
          <w:i/>
          <w:color w:val="000000"/>
          <w:sz w:val="16"/>
        </w:rPr>
      </w:pPr>
      <w:r>
        <w:rPr>
          <w:rFonts w:ascii="Times New Roman" w:hAnsi="Times New Roman"/>
          <w:b/>
          <w:i/>
          <w:color w:val="000000"/>
          <w:sz w:val="16"/>
        </w:rPr>
        <w:t>Operating expenses</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The composition of our expenses for the three and six months ended June 30, 2024 and 2023 was as follows (dollars in thousands):</w:t>
      </w:r>
    </w:p>
    <w:tbl>
      <w:tblPr>
        <w:tblW w:w="8770" w:type="dxa"/>
        <w:jc w:val="left"/>
        <w:tblInd w:w="0" w:type="dxa"/>
        <w:tblLayout w:type="fixed"/>
        <w:tblCellMar>
          <w:top w:w="28" w:type="dxa"/>
          <w:left w:w="28" w:type="dxa"/>
          <w:bottom w:w="28" w:type="dxa"/>
          <w:right w:w="28" w:type="dxa"/>
        </w:tblCellMar>
      </w:tblPr>
      <w:tblGrid>
        <w:gridCol w:w="2641"/>
        <w:gridCol w:w="146"/>
        <w:gridCol w:w="327"/>
        <w:gridCol w:w="853"/>
        <w:gridCol w:w="243"/>
        <w:gridCol w:w="243"/>
        <w:gridCol w:w="327"/>
        <w:gridCol w:w="853"/>
        <w:gridCol w:w="146"/>
        <w:gridCol w:w="146"/>
        <w:gridCol w:w="305"/>
        <w:gridCol w:w="795"/>
        <w:gridCol w:w="227"/>
        <w:gridCol w:w="227"/>
        <w:gridCol w:w="305"/>
        <w:gridCol w:w="795"/>
        <w:gridCol w:w="1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3" w:type="dxa"/>
            <w:tcBorders/>
            <w:shd w:fill="FFFFFF" w:val="clear"/>
            <w:vAlign w:val="center"/>
          </w:tcPr>
          <w:p>
            <w:pPr>
              <w:pStyle w:val="TableContents"/>
              <w:bidi w:val="0"/>
              <w:spacing w:before="0" w:after="283"/>
              <w:jc w:val="left"/>
              <w:rPr/>
            </w:pPr>
            <w:r>
              <w:rPr/>
              <w:t> </w:t>
            </w:r>
          </w:p>
        </w:tc>
        <w:tc>
          <w:tcPr>
            <w:tcW w:w="11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 w:type="dxa"/>
            <w:tcBorders/>
            <w:shd w:fill="FFFFFF" w:val="clear"/>
            <w:vAlign w:val="center"/>
          </w:tcPr>
          <w:p>
            <w:pPr>
              <w:pStyle w:val="TableContents"/>
              <w:bidi w:val="0"/>
              <w:spacing w:before="0" w:after="283"/>
              <w:jc w:val="left"/>
              <w:rPr/>
            </w:pPr>
            <w:r>
              <w:rPr/>
              <w:t> </w:t>
            </w:r>
          </w:p>
        </w:tc>
        <w:tc>
          <w:tcPr>
            <w:tcW w:w="1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and financing expenses</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2,303</w:t>
            </w:r>
          </w:p>
        </w:tc>
        <w:tc>
          <w:tcPr>
            <w:tcW w:w="243"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4,310</w:t>
            </w:r>
          </w:p>
        </w:tc>
        <w:tc>
          <w:tcPr>
            <w:tcW w:w="227"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4,305</w:t>
            </w:r>
          </w:p>
        </w:tc>
        <w:tc>
          <w:tcPr>
            <w:tcW w:w="191" w:type="dxa"/>
            <w:tcBorders/>
            <w:shd w:fill="CFF0FC" w:val="cle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Base management fee</w:t>
            </w:r>
          </w:p>
        </w:tc>
        <w:tc>
          <w:tcPr>
            <w:tcW w:w="146"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909</w:t>
            </w:r>
          </w:p>
        </w:tc>
        <w:tc>
          <w:tcPr>
            <w:tcW w:w="243"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1,802</w:t>
            </w:r>
          </w:p>
        </w:tc>
        <w:tc>
          <w:tcPr>
            <w:tcW w:w="227"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1,876</w:t>
            </w:r>
          </w:p>
        </w:tc>
        <w:tc>
          <w:tcPr>
            <w:tcW w:w="191" w:type="dxa"/>
            <w:tcBorders/>
            <w:shd w:fill="FFFFFF" w:val="clear"/>
            <w:vAlign w:val="center"/>
          </w:tcPr>
          <w:p>
            <w:pPr>
              <w:pStyle w:val="TableContents"/>
              <w:bidi w:val="0"/>
              <w:spacing w:before="0" w:after="283"/>
              <w:jc w:val="left"/>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Directors' fees</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w:t>
            </w:r>
          </w:p>
        </w:tc>
        <w:tc>
          <w:tcPr>
            <w:tcW w:w="243"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w:t>
            </w:r>
          </w:p>
        </w:tc>
        <w:tc>
          <w:tcPr>
            <w:tcW w:w="227"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w:t>
            </w:r>
          </w:p>
        </w:tc>
        <w:tc>
          <w:tcPr>
            <w:tcW w:w="191" w:type="dxa"/>
            <w:tcBorders/>
            <w:shd w:fill="CFF0FC" w:val="cle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Administrative service fees</w:t>
            </w:r>
          </w:p>
        </w:tc>
        <w:tc>
          <w:tcPr>
            <w:tcW w:w="146"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w:t>
            </w:r>
          </w:p>
        </w:tc>
        <w:tc>
          <w:tcPr>
            <w:tcW w:w="243"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w:t>
            </w:r>
          </w:p>
        </w:tc>
        <w:tc>
          <w:tcPr>
            <w:tcW w:w="227"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w:t>
            </w:r>
          </w:p>
        </w:tc>
        <w:tc>
          <w:tcPr>
            <w:tcW w:w="191" w:type="dxa"/>
            <w:tcBorders/>
            <w:shd w:fill="FFFFFF" w:val="clear"/>
            <w:vAlign w:val="center"/>
          </w:tcPr>
          <w:p>
            <w:pPr>
              <w:pStyle w:val="TableContents"/>
              <w:bidi w:val="0"/>
              <w:spacing w:before="0" w:after="283"/>
              <w:jc w:val="left"/>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and administrative expenses</w:t>
            </w:r>
          </w:p>
        </w:tc>
        <w:tc>
          <w:tcPr>
            <w:tcW w:w="146" w:type="dxa"/>
            <w:tcBorders/>
            <w:shd w:fill="CFF0FC" w:val="cle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978</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1,783</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w:t>
            </w:r>
          </w:p>
        </w:tc>
        <w:tc>
          <w:tcPr>
            <w:tcW w:w="146" w:type="dxa"/>
            <w:tcBorders/>
            <w:shd w:fill="FFFFFF" w:val="clear"/>
            <w:vAlign w:val="center"/>
          </w:tcPr>
          <w:p>
            <w:pPr>
              <w:pStyle w:val="TableContents"/>
              <w:bidi w:val="0"/>
              <w:spacing w:before="0" w:after="283"/>
              <w:jc w:val="left"/>
              <w:rPr/>
            </w:pPr>
            <w:r>
              <w:rPr/>
              <w:t> </w:t>
            </w:r>
          </w:p>
        </w:tc>
        <w:tc>
          <w:tcPr>
            <w:tcW w:w="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4,620</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8,676</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8,488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sz w:val="20"/>
        </w:rPr>
      </w:pPr>
      <w:r>
        <w:rPr>
          <w:rFonts w:ascii="Times New Roman" w:hAnsi="Times New Roman"/>
          <w:color w:val="000000"/>
          <w:sz w:val="16"/>
        </w:rPr>
        <w:t>For the three months ended June 30, 2024, operating expenses increased by $0.3 million, or 7.3%, compared to the three months ended June 30, 2023, primarily due to higher interest and financing expenses, which increased from $2.2 million for the three months ended June 30, 2023 to $2.3 million for the three months ended June 30, 2024, as well as higher general and administrative expenses, which increased from $0.8 million for the three months ended June 30, 2023 to $1.0 million for the three months ended June 30, 2024.</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For the six months ended June 30, 2024, operating expenses increased by $0.2 million, or 2.2%, compared to the six months ended June 30, 2023, primarily due to higher general and administrative expenses, which increased from $1.6 million for the six months ended June 30, 2023 to $1.8 million for the six months ended June 30, 2024.</w:t>
      </w:r>
    </w:p>
    <w:p>
      <w:pPr>
        <w:pStyle w:val="TextBody"/>
        <w:bidi w:val="0"/>
        <w:spacing w:before="120" w:after="120"/>
        <w:jc w:val="both"/>
        <w:rPr>
          <w:rFonts w:ascii="Times New Roman" w:hAnsi="Times New Roman"/>
          <w:sz w:val="20"/>
        </w:rPr>
      </w:pPr>
      <w:r>
        <w:rPr>
          <w:rFonts w:ascii="Times New Roman" w:hAnsi="Times New Roman"/>
          <w:b/>
          <w:i/>
          <w:color w:val="000000"/>
          <w:sz w:val="16"/>
        </w:rPr>
        <w:t>Net realized gain (loss) on sales of investments</w:t>
      </w:r>
      <w:r>
        <w:rPr>
          <w:rFonts w:ascii="Times New Roman" w:hAnsi="Times New Roman"/>
          <w:color w:val="000000"/>
          <w:sz w:val="20"/>
        </w:rPr>
        <w:t xml:space="preserve"> </w:t>
      </w:r>
    </w:p>
    <w:p>
      <w:pPr>
        <w:pStyle w:val="TextBody"/>
        <w:bidi w:val="0"/>
        <w:jc w:val="both"/>
        <w:rPr>
          <w:rFonts w:ascii="Times New Roman" w:hAnsi="Times New Roman"/>
          <w:color w:val="000000"/>
          <w:sz w:val="16"/>
        </w:rPr>
      </w:pPr>
      <w:r>
        <w:rPr>
          <w:rFonts w:ascii="Times New Roman" w:hAnsi="Times New Roman"/>
          <w:color w:val="000000"/>
          <w:sz w:val="16"/>
        </w:rPr>
        <w:t>During the three and six months ended June 30, 2024, we recognized $(0.2) million and $0.1 million of net realized gains/(losses) on our portfolio investments, respectively. During the three and six months ended June 30, 2023, we recognized $2.4 million and $3.9 million of net realized losses on our portfolio investments, respectively.</w:t>
      </w:r>
    </w:p>
    <w:p>
      <w:pPr>
        <w:pStyle w:val="TextBody"/>
        <w:bidi w:val="0"/>
        <w:spacing w:before="120" w:after="120"/>
        <w:jc w:val="both"/>
        <w:rPr>
          <w:rFonts w:ascii="Times New Roman" w:hAnsi="Times New Roman"/>
          <w:b/>
          <w:i/>
          <w:color w:val="000000"/>
          <w:sz w:val="16"/>
        </w:rPr>
      </w:pPr>
      <w:r>
        <w:rPr>
          <w:rFonts w:ascii="Times New Roman" w:hAnsi="Times New Roman"/>
          <w:b/>
          <w:i/>
          <w:color w:val="000000"/>
          <w:sz w:val="16"/>
        </w:rPr>
        <w:t>Net change in unrealized appreciation (depreciation) on investments</w:t>
      </w:r>
    </w:p>
    <w:p>
      <w:pPr>
        <w:pStyle w:val="TextBody"/>
        <w:bidi w:val="0"/>
        <w:jc w:val="both"/>
        <w:rPr>
          <w:rFonts w:ascii="Times New Roman" w:hAnsi="Times New Roman"/>
          <w:color w:val="000000"/>
          <w:sz w:val="16"/>
        </w:rPr>
      </w:pPr>
      <w:r>
        <w:rPr>
          <w:rFonts w:ascii="Times New Roman" w:hAnsi="Times New Roman"/>
          <w:color w:val="000000"/>
          <w:sz w:val="16"/>
        </w:rPr>
        <w:t>Net change in unrealized appreciation (depreciation) on investments reflects the net change in the fair value of our investment portfolio. For the three and six months ended June 30, 2024, we recognized $(1.1) million and $(0.4) million of net change in unrealized depreciation on investments, respectively. For the three and six months ended June 30, 2023, we recognized $4.6 million and $4.3 million of net change in unrealized appreciation on investments, respectively.</w:t>
      </w:r>
    </w:p>
    <w:p>
      <w:pPr>
        <w:pStyle w:val="TextBody"/>
        <w:bidi w:val="0"/>
        <w:spacing w:before="120" w:after="120"/>
        <w:jc w:val="left"/>
        <w:rPr>
          <w:rFonts w:ascii="Times New Roman" w:hAnsi="Times New Roman"/>
          <w:b/>
          <w:i/>
          <w:color w:val="000000"/>
          <w:sz w:val="16"/>
        </w:rPr>
      </w:pPr>
      <w:r>
        <w:rPr>
          <w:rFonts w:ascii="Times New Roman" w:hAnsi="Times New Roman"/>
          <w:b/>
          <w:i/>
          <w:color w:val="000000"/>
          <w:sz w:val="16"/>
        </w:rPr>
        <w:t>Changes in net assets resulting from operations</w:t>
      </w:r>
    </w:p>
    <w:p>
      <w:pPr>
        <w:pStyle w:val="TextBody"/>
        <w:bidi w:val="0"/>
        <w:jc w:val="both"/>
        <w:rPr>
          <w:rFonts w:ascii="Times New Roman" w:hAnsi="Times New Roman"/>
          <w:color w:val="000000"/>
          <w:sz w:val="16"/>
        </w:rPr>
      </w:pPr>
      <w:r>
        <w:rPr>
          <w:rFonts w:ascii="Times New Roman" w:hAnsi="Times New Roman"/>
          <w:color w:val="000000"/>
          <w:sz w:val="16"/>
        </w:rPr>
        <w:t>For the three and six months ended June 30, 2024, we recorded a net decrease and increase in net assets resulting from operations of $(0.7) million and $1.2 million, respectively. Based on the weighted average shares of common stock outstanding for the three and six months ended June 30, 2024, our basic and diluted per share net decrease and increase in net assets resulting from operations was $(0.25) and $0.45,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sz w:val="20"/>
        </w:rPr>
      </w:pPr>
      <w:r>
        <w:rPr>
          <w:rFonts w:ascii="Times New Roman" w:hAnsi="Times New Roman"/>
          <w:color w:val="000000"/>
          <w:sz w:val="16"/>
        </w:rPr>
        <w:t>For the three and six months ended June 30, 2023, we recorded a net increase in net assets resulting from operations of $3.2 million and $2.6 million. Based on the weighted average shares of common stock outstanding for the three and six months ended June 30, 2023, our basic per share net increase in net assets resulting from operations was $1.20 and $0.96, respectively. Based on the weighted average shares of common stock outstanding for the three and six months ended June 30, 2023, our diluted per share net increase in net assets resulting from operations was $1.07 and $0.94, respectively.</w:t>
      </w:r>
      <w:r>
        <w:rPr>
          <w:rFonts w:ascii="Times New Roman" w:hAnsi="Times New Roman"/>
          <w:color w:val="000000"/>
          <w:sz w:val="20"/>
        </w:rPr>
        <w:t xml:space="preserve"> </w:t>
      </w:r>
    </w:p>
    <w:p>
      <w:pPr>
        <w:pStyle w:val="TextBody"/>
        <w:bidi w:val="0"/>
        <w:spacing w:before="0" w:after="120"/>
        <w:jc w:val="both"/>
        <w:rPr>
          <w:rFonts w:ascii="Times New Roman" w:hAnsi="Times New Roman"/>
          <w:b/>
          <w:color w:val="000000"/>
          <w:sz w:val="16"/>
        </w:rPr>
      </w:pPr>
      <w:r>
        <w:rPr>
          <w:rFonts w:ascii="Times New Roman" w:hAnsi="Times New Roman"/>
          <w:b/>
          <w:color w:val="000000"/>
          <w:sz w:val="16"/>
        </w:rPr>
        <w:t>Financial Condition, Liquidity and Capital Resources</w:t>
      </w:r>
    </w:p>
    <w:p>
      <w:pPr>
        <w:pStyle w:val="TextBody"/>
        <w:bidi w:val="0"/>
        <w:jc w:val="both"/>
        <w:rPr>
          <w:rFonts w:ascii="Times New Roman" w:hAnsi="Times New Roman"/>
          <w:color w:val="000000"/>
          <w:sz w:val="16"/>
        </w:rPr>
      </w:pPr>
      <w:r>
        <w:rPr>
          <w:rFonts w:ascii="Times New Roman" w:hAnsi="Times New Roman"/>
          <w:color w:val="000000"/>
          <w:sz w:val="16"/>
        </w:rPr>
        <w:t>We use and intend to use existing cash primarily to originate investments in new and existing portfolio companies, pay distributions to our stockholders, and repay indebtedness.</w:t>
      </w:r>
    </w:p>
    <w:p>
      <w:pPr>
        <w:pStyle w:val="TextBody"/>
        <w:bidi w:val="0"/>
        <w:spacing w:before="120" w:after="283"/>
        <w:jc w:val="both"/>
        <w:rPr>
          <w:rFonts w:ascii="Times New Roman" w:hAnsi="Times New Roman"/>
          <w:sz w:val="20"/>
        </w:rPr>
      </w:pPr>
      <w:r>
        <w:rPr>
          <w:rFonts w:ascii="Times New Roman" w:hAnsi="Times New Roman"/>
          <w:color w:val="000000"/>
          <w:sz w:val="16"/>
        </w:rPr>
        <w:t>Since our IPO, we have raised approximately $136.0 million in net proceeds from equity offerings through June 30, 2024.</w:t>
      </w:r>
      <w:r>
        <w:rPr>
          <w:rFonts w:ascii="Times New Roman" w:hAnsi="Times New Roman"/>
          <w:color w:val="000000"/>
          <w:sz w:val="20"/>
        </w:rPr>
        <w:t xml:space="preserve"> </w:t>
      </w:r>
    </w:p>
    <w:p>
      <w:pPr>
        <w:pStyle w:val="TextBody"/>
        <w:bidi w:val="0"/>
        <w:spacing w:before="120" w:after="120"/>
        <w:jc w:val="both"/>
        <w:rPr>
          <w:rFonts w:ascii="Times New Roman" w:hAnsi="Times New Roman"/>
          <w:b/>
          <w:color w:val="000000"/>
          <w:sz w:val="16"/>
        </w:rPr>
      </w:pPr>
      <w:r>
        <w:rPr>
          <w:rFonts w:ascii="Times New Roman" w:hAnsi="Times New Roman"/>
          <w:b/>
          <w:color w:val="000000"/>
          <w:sz w:val="16"/>
        </w:rPr>
        <w:t>KeyBank Credit Facility</w:t>
      </w:r>
    </w:p>
    <w:p>
      <w:pPr>
        <w:pStyle w:val="TextBody"/>
        <w:bidi w:val="0"/>
        <w:spacing w:before="0" w:after="120"/>
        <w:jc w:val="both"/>
        <w:rPr>
          <w:rFonts w:ascii="Times New Roman" w:hAnsi="Times New Roman"/>
          <w:sz w:val="20"/>
        </w:rPr>
      </w:pPr>
      <w:r>
        <w:rPr>
          <w:rFonts w:ascii="Times New Roman" w:hAnsi="Times New Roman"/>
          <w:color w:val="231F20"/>
          <w:sz w:val="16"/>
        </w:rPr>
        <w:t>On October 30, 2020, Capitala Business Lending, LLC (“CBL”), a direct, wholly owned, consolidated subsidiary of the Company, entered into a senior secured revolving credit agreement (“the KeyBank Credit Facility”) with the investment adviser at the time, as collateral manager, the lenders from time to time parties thereto (each, a “Lender”), KeyBank National Association, as administrative agent, and U.S. Bank National Association, as custodian. The KeyBank Credit Facility was amended on May 10, 2022 and October 20, 2022. Under the KeyBank Credit Facility, the Lenders have agreed to extend credit to CBL in an aggregate principal amount of up to $75.0 million as of May 10, 2022, with an uncommitted accordion feature that allows the Company to borrow up to an additional $125.0 million. The KeyBank Credit Facility matures on May 10, 2027, unless there is an earlier termination or event of default. The period during which the Lenders may make loans to CBL under the KeyBank Credit Facility commenced on October 30, 2020 and will continue through May 10, 2025, unless there is an earlier termination or event of default. Borrowings under the KeyBank Credit Facility bear interest at 1M Term SOFR plus 2.90% during the 3-year revolving period and 3.25% thereafter, with a 0.40% 1M Term SOFR floor. CBL will also pay an unused commitment fee at a rate of (1) 1.00% if utilization is less than or equal to 30.0%, (2) 0.65% if utilization is greater than 30.0% but less than or equal to 60.0%, or (3) 0.35% if utilization is greater than 60.0%, per annum on the unutilized portion of the aggregate commitments under the KeyBank Credit Facility.</w:t>
      </w:r>
      <w:r>
        <w:rPr>
          <w:rFonts w:ascii="Times New Roman" w:hAnsi="Times New Roman"/>
          <w:color w:val="231F20"/>
          <w:sz w:val="20"/>
        </w:rPr>
        <w:t xml:space="preserve"> </w:t>
      </w:r>
      <w:r>
        <w:rPr>
          <w:rFonts w:ascii="Times New Roman" w:hAnsi="Times New Roman"/>
          <w:color w:val="231F20"/>
          <w:sz w:val="16"/>
        </w:rPr>
        <w:t xml:space="preserve">As of </w:t>
      </w:r>
      <w:r>
        <w:rPr>
          <w:rFonts w:ascii="Times New Roman" w:hAnsi="Times New Roman"/>
          <w:color w:val="000000"/>
          <w:sz w:val="16"/>
        </w:rPr>
        <w:t>June 30, 2024</w:t>
      </w:r>
      <w:r>
        <w:rPr>
          <w:rFonts w:ascii="Times New Roman" w:hAnsi="Times New Roman"/>
          <w:color w:val="231F20"/>
          <w:sz w:val="16"/>
        </w:rPr>
        <w:t>, there were draws of</w:t>
      </w:r>
      <w:r>
        <w:rPr>
          <w:rFonts w:ascii="Times New Roman" w:hAnsi="Times New Roman"/>
          <w:color w:val="000000"/>
          <w:sz w:val="20"/>
        </w:rPr>
        <w:t xml:space="preserve"> </w:t>
      </w:r>
      <w:r>
        <w:rPr>
          <w:rFonts w:ascii="Times New Roman" w:hAnsi="Times New Roman"/>
          <w:color w:val="000000"/>
          <w:sz w:val="16"/>
        </w:rPr>
        <w:t>$53.1</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231F20"/>
          <w:sz w:val="20"/>
        </w:rPr>
        <w:t xml:space="preserve"> </w:t>
      </w:r>
      <w:r>
        <w:rPr>
          <w:rFonts w:ascii="Times New Roman" w:hAnsi="Times New Roman"/>
          <w:color w:val="231F20"/>
          <w:sz w:val="16"/>
        </w:rPr>
        <w:t xml:space="preserve">on the KeyBank Credit Facility. The KeyBank Credit Facility includes customary affirmative and negative covenants, including certain limitations on the incurrence of additional indebtedness and liens, as well as usual and customary events of default for revolving credit facilities of this nature. As of June 30, 2024, assets pledged to secure the KeyBank Credit Facility had a fair value of </w:t>
      </w:r>
      <w:r>
        <w:rPr>
          <w:rFonts w:ascii="Times New Roman" w:hAnsi="Times New Roman"/>
          <w:color w:val="000000"/>
          <w:sz w:val="16"/>
        </w:rPr>
        <w:t>$116.3</w:t>
      </w:r>
      <w:r>
        <w:rPr>
          <w:rFonts w:ascii="Times New Roman" w:hAnsi="Times New Roman"/>
          <w:color w:val="231F20"/>
          <w:sz w:val="20"/>
        </w:rPr>
        <w:t xml:space="preserve"> </w:t>
      </w:r>
      <w:r>
        <w:rPr>
          <w:rFonts w:ascii="Times New Roman" w:hAnsi="Times New Roman"/>
          <w:color w:val="231F20"/>
          <w:sz w:val="16"/>
        </w:rPr>
        <w:t>million.</w:t>
      </w:r>
      <w:r>
        <w:rPr>
          <w:rFonts w:ascii="Times New Roman" w:hAnsi="Times New Roman"/>
          <w:color w:val="231F20"/>
          <w:sz w:val="20"/>
        </w:rPr>
        <w:t xml:space="preserve"> </w:t>
      </w:r>
    </w:p>
    <w:p>
      <w:pPr>
        <w:pStyle w:val="TextBody"/>
        <w:bidi w:val="0"/>
        <w:spacing w:before="0" w:after="120"/>
        <w:jc w:val="both"/>
        <w:rPr>
          <w:rFonts w:ascii="Times New Roman" w:hAnsi="Times New Roman"/>
          <w:sz w:val="20"/>
        </w:rPr>
      </w:pPr>
      <w:r>
        <w:rPr>
          <w:rFonts w:ascii="Times New Roman" w:hAnsi="Times New Roman"/>
          <w:b/>
          <w:color w:val="000000"/>
          <w:sz w:val="16"/>
        </w:rPr>
        <w:t>2032 Convertible Notes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16"/>
        </w:rPr>
        <w:t>On April 1, 2022, the Company issued $15.0</w:t>
      </w:r>
      <w:r>
        <w:rPr>
          <w:rFonts w:ascii="Times New Roman" w:hAnsi="Times New Roman"/>
          <w:color w:val="000000"/>
          <w:sz w:val="20"/>
        </w:rPr>
        <w:t xml:space="preserve"> </w:t>
      </w:r>
      <w:r>
        <w:rPr>
          <w:rFonts w:ascii="Times New Roman" w:hAnsi="Times New Roman"/>
          <w:color w:val="000000"/>
          <w:sz w:val="16"/>
        </w:rPr>
        <w:t>million in aggregate principal amount of 5.25% fixed-rate convertible notes due April 1, 2032 (the “2032 Convertible Notes”).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16"/>
        </w:rPr>
        <w:t>The 2032 Convertible Notes are convertible, at the holder’s option and at any time on or prior to the close of business on the business day immediately preceding the maturity date, into such number of shares of the Company’s common stock as is equal to the principal balance of the notes being converted on such date divided by the “Conversion Price,” as described below. The Company will not issue more than 539,503 shares of common stock in the aggregate under the purchase agreement governing the 2032 Convertible Notes (the “Purchase Agreement”); however, such number of shares may be adjusted from time to time to give effect to any forward or reverse stock splits with respect to the common stock as well as any further adjustments described in the purchase agreement.</w:t>
      </w:r>
      <w:r>
        <w:rPr>
          <w:rFonts w:ascii="Times New Roman" w:hAnsi="Times New Roman"/>
          <w:color w:val="000000"/>
          <w:sz w:val="20"/>
        </w:rPr>
        <w:t xml:space="preserve"> </w:t>
      </w:r>
      <w:r>
        <w:rPr>
          <w:rFonts w:ascii="Times New Roman" w:hAnsi="Times New Roman"/>
          <w:color w:val="000000"/>
          <w:sz w:val="16"/>
        </w:rPr>
        <w:t>The “Conversion Price” will be equal to the average “Closing Sale Price” for the five “Trading Days” immediately prior to the relevant “Conversion Date,” as those terms are defined in the Purchase Agreement, subject to certain anti-dilutive provisions, as further described in the Purchase Agreement. No holder of a 2032 Convertible Note will be entitled to convert any such note or portion thereof if such conversion would result in more than $7,500,000 in principal amount of 2032 Convertible Notes being converted in any such calendar quarter. The Company has determined that the embedded conversion option in the 2032 Convertible Notes is not required to be separately accounted for as a derivative under U.S. GAAP.</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March 28, 2024, the Company obtained a BB+ rating from a Nationally Recognized Statistical Rating Organization (“NRSRO”) with respect to the 2032 Convertible Notes. The 2032 Convertible Notes have a fixed interest rate of 5.25% per annum payable semi-annually on March 31 and September 30 of each year, commencing on September 30, 2022, subject to a step up of 0.75% per annum to the extent that the 2032 Convertible Notes are downgraded below Investment Grade by an NRSRO or the 2032 Convertible Notes no longer maintain a rating from an NRSRO. Starting on March 28, 2024, as a result of the rating downgrade, the 2032 Convertible Notes have a fixed interest rate of 6.00% per annum. The Company will also be required to pay an additional interest rate of 2.0% per annum (x) on any overdue payment of interest and (y) during the continuance of an “Event of Default.” The Company intends to use the net proceeds from the offering of the 2032 Convertible Notes for general corporate purposes, which may include repaying outstanding indebtedness, making opportunistic investments and paying corporate expenses. In addition, on the occurrence of a “Change in Control Repurchase Event” or “Delisting Event,” as defined in the Purchase Agreement, the Company will generally be required to make an offer to purchase the outstanding 2032 Convertible Notes at a price equal to 100% of the principal amount of such 2032 Convertible Notes plus accrued and unpaid interest to the repurchase date. The 2032 Convertible Notes are redeemable prior to maturity. No “sinking fund” is provided for the 2032 Convertible Notes.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During the three months ended June 30, 2024, the Company repaid $2.0 million in outstanding principal amount of the 2032 Convertible Notes.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During the six months ended June 30, 2024, the Company repaid $2.0 million and converted another $1.0 million in outstanding principal amount of the 2032 Convertible Notes. Of the $1.0 million that was converted, $0.5 million was paid in cash and $0.5 million was converted into shares of the Company’s common stock at a rate of $22.61 per principal amount, in accordance with a Notice of Exercise of Conversion.</w:t>
      </w:r>
    </w:p>
    <w:p>
      <w:pPr>
        <w:pStyle w:val="TextBody"/>
        <w:bidi w:val="0"/>
        <w:spacing w:before="120" w:after="283"/>
        <w:jc w:val="both"/>
        <w:rPr>
          <w:rFonts w:ascii="Times New Roman" w:hAnsi="Times New Roman"/>
          <w:sz w:val="20"/>
        </w:rPr>
      </w:pPr>
      <w:r>
        <w:rPr>
          <w:rFonts w:ascii="Times New Roman" w:hAnsi="Times New Roman"/>
          <w:color w:val="000000"/>
          <w:sz w:val="16"/>
        </w:rPr>
        <w:t>As of June 30, 2024, the Company had $12.0</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in 2032 Convertible Notes outstanding.</w:t>
      </w:r>
    </w:p>
    <w:p>
      <w:pPr>
        <w:pStyle w:val="TextBody"/>
        <w:bidi w:val="0"/>
        <w:spacing w:before="120" w:after="120"/>
        <w:jc w:val="both"/>
        <w:rPr>
          <w:rFonts w:ascii="Times New Roman" w:hAnsi="Times New Roman"/>
          <w:b/>
          <w:color w:val="000000"/>
          <w:sz w:val="16"/>
        </w:rPr>
      </w:pPr>
      <w:r>
        <w:rPr>
          <w:rFonts w:ascii="Times New Roman" w:hAnsi="Times New Roman"/>
          <w:b/>
          <w:color w:val="000000"/>
          <w:sz w:val="16"/>
        </w:rPr>
        <w:t>2026 Notes</w:t>
      </w:r>
    </w:p>
    <w:p>
      <w:pPr>
        <w:pStyle w:val="TextBody"/>
        <w:bidi w:val="0"/>
        <w:jc w:val="both"/>
        <w:rPr>
          <w:rFonts w:ascii="Times New Roman" w:hAnsi="Times New Roman"/>
          <w:sz w:val="20"/>
        </w:rPr>
      </w:pPr>
      <w:r>
        <w:rPr>
          <w:rFonts w:ascii="Times New Roman" w:hAnsi="Times New Roman"/>
          <w:color w:val="000000"/>
          <w:sz w:val="16"/>
        </w:rPr>
        <w:t>On October 29, 2021, the Company issued $50.0</w:t>
      </w:r>
      <w:r>
        <w:rPr>
          <w:rFonts w:ascii="Times New Roman" w:hAnsi="Times New Roman"/>
          <w:color w:val="000000"/>
          <w:sz w:val="20"/>
        </w:rPr>
        <w:t xml:space="preserve"> </w:t>
      </w:r>
      <w:r>
        <w:rPr>
          <w:rFonts w:ascii="Times New Roman" w:hAnsi="Times New Roman"/>
          <w:color w:val="000000"/>
          <w:sz w:val="16"/>
        </w:rPr>
        <w:t xml:space="preserve">million in aggregate principal amount of 5.25% fixed rate notes due October 30, 2026 (the “2026 Notes”) pursuant to a supplemental indenture with U.S. Bank National Association (the “Trustee”), which supplements that certain base indenture, dated as of June 16, 2014. The 2026 Notes were issued in a private placement exempt from registration under the Section 4(a)(2) of the Securities Act of 1933, as amended (the “Securities Act”). The net proceeds to the Company were approximately $48.8 million, after deducting estimated offering expenses. The Notes will mature on October 30, 2026 and may be redeemed in whole or in part at the Company's option at any time or from time to time at the redemption prices set forth in the Indenture. The Notes bear interest at a rate of 5.25% per year payable semi-annually on April 30 and October 30 of each year, commencing on April 30, 2022, subject to a step up of 0.75% per annum to the extent the Notes are downgraded below Investment Grade by a National Recognized Statistical Rating Organization (“NSRSO”) or the Notes no longer maintain a rating from an NSRSO. On March 28, 2024, the Company obtained a BB+ rating from a NRSRO with respect to the Notes, leading to the Notes bearing interest at a rate of 6.00% per year. The Notes are general unsecured obligations of the Company that rank senior in right of payment to all of the Company's existing and future indebtedness that is expressly subordinated in right of payment to the Notes, rank </w:t>
      </w:r>
      <w:r>
        <w:rPr>
          <w:rFonts w:ascii="Times New Roman" w:hAnsi="Times New Roman"/>
          <w:i/>
          <w:color w:val="000000"/>
          <w:sz w:val="16"/>
        </w:rPr>
        <w:t>pari passu</w:t>
      </w:r>
      <w:r>
        <w:rPr>
          <w:rFonts w:ascii="Times New Roman" w:hAnsi="Times New Roman"/>
          <w:color w:val="000000"/>
          <w:sz w:val="16"/>
        </w:rPr>
        <w:t xml:space="preserve"> with all existing and future unsecured unsubordinated indebtedness issued by the Company, rank effectively junior to any of the Company's secured indebtedness (including unsecured indebtedness that the Company later secures) to the extent of the value of the assets securing such indebtedness, and rank structurally junior to all existing and future indebtedness (including trade payables) incurred by the Company's subsidiaries, financing vehicles or similar facilities.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July 2022, pursuant to the requirements of a registration rights agreements entered into in connection with the offering described above, the Company completed an exchange offer pursuant to which all of the outstanding 2026 Notes were exchanged for notes with substantially identical terms, but that are registered under the Securities Act (which notes are also referred to herein as the “2026 Notes”).</w:t>
      </w:r>
    </w:p>
    <w:p>
      <w:pPr>
        <w:pStyle w:val="TextBody"/>
        <w:bidi w:val="0"/>
        <w:spacing w:before="120" w:after="283"/>
        <w:jc w:val="both"/>
        <w:rPr>
          <w:rFonts w:ascii="Times New Roman" w:hAnsi="Times New Roman"/>
          <w:sz w:val="20"/>
        </w:rPr>
      </w:pPr>
      <w:r>
        <w:rPr>
          <w:rFonts w:ascii="Times New Roman" w:hAnsi="Times New Roman"/>
          <w:color w:val="000000"/>
          <w:sz w:val="16"/>
        </w:rPr>
        <w:t>As of June 30, 2024, the Company had approximately $50.0</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in aggregate principal amount of 2026 Notes outstanding.</w:t>
      </w:r>
    </w:p>
    <w:p>
      <w:pPr>
        <w:pStyle w:val="TextBody"/>
        <w:bidi w:val="0"/>
        <w:spacing w:before="120" w:after="120"/>
        <w:jc w:val="both"/>
        <w:rPr>
          <w:rFonts w:ascii="Times New Roman" w:hAnsi="Times New Roman"/>
          <w:b/>
          <w:color w:val="000000"/>
          <w:sz w:val="16"/>
        </w:rPr>
      </w:pPr>
      <w:r>
        <w:rPr>
          <w:rFonts w:ascii="Times New Roman" w:hAnsi="Times New Roman"/>
          <w:b/>
          <w:color w:val="000000"/>
          <w:sz w:val="16"/>
        </w:rPr>
        <w:t>Asset Coverage Ratio</w:t>
      </w:r>
    </w:p>
    <w:p>
      <w:pPr>
        <w:pStyle w:val="TextBody"/>
        <w:bidi w:val="0"/>
        <w:jc w:val="both"/>
        <w:rPr>
          <w:rFonts w:ascii="Times New Roman" w:hAnsi="Times New Roman"/>
          <w:sz w:val="20"/>
        </w:rPr>
      </w:pPr>
      <w:r>
        <w:rPr>
          <w:rFonts w:ascii="Times New Roman" w:hAnsi="Times New Roman"/>
          <w:color w:val="000000"/>
          <w:sz w:val="16"/>
        </w:rPr>
        <w:t>We are only allowed to borrow money such that our asset coverage, as defined in the 1940 Act, equals at least 150% if certain requirements are met, after such borrowing, with certain limited exceptions. As of June 30, 2024, our asset coverage ratio was 176%. If our asset coverage ratio falls below 150% due a decline in the fair market of our portfolio, we may be limited in our ability to raise additional debt.</w:t>
      </w:r>
      <w:r>
        <w:rPr>
          <w:rFonts w:ascii="Times New Roman" w:hAnsi="Times New Roman"/>
          <w:color w:val="000000"/>
          <w:sz w:val="20"/>
        </w:rPr>
        <w:t xml:space="preserve"> </w:t>
      </w:r>
    </w:p>
    <w:p>
      <w:pPr>
        <w:pStyle w:val="TextBody"/>
        <w:bidi w:val="0"/>
        <w:spacing w:before="120" w:after="120"/>
        <w:jc w:val="both"/>
        <w:rPr>
          <w:rFonts w:ascii="Times New Roman" w:hAnsi="Times New Roman"/>
          <w:b/>
          <w:color w:val="000000"/>
          <w:sz w:val="16"/>
        </w:rPr>
      </w:pPr>
      <w:r>
        <w:rPr>
          <w:rFonts w:ascii="Times New Roman" w:hAnsi="Times New Roman"/>
          <w:b/>
          <w:color w:val="000000"/>
          <w:sz w:val="16"/>
        </w:rPr>
        <w:t>Cash and Cash Equivalents</w:t>
      </w:r>
    </w:p>
    <w:p>
      <w:pPr>
        <w:pStyle w:val="TextBody"/>
        <w:bidi w:val="0"/>
        <w:jc w:val="both"/>
        <w:rPr>
          <w:rFonts w:ascii="Times New Roman" w:hAnsi="Times New Roman"/>
          <w:color w:val="000000"/>
          <w:sz w:val="16"/>
        </w:rPr>
      </w:pPr>
      <w:r>
        <w:rPr>
          <w:rFonts w:ascii="Times New Roman" w:hAnsi="Times New Roman"/>
          <w:color w:val="000000"/>
          <w:sz w:val="16"/>
        </w:rPr>
        <w:t>As of June 30, 2024, we had $4.3 million in cash and cash equivalents.</w:t>
      </w:r>
    </w:p>
    <w:p>
      <w:pPr>
        <w:pStyle w:val="TextBody"/>
        <w:bidi w:val="0"/>
        <w:spacing w:before="120" w:after="120"/>
        <w:jc w:val="both"/>
        <w:rPr>
          <w:rFonts w:ascii="Times New Roman" w:hAnsi="Times New Roman"/>
          <w:sz w:val="20"/>
        </w:rPr>
      </w:pPr>
      <w:r>
        <w:rPr>
          <w:rFonts w:ascii="Times New Roman" w:hAnsi="Times New Roman"/>
          <w:b/>
          <w:color w:val="000000"/>
          <w:sz w:val="16"/>
        </w:rPr>
        <w:t>Contractual Obligations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16"/>
        </w:rPr>
        <w:t>We have entered into two contracts under which we have material future commitments: the Investment Advisory Agreement, pursuant to which the Investment Adviser serves as our investment adviser, and the Administration Agreement, pursuant to which our Administrator agrees to furnish us with certain administrative services necessary to conduct our day-to-day operations. Payments under the Investment Advisory Agreement in future periods will be equal to: (1) a percentage of the value of our gross assets; and (2) an incentive fee based on our performance. Payments under the Administration Agreement will occur on an ongoing basis as expenses are incurred on our behalf by our Administrator.</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16"/>
        </w:rPr>
        <w:t>The Investment Advisory Agreement and the Administration Agreement are each terminable by either party without penalty upon 60 days’ written notice to the other. If either of these agreements is terminated, the costs we incur under new agreements may increase. In addition, we will likely incur significant time and expense in locating alternative parties to provide the services we expect to receive under both our Investment Advisory Agreement and our Administration Agreement. Any new investment advisory agreement would also be subject to approval by our stockholders.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A summary of our significant contractual payment obligations as of June 30, 2024 are as follows (dollars in millions):</w:t>
      </w:r>
    </w:p>
    <w:tbl>
      <w:tblPr>
        <w:tblW w:w="6882" w:type="dxa"/>
        <w:jc w:val="left"/>
        <w:tblInd w:w="0" w:type="dxa"/>
        <w:tblLayout w:type="fixed"/>
        <w:tblCellMar>
          <w:top w:w="28" w:type="dxa"/>
          <w:left w:w="28" w:type="dxa"/>
          <w:bottom w:w="28" w:type="dxa"/>
          <w:right w:w="28" w:type="dxa"/>
        </w:tblCellMar>
      </w:tblPr>
      <w:tblGrid>
        <w:gridCol w:w="2161"/>
        <w:gridCol w:w="146"/>
        <w:gridCol w:w="217"/>
        <w:gridCol w:w="383"/>
        <w:gridCol w:w="146"/>
        <w:gridCol w:w="146"/>
        <w:gridCol w:w="196"/>
        <w:gridCol w:w="511"/>
        <w:gridCol w:w="146"/>
        <w:gridCol w:w="146"/>
        <w:gridCol w:w="196"/>
        <w:gridCol w:w="346"/>
        <w:gridCol w:w="146"/>
        <w:gridCol w:w="146"/>
        <w:gridCol w:w="209"/>
        <w:gridCol w:w="451"/>
        <w:gridCol w:w="146"/>
        <w:gridCol w:w="146"/>
        <w:gridCol w:w="196"/>
        <w:gridCol w:w="511"/>
        <w:gridCol w:w="19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8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 Obligations Payments Due by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w:t>
              <w:br/>
              <w:t>Than</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 3</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 – 5</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w:t>
              <w:br/>
              <w:t>Than</w:t>
              <w:br/>
              <w:t>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2026 Notes</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91" w:type="dxa"/>
            <w:tcBorders/>
            <w:shd w:fill="CFF0FC" w:val="clear"/>
            <w:vAlign w:val="center"/>
          </w:tcPr>
          <w:p>
            <w:pPr>
              <w:pStyle w:val="TableContents"/>
              <w:bidi w:val="0"/>
              <w:spacing w:before="0" w:after="283"/>
              <w:jc w:val="left"/>
              <w:rPr/>
            </w:pPr>
            <w:r>
              <w:rPr/>
              <w:t> </w:t>
            </w:r>
          </w:p>
        </w:tc>
      </w:tr>
      <w:tr>
        <w:trPr/>
        <w:tc>
          <w:tcPr>
            <w:tcW w:w="21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2032 Convertible Notes</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191" w:type="dxa"/>
            <w:tcBorders/>
            <w:shd w:fill="FFFFFF" w:val="clear"/>
            <w:vAlign w:val="center"/>
          </w:tcPr>
          <w:p>
            <w:pPr>
              <w:pStyle w:val="TableContents"/>
              <w:bidi w:val="0"/>
              <w:spacing w:before="0" w:after="283"/>
              <w:jc w:val="left"/>
              <w:rPr/>
            </w:pPr>
            <w:r>
              <w:rPr/>
              <w:t> </w:t>
            </w:r>
          </w:p>
        </w:tc>
      </w:tr>
      <w:tr>
        <w:trPr/>
        <w:tc>
          <w:tcPr>
            <w:tcW w:w="21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KeyBank Credit Facility</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Contractual Obligations</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Times New Roman" w:hAnsi="Times New Roman"/>
          <w:b/>
          <w:color w:val="000000"/>
          <w:sz w:val="16"/>
        </w:rPr>
        <w:t>Distributions</w:t>
      </w:r>
      <w:r>
        <w:rPr>
          <w:rFonts w:ascii="Times New Roman" w:hAnsi="Times New Roman"/>
          <w:color w:val="000000"/>
          <w:sz w:val="20"/>
        </w:rPr>
        <w:t xml:space="preserve"> </w:t>
      </w:r>
    </w:p>
    <w:p>
      <w:pPr>
        <w:pStyle w:val="TextBody"/>
        <w:bidi w:val="0"/>
        <w:jc w:val="both"/>
        <w:rPr>
          <w:rFonts w:ascii="Times New Roman" w:hAnsi="Times New Roman"/>
          <w:color w:val="000000"/>
          <w:sz w:val="16"/>
        </w:rPr>
      </w:pPr>
      <w:r>
        <w:rPr>
          <w:rFonts w:ascii="Times New Roman" w:hAnsi="Times New Roman"/>
          <w:color w:val="000000"/>
          <w:sz w:val="16"/>
        </w:rPr>
        <w:t>In order to qualify as a RIC and to avoid corporate-level U.S. federal income tax on the income we timely distribute to our stockholders, we are required to distribute at least 90% of our net ordinary income and our net short-term capital gains in excess of net long-term capital losses, if any, to our stockholders on an annual basis. Additionally, to avoid a U.S. federal excise tax, we must distribute an amount at least equal to the sum of 98% of our ordinary income (during the calendar year) plus 98.2% of our capital gain net income (during each 12-month period ending on October 31 in that calendar year) plus any ordinary income and capital gain net income that we recognized for preceding years, but were not distributed during such years, and on which we paid no U.S. federal income tax. We made quarterly distributions to our stockholders for the first four full quarters subsequent to our IPO. To the extent we had income available, we made monthly distributions to our stockholders from October 30, 2014 until March 30, 2020. As announced on April 1, 2020, distributions, if any, will be made on a quarterly basis effective for the second quarter of 2020. Our stockholder distributions, if any, will be determined by our Board on a quarterly basis. Any distributions to our stockholders will be declared out of assets legally available for distribution. For the three and six months ended June 30, 2024, the Company made a distribution of $0.33 and $0.65 per share, respectively. For the three and six months ended June 30, 2023, the Company made a distribution of $0.22 and $0.40 per share, respectively.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may not be able to achieve operating results that will allow us to make distributions at a specific level or to increase the amount of our distributions from time to time, and from time to time we may decrease the amount of our distributions.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qualification as a RIC under Subchapter M of the Code. We cannot assure stockholders that they will receive any distributions.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p>
    <w:p>
      <w:pPr>
        <w:pStyle w:val="TextBody"/>
        <w:bidi w:val="0"/>
        <w:spacing w:before="120" w:after="283"/>
        <w:jc w:val="both"/>
        <w:rPr>
          <w:rFonts w:ascii="Times New Roman" w:hAnsi="Times New Roman"/>
          <w:sz w:val="20"/>
        </w:rPr>
      </w:pPr>
      <w:r>
        <w:rPr>
          <w:rFonts w:ascii="Times New Roman" w:hAnsi="Times New Roman"/>
          <w:color w:val="000000"/>
          <w:sz w:val="16"/>
        </w:rPr>
        <w:t>We have adopted an “opt out” dividend reinvestment plan (“DRIP”) for our common stockholders. As a result, if we declare a distribution, then stockholders’ cash distributions will be automatically reinvested in additional shares of our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our DRIP will not receive any corresponding cash distributions with which to pay any such applicable taxes.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16"/>
        </w:rPr>
        <w:t>Tax characteristics of all distributions paid are reported to stockholders on Form 1099 after the end of the calendar year. Distributions may be subject to reclassification based on future dividends and operating results and will not be determined until the end of the year.</w:t>
      </w:r>
      <w:r>
        <w:rPr>
          <w:rFonts w:ascii="Times New Roman" w:hAnsi="Times New Roman"/>
          <w:color w:val="000000"/>
          <w:sz w:val="20"/>
        </w:rPr>
        <w:t xml:space="preserve"> </w:t>
      </w:r>
    </w:p>
    <w:p>
      <w:pPr>
        <w:pStyle w:val="TextBody"/>
        <w:bidi w:val="0"/>
        <w:spacing w:before="120" w:after="120"/>
        <w:jc w:val="both"/>
        <w:rPr>
          <w:rFonts w:ascii="Times New Roman" w:hAnsi="Times New Roman"/>
          <w:b/>
          <w:color w:val="000000"/>
          <w:sz w:val="16"/>
        </w:rPr>
      </w:pPr>
      <w:r>
        <w:rPr>
          <w:rFonts w:ascii="Times New Roman" w:hAnsi="Times New Roman"/>
          <w:b/>
          <w:color w:val="000000"/>
          <w:sz w:val="16"/>
        </w:rPr>
        <w:t>Related Parties</w:t>
      </w:r>
    </w:p>
    <w:p>
      <w:pPr>
        <w:pStyle w:val="TextBody"/>
        <w:bidi w:val="0"/>
        <w:jc w:val="both"/>
        <w:rPr>
          <w:rFonts w:ascii="Times New Roman" w:hAnsi="Times New Roman"/>
          <w:sz w:val="20"/>
        </w:rPr>
      </w:pPr>
      <w:r>
        <w:rPr>
          <w:rFonts w:ascii="Times New Roman" w:hAnsi="Times New Roman"/>
          <w:color w:val="000000"/>
          <w:sz w:val="16"/>
        </w:rPr>
        <w:t>On July 1, 2021, we entered into the Investment Advisory Agreement with the Investment Adviser. The Company is externally managed by the Investment Adviser, an affiliate of BC Partners, pursuant to the Investment Advisory Agreement. Mr. Goldthorpe, an interested member of the Board, has a direct or indirect pecuniary interest in the Investment Adviser. The Investment Adviser is a registered investment adviser under the Investment Advisers Act of 1940, as amended. The Investment Adviser is an affiliate of BC Partners Advisors L.P. for U.S. regulatory purposes. Mount Logan Capital Inc. is the ultimate control person of the Investment Adviser.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16"/>
        </w:rPr>
        <w:t>Under the Investment Advisory Agreement, fees payable to the Investment Adviser equal (i) the Base Management Fee and (ii) the Incentive Fee. Unless earlier terminated as described below, the Investment Advisory Agreement will remain in effect from year-to-year if approved annually by a majority of the Board or by the holders of a majority of the outstanding shares, and, in each case, a majority of the independent directors.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16"/>
        </w:rPr>
        <w:t>Pursuant to the Administration Agreement, the Administrator provides administrative services to the Company necessary for the operations of the Company, which include providing to the Company office facilities, equipment and clerical, bookkeeping and record keeping services at such facilities and such other services as the Administrator, subject to review by the Board, shall from time to time deem to be necessary or useful to perform its obligations under the applicable Administration Agreement. The Administrator also provides to the Company portfolio collection functions for and is responsible for the financial and other records that the Company is required to maintain and prepares, prints and disseminates reports to the Company's stockholders and reports and all other materials filed with the SEC.</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16"/>
        </w:rPr>
        <w:t>For providing these services, facilities and personnel, the Company reimburses the Administrator the allocable portion of overhead and other expenses incurred by the Administrator in performing its obligations under the Administration Agreement, including the Company's allocable portion of the costs of compensation and related expenses of its chief financial officer and chief compliance officer and their respective staffs.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16"/>
        </w:rPr>
        <w:t>On April 10, 2023, superseding a prior exemptive order granted on October 23, 2018, the SEC issued an order granting an application for exemptive relief to us and certain of our affiliates that allows BDCs managed by the Investment Adviser, including Logan Ridge, to co-invest, subject to the satisfaction of certain conditions, in certain private placement transactions, with other funds managed by the Investment Adviser or its affiliates, certain proprietary accounts of the Investment Adviser or its affiliates and any future funds that are advised by the Investment Adviser or its affiliated investment advisers. Under the terms of the exemptive order, in order for Logan Ridge to participate in a co-investment transaction, a “required majority” (as defined in Section 57(0) of the 1940 Act) of Logan Ridge's independent directors must conclude that (i) the terms of the proposed transaction, including the consideration to be paid, are reasonable and fair to Logan Ridge and its stockholders and do not involve overreaching with respect of Logan Ridge or its stockholders on the part of any person concerned, and (ii) the proposed transaction is consistent with the interests of Logan Ridge's stockholders and is consistent with Logan Ridge's investment objectives and strategies and certain criteria established by the Board. We believe this relief may not only enhance our ability to further our investment objectives and strategies, but may also increase favorable investment opportunities for us, in part by allowing us to participate in larger investments, together with our co-investment affiliates, than would be available to us in the absence of such relief.</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Prior to July 1, 2021, we were party to an administration agreement with our then administrator, Capitala Advisors Corp. As administrator, Capitala Advisors Corp. provided us with the office facilities and administrative services necessary to conduct our day-to-day operations. On July 1, 2021, we entered into a new Administration Agreement with our current Administrator, BC Partners Management LLC. Pursuant to the terms of the Administration Agreement, our Administrator provides us with the office facilities and administrative services necessary to conduct our day-to-day operations.</w:t>
      </w:r>
    </w:p>
    <w:p>
      <w:pPr>
        <w:pStyle w:val="TextBody"/>
        <w:bidi w:val="0"/>
        <w:spacing w:before="120" w:after="120"/>
        <w:jc w:val="both"/>
        <w:rPr>
          <w:rFonts w:ascii="Times New Roman" w:hAnsi="Times New Roman"/>
          <w:b/>
          <w:color w:val="000000"/>
          <w:sz w:val="16"/>
        </w:rPr>
      </w:pPr>
      <w:r>
        <w:rPr>
          <w:rFonts w:ascii="Times New Roman" w:hAnsi="Times New Roman"/>
          <w:b/>
          <w:color w:val="000000"/>
          <w:sz w:val="16"/>
        </w:rPr>
        <w:t>Off-Balance Sheet Arrangements</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As of June 30, 2024 and December 31, 2023, the Company had the following outstanding unfunded commitments to existing portfolio companies (dollars in thousands):</w:t>
      </w:r>
    </w:p>
    <w:tbl>
      <w:tblPr>
        <w:tblW w:w="10205" w:type="dxa"/>
        <w:jc w:val="left"/>
        <w:tblInd w:w="0" w:type="dxa"/>
        <w:tblLayout w:type="fixed"/>
        <w:tblCellMar>
          <w:top w:w="28" w:type="dxa"/>
          <w:left w:w="28" w:type="dxa"/>
          <w:bottom w:w="28" w:type="dxa"/>
          <w:right w:w="28" w:type="dxa"/>
        </w:tblCellMar>
      </w:tblPr>
      <w:tblGrid>
        <w:gridCol w:w="4444"/>
        <w:gridCol w:w="2826"/>
        <w:gridCol w:w="196"/>
        <w:gridCol w:w="159"/>
        <w:gridCol w:w="558"/>
        <w:gridCol w:w="146"/>
        <w:gridCol w:w="196"/>
        <w:gridCol w:w="328"/>
        <w:gridCol w:w="1157"/>
        <w:gridCol w:w="195"/>
      </w:tblGrid>
      <w:tr>
        <w:trPr/>
        <w:tc>
          <w:tcPr>
            <w:tcW w:w="4444"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Portfolio Company</w:t>
            </w:r>
          </w:p>
        </w:tc>
        <w:tc>
          <w:tcPr>
            <w:tcW w:w="2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Accordion Partners LLC (Revolver)</w:t>
            </w:r>
          </w:p>
        </w:tc>
        <w:tc>
          <w:tcPr>
            <w:tcW w:w="282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9" w:type="dxa"/>
            <w:tcBorders/>
            <w:shd w:fill="CFF0FC" w:val="clear"/>
            <w:vAlign w:val="center"/>
          </w:tcPr>
          <w:p>
            <w:pPr>
              <w:pStyle w:val="TableContents"/>
              <w:bidi w:val="0"/>
              <w:spacing w:before="0" w:after="283"/>
              <w:jc w:val="left"/>
              <w:rPr/>
            </w:pPr>
            <w:r>
              <w:rPr/>
              <w:t> </w:t>
            </w:r>
          </w:p>
        </w:tc>
        <w:tc>
          <w:tcPr>
            <w:tcW w:w="55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765</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328" w:type="dxa"/>
            <w:tcBorders/>
            <w:shd w:fill="CFF0FC" w:val="clear"/>
            <w:vAlign w:val="center"/>
          </w:tcPr>
          <w:p>
            <w:pPr>
              <w:pStyle w:val="TableContents"/>
              <w:bidi w:val="0"/>
              <w:spacing w:before="0" w:after="283"/>
              <w:jc w:val="left"/>
              <w:rPr/>
            </w:pPr>
            <w:r>
              <w:rPr/>
              <w:t> </w:t>
            </w:r>
          </w:p>
        </w:tc>
        <w:tc>
          <w:tcPr>
            <w:tcW w:w="115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1,531</w:t>
            </w:r>
          </w:p>
        </w:tc>
        <w:tc>
          <w:tcPr>
            <w:tcW w:w="195" w:type="dxa"/>
            <w:tcBorders/>
            <w:shd w:fill="CFF0FC" w:val="clear"/>
            <w:vAlign w:val="center"/>
          </w:tcPr>
          <w:p>
            <w:pPr>
              <w:pStyle w:val="TableContents"/>
              <w:bidi w:val="0"/>
              <w:spacing w:before="0" w:after="283"/>
              <w:jc w:val="left"/>
              <w:rPr/>
            </w:pPr>
            <w:r>
              <w:rPr/>
              <w:t> </w:t>
            </w:r>
          </w:p>
        </w:tc>
      </w:tr>
      <w:tr>
        <w:trPr/>
        <w:tc>
          <w:tcPr>
            <w:tcW w:w="4444"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American Clinical Solutions, LLC</w:t>
            </w:r>
            <w:r>
              <w:rPr>
                <w:rFonts w:ascii="Times New Roman" w:hAnsi="Times New Roman"/>
                <w:color w:val="000000"/>
                <w:sz w:val="11"/>
              </w:rPr>
              <w:t>(1)</w:t>
            </w:r>
          </w:p>
        </w:tc>
        <w:tc>
          <w:tcPr>
            <w:tcW w:w="282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FFFFFF" w:val="clear"/>
            <w:vAlign w:val="center"/>
          </w:tcPr>
          <w:p>
            <w:pPr>
              <w:pStyle w:val="TableContents"/>
              <w:bidi w:val="0"/>
              <w:spacing w:before="0" w:after="283"/>
              <w:jc w:val="righ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c>
          <w:tcPr>
            <w:tcW w:w="328"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95" w:type="dxa"/>
            <w:tcBorders/>
            <w:shd w:fill="FFFFFF" w:val="clear"/>
            <w:vAlign w:val="center"/>
          </w:tcPr>
          <w:p>
            <w:pPr>
              <w:pStyle w:val="TableContents"/>
              <w:bidi w:val="0"/>
              <w:spacing w:before="0" w:after="283"/>
              <w:jc w:val="left"/>
              <w:rPr/>
            </w:pPr>
            <w:r>
              <w:rPr/>
              <w:t> </w:t>
            </w:r>
          </w:p>
        </w:tc>
      </w:tr>
      <w:tr>
        <w:trPr/>
        <w:tc>
          <w:tcPr>
            <w:tcW w:w="444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BetaNXT, Inc. (Revolver)</w:t>
            </w:r>
          </w:p>
        </w:tc>
        <w:tc>
          <w:tcPr>
            <w:tcW w:w="282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55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328" w:type="dxa"/>
            <w:tcBorders/>
            <w:shd w:fill="CFF0FC" w:val="clear"/>
            <w:vAlign w:val="center"/>
          </w:tcPr>
          <w:p>
            <w:pPr>
              <w:pStyle w:val="TableContents"/>
              <w:bidi w:val="0"/>
              <w:spacing w:before="0" w:after="283"/>
              <w:jc w:val="left"/>
              <w:rPr/>
            </w:pPr>
            <w:r>
              <w:rPr/>
              <w:t> </w:t>
            </w:r>
          </w:p>
        </w:tc>
        <w:tc>
          <w:tcPr>
            <w:tcW w:w="115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w:t>
            </w:r>
          </w:p>
        </w:tc>
        <w:tc>
          <w:tcPr>
            <w:tcW w:w="195" w:type="dxa"/>
            <w:tcBorders/>
            <w:shd w:fill="CFF0FC" w:val="clear"/>
            <w:vAlign w:val="center"/>
          </w:tcPr>
          <w:p>
            <w:pPr>
              <w:pStyle w:val="TableContents"/>
              <w:bidi w:val="0"/>
              <w:spacing w:before="0" w:after="283"/>
              <w:jc w:val="left"/>
              <w:rPr/>
            </w:pPr>
            <w:r>
              <w:rPr/>
              <w:t> </w:t>
            </w:r>
          </w:p>
        </w:tc>
      </w:tr>
      <w:tr>
        <w:trPr/>
        <w:tc>
          <w:tcPr>
            <w:tcW w:w="444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Bradshaw International, Inc. (Revolver)</w:t>
            </w:r>
          </w:p>
        </w:tc>
        <w:tc>
          <w:tcPr>
            <w:tcW w:w="282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328"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w:t>
            </w:r>
          </w:p>
        </w:tc>
        <w:tc>
          <w:tcPr>
            <w:tcW w:w="195" w:type="dxa"/>
            <w:tcBorders/>
            <w:shd w:fill="FFFFFF" w:val="clear"/>
            <w:vAlign w:val="center"/>
          </w:tcPr>
          <w:p>
            <w:pPr>
              <w:pStyle w:val="TableContents"/>
              <w:bidi w:val="0"/>
              <w:spacing w:before="0" w:after="283"/>
              <w:jc w:val="left"/>
              <w:rPr/>
            </w:pPr>
            <w:r>
              <w:rPr/>
              <w:t> </w:t>
            </w:r>
          </w:p>
        </w:tc>
      </w:tr>
      <w:tr>
        <w:trPr/>
        <w:tc>
          <w:tcPr>
            <w:tcW w:w="444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Critical Nurse Staffing, LLC (Revolver)</w:t>
            </w:r>
          </w:p>
        </w:tc>
        <w:tc>
          <w:tcPr>
            <w:tcW w:w="282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55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328" w:type="dxa"/>
            <w:tcBorders/>
            <w:shd w:fill="CFF0FC" w:val="clear"/>
            <w:vAlign w:val="center"/>
          </w:tcPr>
          <w:p>
            <w:pPr>
              <w:pStyle w:val="TableContents"/>
              <w:bidi w:val="0"/>
              <w:spacing w:before="0" w:after="283"/>
              <w:jc w:val="left"/>
              <w:rPr/>
            </w:pPr>
            <w:r>
              <w:rPr/>
              <w:t> </w:t>
            </w:r>
          </w:p>
        </w:tc>
        <w:tc>
          <w:tcPr>
            <w:tcW w:w="115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95" w:type="dxa"/>
            <w:tcBorders/>
            <w:shd w:fill="CFF0FC" w:val="clear"/>
            <w:vAlign w:val="center"/>
          </w:tcPr>
          <w:p>
            <w:pPr>
              <w:pStyle w:val="TableContents"/>
              <w:bidi w:val="0"/>
              <w:spacing w:before="0" w:after="283"/>
              <w:jc w:val="left"/>
              <w:rPr/>
            </w:pPr>
            <w:r>
              <w:rPr/>
              <w:t> </w:t>
            </w:r>
          </w:p>
        </w:tc>
      </w:tr>
      <w:tr>
        <w:trPr/>
        <w:tc>
          <w:tcPr>
            <w:tcW w:w="4444"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Dentive, LLC</w:t>
            </w:r>
            <w:r>
              <w:rPr>
                <w:rFonts w:ascii="Times New Roman" w:hAnsi="Times New Roman"/>
                <w:color w:val="000000"/>
                <w:sz w:val="11"/>
              </w:rPr>
              <w:t>(1)</w:t>
            </w:r>
          </w:p>
        </w:tc>
        <w:tc>
          <w:tcPr>
            <w:tcW w:w="282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FFFFFF" w:val="clear"/>
            <w:vAlign w:val="center"/>
          </w:tcPr>
          <w:p>
            <w:pPr>
              <w:pStyle w:val="TableContents"/>
              <w:bidi w:val="0"/>
              <w:spacing w:before="0" w:after="283"/>
              <w:jc w:val="righ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c>
          <w:tcPr>
            <w:tcW w:w="328"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w:t>
            </w:r>
          </w:p>
        </w:tc>
        <w:tc>
          <w:tcPr>
            <w:tcW w:w="195" w:type="dxa"/>
            <w:tcBorders/>
            <w:shd w:fill="FFFFFF" w:val="clear"/>
            <w:vAlign w:val="center"/>
          </w:tcPr>
          <w:p>
            <w:pPr>
              <w:pStyle w:val="TableContents"/>
              <w:bidi w:val="0"/>
              <w:spacing w:before="0" w:after="283"/>
              <w:jc w:val="left"/>
              <w:rPr/>
            </w:pPr>
            <w:r>
              <w:rPr/>
              <w:t> </w:t>
            </w:r>
          </w:p>
        </w:tc>
      </w:tr>
      <w:tr>
        <w:trPr/>
        <w:tc>
          <w:tcPr>
            <w:tcW w:w="444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Dentive, LLC (Revolver)</w:t>
            </w:r>
          </w:p>
        </w:tc>
        <w:tc>
          <w:tcPr>
            <w:tcW w:w="282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55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328" w:type="dxa"/>
            <w:tcBorders/>
            <w:shd w:fill="CFF0FC" w:val="clear"/>
            <w:vAlign w:val="center"/>
          </w:tcPr>
          <w:p>
            <w:pPr>
              <w:pStyle w:val="TableContents"/>
              <w:bidi w:val="0"/>
              <w:spacing w:before="0" w:after="283"/>
              <w:jc w:val="left"/>
              <w:rPr/>
            </w:pPr>
            <w:r>
              <w:rPr/>
              <w:t> </w:t>
            </w:r>
          </w:p>
        </w:tc>
        <w:tc>
          <w:tcPr>
            <w:tcW w:w="115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w:t>
            </w:r>
          </w:p>
        </w:tc>
        <w:tc>
          <w:tcPr>
            <w:tcW w:w="195" w:type="dxa"/>
            <w:tcBorders/>
            <w:shd w:fill="CFF0FC" w:val="clear"/>
            <w:vAlign w:val="center"/>
          </w:tcPr>
          <w:p>
            <w:pPr>
              <w:pStyle w:val="TableContents"/>
              <w:bidi w:val="0"/>
              <w:spacing w:before="0" w:after="283"/>
              <w:jc w:val="left"/>
              <w:rPr/>
            </w:pPr>
            <w:r>
              <w:rPr/>
              <w:t> </w:t>
            </w:r>
          </w:p>
        </w:tc>
      </w:tr>
      <w:tr>
        <w:trPr/>
        <w:tc>
          <w:tcPr>
            <w:tcW w:w="4444"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Fortis Payment Systems, LLC</w:t>
            </w:r>
            <w:r>
              <w:rPr>
                <w:rFonts w:ascii="Times New Roman" w:hAnsi="Times New Roman"/>
                <w:color w:val="000000"/>
                <w:sz w:val="11"/>
              </w:rPr>
              <w:t>(1)</w:t>
            </w:r>
          </w:p>
        </w:tc>
        <w:tc>
          <w:tcPr>
            <w:tcW w:w="282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85"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5" w:type="dxa"/>
            <w:tcBorders/>
            <w:shd w:fill="FFFFFF" w:val="clear"/>
            <w:vAlign w:val="center"/>
          </w:tcPr>
          <w:p>
            <w:pPr>
              <w:pStyle w:val="TableContents"/>
              <w:bidi w:val="0"/>
              <w:spacing w:before="0" w:after="283"/>
              <w:jc w:val="right"/>
              <w:rPr/>
            </w:pPr>
            <w:r>
              <w:rPr/>
              <w:t> </w:t>
            </w:r>
          </w:p>
        </w:tc>
      </w:tr>
      <w:tr>
        <w:trPr/>
        <w:tc>
          <w:tcPr>
            <w:tcW w:w="444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Great Lakes Funding II LLC - Series A</w:t>
            </w:r>
          </w:p>
        </w:tc>
        <w:tc>
          <w:tcPr>
            <w:tcW w:w="282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Joint Venture</w:t>
            </w:r>
          </w:p>
        </w:tc>
        <w:tc>
          <w:tcPr>
            <w:tcW w:w="196"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55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328" w:type="dxa"/>
            <w:tcBorders/>
            <w:shd w:fill="CFF0FC" w:val="clear"/>
            <w:vAlign w:val="center"/>
          </w:tcPr>
          <w:p>
            <w:pPr>
              <w:pStyle w:val="TableContents"/>
              <w:bidi w:val="0"/>
              <w:spacing w:before="0" w:after="283"/>
              <w:jc w:val="left"/>
              <w:rPr/>
            </w:pPr>
            <w:r>
              <w:rPr/>
              <w:t> </w:t>
            </w:r>
          </w:p>
        </w:tc>
        <w:tc>
          <w:tcPr>
            <w:tcW w:w="115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95" w:type="dxa"/>
            <w:tcBorders/>
            <w:shd w:fill="CFF0FC" w:val="clear"/>
            <w:vAlign w:val="center"/>
          </w:tcPr>
          <w:p>
            <w:pPr>
              <w:pStyle w:val="TableContents"/>
              <w:bidi w:val="0"/>
              <w:spacing w:before="0" w:after="283"/>
              <w:jc w:val="left"/>
              <w:rPr/>
            </w:pPr>
            <w:r>
              <w:rPr/>
              <w:t> </w:t>
            </w:r>
          </w:p>
        </w:tc>
      </w:tr>
      <w:tr>
        <w:trPr/>
        <w:tc>
          <w:tcPr>
            <w:tcW w:w="444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GreenPark Infrastructure, LLC - Series M-1</w:t>
            </w:r>
          </w:p>
        </w:tc>
        <w:tc>
          <w:tcPr>
            <w:tcW w:w="282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Common Stock and Membership Units</w:t>
            </w:r>
          </w:p>
        </w:tc>
        <w:tc>
          <w:tcPr>
            <w:tcW w:w="196"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328"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w:t>
            </w:r>
          </w:p>
        </w:tc>
        <w:tc>
          <w:tcPr>
            <w:tcW w:w="195" w:type="dxa"/>
            <w:tcBorders/>
            <w:shd w:fill="FFFFFF" w:val="clear"/>
            <w:vAlign w:val="center"/>
          </w:tcPr>
          <w:p>
            <w:pPr>
              <w:pStyle w:val="TableContents"/>
              <w:bidi w:val="0"/>
              <w:spacing w:before="0" w:after="283"/>
              <w:jc w:val="left"/>
              <w:rPr/>
            </w:pPr>
            <w:r>
              <w:rPr/>
              <w:t> </w:t>
            </w:r>
          </w:p>
        </w:tc>
      </w:tr>
      <w:tr>
        <w:trPr/>
        <w:tc>
          <w:tcPr>
            <w:tcW w:w="4444"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IDC Infusion Services, LLC</w:t>
            </w:r>
            <w:r>
              <w:rPr>
                <w:rFonts w:ascii="Times New Roman" w:hAnsi="Times New Roman"/>
                <w:color w:val="000000"/>
                <w:sz w:val="11"/>
              </w:rPr>
              <w:t>(1)</w:t>
            </w:r>
          </w:p>
        </w:tc>
        <w:tc>
          <w:tcPr>
            <w:tcW w:w="282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55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798</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328" w:type="dxa"/>
            <w:tcBorders/>
            <w:shd w:fill="CFF0FC" w:val="clear"/>
            <w:vAlign w:val="center"/>
          </w:tcPr>
          <w:p>
            <w:pPr>
              <w:pStyle w:val="TableContents"/>
              <w:bidi w:val="0"/>
              <w:spacing w:before="0" w:after="283"/>
              <w:jc w:val="left"/>
              <w:rPr/>
            </w:pPr>
            <w:r>
              <w:rPr/>
              <w:t> </w:t>
            </w:r>
          </w:p>
        </w:tc>
        <w:tc>
          <w:tcPr>
            <w:tcW w:w="115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799</w:t>
            </w:r>
          </w:p>
        </w:tc>
        <w:tc>
          <w:tcPr>
            <w:tcW w:w="195" w:type="dxa"/>
            <w:tcBorders/>
            <w:shd w:fill="CFF0FC" w:val="clear"/>
            <w:vAlign w:val="center"/>
          </w:tcPr>
          <w:p>
            <w:pPr>
              <w:pStyle w:val="TableContents"/>
              <w:bidi w:val="0"/>
              <w:spacing w:before="0" w:after="283"/>
              <w:jc w:val="left"/>
              <w:rPr/>
            </w:pPr>
            <w:r>
              <w:rPr/>
              <w:t> </w:t>
            </w:r>
          </w:p>
        </w:tc>
      </w:tr>
      <w:tr>
        <w:trPr/>
        <w:tc>
          <w:tcPr>
            <w:tcW w:w="444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Morae Global Corporation (Revolver)</w:t>
            </w:r>
          </w:p>
        </w:tc>
        <w:tc>
          <w:tcPr>
            <w:tcW w:w="282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328"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w:t>
            </w:r>
          </w:p>
        </w:tc>
        <w:tc>
          <w:tcPr>
            <w:tcW w:w="195" w:type="dxa"/>
            <w:tcBorders/>
            <w:shd w:fill="FFFFFF" w:val="clear"/>
            <w:vAlign w:val="center"/>
          </w:tcPr>
          <w:p>
            <w:pPr>
              <w:pStyle w:val="TableContents"/>
              <w:bidi w:val="0"/>
              <w:spacing w:before="0" w:after="283"/>
              <w:jc w:val="left"/>
              <w:rPr/>
            </w:pPr>
            <w:r>
              <w:rPr/>
              <w:t> </w:t>
            </w:r>
          </w:p>
        </w:tc>
      </w:tr>
      <w:tr>
        <w:trPr/>
        <w:tc>
          <w:tcPr>
            <w:tcW w:w="4444"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Orthopaedic (ITC) Buyer, LLC</w:t>
            </w:r>
            <w:r>
              <w:rPr>
                <w:rFonts w:ascii="Times New Roman" w:hAnsi="Times New Roman"/>
                <w:color w:val="000000"/>
                <w:sz w:val="11"/>
              </w:rPr>
              <w:t>(1)</w:t>
            </w:r>
          </w:p>
        </w:tc>
        <w:tc>
          <w:tcPr>
            <w:tcW w:w="282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55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328" w:type="dxa"/>
            <w:tcBorders/>
            <w:shd w:fill="CFF0FC" w:val="clear"/>
            <w:vAlign w:val="center"/>
          </w:tcPr>
          <w:p>
            <w:pPr>
              <w:pStyle w:val="TableContents"/>
              <w:bidi w:val="0"/>
              <w:spacing w:before="0" w:after="283"/>
              <w:jc w:val="left"/>
              <w:rPr/>
            </w:pPr>
            <w:r>
              <w:rPr/>
              <w:t> </w:t>
            </w:r>
          </w:p>
        </w:tc>
        <w:tc>
          <w:tcPr>
            <w:tcW w:w="115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w:t>
            </w:r>
          </w:p>
        </w:tc>
        <w:tc>
          <w:tcPr>
            <w:tcW w:w="195" w:type="dxa"/>
            <w:tcBorders/>
            <w:shd w:fill="CFF0FC" w:val="clear"/>
            <w:vAlign w:val="center"/>
          </w:tcPr>
          <w:p>
            <w:pPr>
              <w:pStyle w:val="TableContents"/>
              <w:bidi w:val="0"/>
              <w:spacing w:before="0" w:after="283"/>
              <w:jc w:val="left"/>
              <w:rPr/>
            </w:pPr>
            <w:r>
              <w:rPr/>
              <w:t> </w:t>
            </w:r>
          </w:p>
        </w:tc>
      </w:tr>
      <w:tr>
        <w:trPr/>
        <w:tc>
          <w:tcPr>
            <w:tcW w:w="4444"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PhyNet Dermatology LLC</w:t>
            </w:r>
            <w:r>
              <w:rPr>
                <w:rFonts w:ascii="Times New Roman" w:hAnsi="Times New Roman"/>
                <w:color w:val="000000"/>
                <w:sz w:val="11"/>
              </w:rPr>
              <w:t>(1)</w:t>
            </w:r>
          </w:p>
        </w:tc>
        <w:tc>
          <w:tcPr>
            <w:tcW w:w="282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328"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w:t>
            </w:r>
          </w:p>
        </w:tc>
        <w:tc>
          <w:tcPr>
            <w:tcW w:w="195" w:type="dxa"/>
            <w:tcBorders/>
            <w:shd w:fill="FFFFFF" w:val="clear"/>
            <w:vAlign w:val="center"/>
          </w:tcPr>
          <w:p>
            <w:pPr>
              <w:pStyle w:val="TableContents"/>
              <w:bidi w:val="0"/>
              <w:spacing w:before="0" w:after="283"/>
              <w:jc w:val="left"/>
              <w:rPr/>
            </w:pPr>
            <w:r>
              <w:rPr/>
              <w:t> </w:t>
            </w:r>
          </w:p>
        </w:tc>
      </w:tr>
      <w:tr>
        <w:trPr/>
        <w:tc>
          <w:tcPr>
            <w:tcW w:w="4444"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Riddell, Inc.</w:t>
            </w:r>
            <w:r>
              <w:rPr>
                <w:rFonts w:ascii="Times New Roman" w:hAnsi="Times New Roman"/>
                <w:color w:val="000000"/>
                <w:sz w:val="11"/>
              </w:rPr>
              <w:t>(1)</w:t>
            </w:r>
          </w:p>
        </w:tc>
        <w:tc>
          <w:tcPr>
            <w:tcW w:w="282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55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85"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5" w:type="dxa"/>
            <w:tcBorders/>
            <w:shd w:fill="CFF0FC" w:val="clear"/>
            <w:vAlign w:val="center"/>
          </w:tcPr>
          <w:p>
            <w:pPr>
              <w:pStyle w:val="TableContents"/>
              <w:bidi w:val="0"/>
              <w:spacing w:before="0" w:after="283"/>
              <w:jc w:val="right"/>
              <w:rPr/>
            </w:pPr>
            <w:r>
              <w:rPr/>
              <w:t> </w:t>
            </w:r>
          </w:p>
        </w:tc>
      </w:tr>
      <w:tr>
        <w:trPr/>
        <w:tc>
          <w:tcPr>
            <w:tcW w:w="4444"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Tactical Air Support, Inc.</w:t>
            </w:r>
            <w:r>
              <w:rPr>
                <w:rFonts w:ascii="Times New Roman" w:hAnsi="Times New Roman"/>
                <w:color w:val="000000"/>
                <w:sz w:val="11"/>
              </w:rPr>
              <w:t>(1)</w:t>
            </w:r>
          </w:p>
        </w:tc>
        <w:tc>
          <w:tcPr>
            <w:tcW w:w="282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328"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w:t>
            </w:r>
          </w:p>
        </w:tc>
        <w:tc>
          <w:tcPr>
            <w:tcW w:w="195" w:type="dxa"/>
            <w:tcBorders/>
            <w:shd w:fill="FFFFFF" w:val="clear"/>
            <w:vAlign w:val="center"/>
          </w:tcPr>
          <w:p>
            <w:pPr>
              <w:pStyle w:val="TableContents"/>
              <w:bidi w:val="0"/>
              <w:spacing w:before="0" w:after="283"/>
              <w:jc w:val="left"/>
              <w:rPr/>
            </w:pPr>
            <w:r>
              <w:rPr/>
              <w:t> </w:t>
            </w:r>
          </w:p>
        </w:tc>
      </w:tr>
      <w:tr>
        <w:trPr/>
        <w:tc>
          <w:tcPr>
            <w:tcW w:w="444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Taoglas Group Holdings Limited (Revolver)</w:t>
            </w:r>
          </w:p>
        </w:tc>
        <w:tc>
          <w:tcPr>
            <w:tcW w:w="282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55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328" w:type="dxa"/>
            <w:tcBorders/>
            <w:shd w:fill="CFF0FC" w:val="clear"/>
            <w:vAlign w:val="center"/>
          </w:tcPr>
          <w:p>
            <w:pPr>
              <w:pStyle w:val="TableContents"/>
              <w:bidi w:val="0"/>
              <w:spacing w:before="0" w:after="283"/>
              <w:jc w:val="left"/>
              <w:rPr/>
            </w:pPr>
            <w:r>
              <w:rPr/>
              <w:t> </w:t>
            </w:r>
          </w:p>
        </w:tc>
        <w:tc>
          <w:tcPr>
            <w:tcW w:w="115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w:t>
            </w:r>
          </w:p>
        </w:tc>
        <w:tc>
          <w:tcPr>
            <w:tcW w:w="195" w:type="dxa"/>
            <w:tcBorders/>
            <w:shd w:fill="CFF0FC" w:val="clear"/>
            <w:vAlign w:val="center"/>
          </w:tcPr>
          <w:p>
            <w:pPr>
              <w:pStyle w:val="TableContents"/>
              <w:bidi w:val="0"/>
              <w:spacing w:before="0" w:after="283"/>
              <w:jc w:val="left"/>
              <w:rPr/>
            </w:pPr>
            <w:r>
              <w:rPr/>
              <w:t> </w:t>
            </w:r>
          </w:p>
        </w:tc>
      </w:tr>
      <w:tr>
        <w:trPr/>
        <w:tc>
          <w:tcPr>
            <w:tcW w:w="4444"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VBC Spine Opco, LLC (DxTx Pain and Spine LLC)</w:t>
            </w:r>
            <w:r>
              <w:rPr>
                <w:rFonts w:ascii="Times New Roman" w:hAnsi="Times New Roman"/>
                <w:color w:val="000000"/>
                <w:sz w:val="11"/>
              </w:rPr>
              <w:t>(1)</w:t>
            </w:r>
          </w:p>
        </w:tc>
        <w:tc>
          <w:tcPr>
            <w:tcW w:w="282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328"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713</w:t>
            </w:r>
          </w:p>
        </w:tc>
        <w:tc>
          <w:tcPr>
            <w:tcW w:w="195" w:type="dxa"/>
            <w:tcBorders/>
            <w:shd w:fill="FFFFFF" w:val="clear"/>
            <w:vAlign w:val="center"/>
          </w:tcPr>
          <w:p>
            <w:pPr>
              <w:pStyle w:val="TableContents"/>
              <w:bidi w:val="0"/>
              <w:spacing w:before="0" w:after="283"/>
              <w:jc w:val="left"/>
              <w:rPr/>
            </w:pPr>
            <w:r>
              <w:rPr/>
              <w:t> </w:t>
            </w:r>
          </w:p>
        </w:tc>
      </w:tr>
      <w:tr>
        <w:trPr/>
        <w:tc>
          <w:tcPr>
            <w:tcW w:w="444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VBC Spine Opco, LLC (DxTx Pain and Spine LLC) (Revolver)</w:t>
            </w:r>
          </w:p>
        </w:tc>
        <w:tc>
          <w:tcPr>
            <w:tcW w:w="282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55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328" w:type="dxa"/>
            <w:tcBorders/>
            <w:shd w:fill="CFF0FC" w:val="clear"/>
            <w:vAlign w:val="center"/>
          </w:tcPr>
          <w:p>
            <w:pPr>
              <w:pStyle w:val="TableContents"/>
              <w:bidi w:val="0"/>
              <w:spacing w:before="0" w:after="283"/>
              <w:jc w:val="left"/>
              <w:rPr/>
            </w:pPr>
            <w:r>
              <w:rPr/>
              <w:t> </w:t>
            </w:r>
          </w:p>
        </w:tc>
        <w:tc>
          <w:tcPr>
            <w:tcW w:w="115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195" w:type="dxa"/>
            <w:tcBorders/>
            <w:shd w:fill="CFF0FC" w:val="clear"/>
            <w:vAlign w:val="center"/>
          </w:tcPr>
          <w:p>
            <w:pPr>
              <w:pStyle w:val="TableContents"/>
              <w:bidi w:val="0"/>
              <w:spacing w:before="0" w:after="283"/>
              <w:jc w:val="left"/>
              <w:rPr/>
            </w:pPr>
            <w:r>
              <w:rPr/>
              <w:t> </w:t>
            </w:r>
          </w:p>
        </w:tc>
      </w:tr>
      <w:tr>
        <w:trPr/>
        <w:tc>
          <w:tcPr>
            <w:tcW w:w="444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Wealth Enhancement Group, LLC (Revolver)</w:t>
            </w:r>
          </w:p>
        </w:tc>
        <w:tc>
          <w:tcPr>
            <w:tcW w:w="282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4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Unfunded Commitments</w:t>
            </w:r>
          </w:p>
        </w:tc>
        <w:tc>
          <w:tcPr>
            <w:tcW w:w="282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9,173</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pBdr>
          <w:bottom w:val="single" w:sz="6" w:space="1" w:color="000000"/>
        </w:pBdr>
        <w:bidi w:val="0"/>
        <w:jc w:val="both"/>
        <w:rPr/>
      </w:pPr>
      <w:r>
        <w:rPr/>
        <w:t> </w:t>
      </w:r>
    </w:p>
    <w:p>
      <w:pPr>
        <w:pStyle w:val="TextBody"/>
        <w:bidi w:val="0"/>
        <w:jc w:val="both"/>
        <w:rPr>
          <w:rFonts w:ascii="Times New Roman" w:hAnsi="Times New Roman"/>
          <w:sz w:val="20"/>
        </w:rPr>
      </w:pPr>
      <w:r>
        <w:rPr>
          <w:rFonts w:ascii="Times New Roman" w:hAnsi="Times New Roman"/>
          <w:color w:val="000000"/>
          <w:sz w:val="11"/>
        </w:rPr>
        <w:t>(1)</w:t>
      </w:r>
      <w:r>
        <w:rPr>
          <w:rFonts w:ascii="Times New Roman" w:hAnsi="Times New Roman"/>
          <w:color w:val="000000"/>
          <w:sz w:val="20"/>
        </w:rPr>
        <w:t xml:space="preserve"> </w:t>
      </w:r>
      <w:r>
        <w:rPr>
          <w:rFonts w:ascii="Times New Roman" w:hAnsi="Times New Roman"/>
          <w:color w:val="000000"/>
          <w:sz w:val="16"/>
        </w:rPr>
        <w:t>Delayed-draw term loan.</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have no other off-balance sheet arrangements that have or are reasonably likely to have a current or future effect on our financial condition, changes in financial condition, revenues or expenses, results of operations, liquidity, capital expenditures or capital resources.</w:t>
      </w:r>
    </w:p>
    <w:p>
      <w:pPr>
        <w:pStyle w:val="TextBody"/>
        <w:bidi w:val="0"/>
        <w:spacing w:before="120" w:after="120"/>
        <w:jc w:val="both"/>
        <w:rPr>
          <w:rFonts w:ascii="Times New Roman" w:hAnsi="Times New Roman"/>
          <w:sz w:val="20"/>
        </w:rPr>
      </w:pPr>
      <w:r>
        <w:rPr>
          <w:rFonts w:ascii="Times New Roman" w:hAnsi="Times New Roman"/>
          <w:b/>
          <w:color w:val="000000"/>
          <w:sz w:val="16"/>
        </w:rPr>
        <w:t>Recent Developments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On August 7, 2024, the Company’s Board of Directors approved a distribution of $0.33 per share, payable on August 30, 2024 to stockholders of record as of August 22,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b/>
          <w:color w:val="000000"/>
          <w:sz w:val="16"/>
        </w:rPr>
      </w:pPr>
      <w:bookmarkStart w:id="11" w:name="item_3_quantitative_and_qualitative"/>
      <w:bookmarkEnd w:id="11"/>
      <w:r>
        <w:rPr>
          <w:rFonts w:ascii="Times New Roman" w:hAnsi="Times New Roman"/>
          <w:b/>
          <w:color w:val="000000"/>
          <w:sz w:val="16"/>
        </w:rPr>
        <w:t>Item 3. Quantitative and Qualitative Disclosures About Market Risk</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are subject to financial market risks, including changes in interest rates. Changes in interest rates may affect both our cost of funding and our interest income from portfolio investments and cash and cash equivalents.</w:t>
      </w:r>
    </w:p>
    <w:p>
      <w:pPr>
        <w:pStyle w:val="TextBody"/>
        <w:bidi w:val="0"/>
        <w:spacing w:before="120" w:after="283"/>
        <w:jc w:val="both"/>
        <w:rPr>
          <w:rFonts w:ascii="Times New Roman" w:hAnsi="Times New Roman"/>
          <w:sz w:val="20"/>
        </w:rPr>
      </w:pPr>
      <w:r>
        <w:rPr>
          <w:rFonts w:ascii="Times New Roman" w:hAnsi="Times New Roman"/>
          <w:color w:val="000000"/>
          <w:sz w:val="16"/>
        </w:rPr>
        <w:t>We may hedge against interest rate fluctuations by using standard hedging instruments such as futures, options, and forward contracts subject to the requirements of the 1940 Act. For the six months ended June 30, 2024, we did not engage in hedging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16"/>
        </w:rPr>
        <w:t>As of June 30, 2024, we held 48</w:t>
      </w:r>
      <w:r>
        <w:rPr>
          <w:rFonts w:ascii="Times New Roman" w:hAnsi="Times New Roman"/>
          <w:color w:val="FF0000"/>
          <w:sz w:val="20"/>
        </w:rPr>
        <w:t xml:space="preserve"> </w:t>
      </w:r>
      <w:r>
        <w:rPr>
          <w:rFonts w:ascii="Times New Roman" w:hAnsi="Times New Roman"/>
          <w:color w:val="000000"/>
          <w:sz w:val="16"/>
        </w:rPr>
        <w:t>securities bearing a variable rate of interest. Our variable rate investments represent approximately 88.1% of the fair value of our total debt investments. As of June 30, 2024, none of our variable rate securities were yielding interest at a rate equal to the established interest rate floor. As of June 30, 2024, we had $53.1 million outstanding on our KeyBank Credit Facility, which has a variable rate of interest at one-month SOFR + 2.90%, subject to an interest rate floor of 0.40%. As of June 30, 2024, all of our other interest paying liabilities, consisting of $50.0 million in 2026 Notes and $12.0 million in 2032 Convertible Notes, were bearing interest at a fixed rate.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Interest rate sensitivity refers to the change in earnings that may result from changes in the level of interest rates. Because we fund a portion of our investments with borrowings, our net investment income is affected by the difference between the rate at which we invest and the rate at which we borrow. As a result, there can be no assurance that a significant change in market interest rates will not have a material adverse effect on our net investment income. In addition, in a prolonged low interest rate environment, including a reduction of LIBOR to zero, the difference between the total interest income earned on interest earning assets and the total interest expense incurred on interest bearing liabilities may be compressed, reducing our net interest income and potentially adversely affecting our operating results.</w:t>
      </w:r>
    </w:p>
    <w:p>
      <w:pPr>
        <w:pStyle w:val="TextBody"/>
        <w:bidi w:val="0"/>
        <w:spacing w:before="120" w:after="120"/>
        <w:jc w:val="both"/>
        <w:rPr>
          <w:rFonts w:ascii="Times New Roman" w:hAnsi="Times New Roman"/>
          <w:sz w:val="20"/>
        </w:rPr>
      </w:pPr>
      <w:r>
        <w:rPr>
          <w:rFonts w:ascii="Times New Roman" w:hAnsi="Times New Roman"/>
          <w:color w:val="000000"/>
          <w:sz w:val="16"/>
        </w:rPr>
        <w:t>Based on our June 30, 2024 consolidated statements of assets and liabilities, the following table shows the annual impact on net income (excluding the potential related incentive fee impact) of base rate changes in interest rates (considering interest rate floors for variable rate securities) assuming no changes in our investment and borrowing structure (dollars in thousands):</w:t>
      </w:r>
      <w:r>
        <w:rPr>
          <w:rFonts w:ascii="Times New Roman" w:hAnsi="Times New Roman"/>
          <w:color w:val="000000"/>
          <w:sz w:val="20"/>
        </w:rPr>
        <w:t xml:space="preserve"> </w:t>
      </w:r>
    </w:p>
    <w:tbl>
      <w:tblPr>
        <w:tblW w:w="6709" w:type="dxa"/>
        <w:jc w:val="left"/>
        <w:tblInd w:w="0" w:type="dxa"/>
        <w:tblLayout w:type="fixed"/>
        <w:tblCellMar>
          <w:top w:w="28" w:type="dxa"/>
          <w:left w:w="28" w:type="dxa"/>
          <w:bottom w:w="28" w:type="dxa"/>
          <w:right w:w="28" w:type="dxa"/>
        </w:tblCellMar>
      </w:tblPr>
      <w:tblGrid>
        <w:gridCol w:w="1696"/>
        <w:gridCol w:w="549"/>
        <w:gridCol w:w="1611"/>
        <w:gridCol w:w="166"/>
        <w:gridCol w:w="318"/>
        <w:gridCol w:w="927"/>
        <w:gridCol w:w="166"/>
        <w:gridCol w:w="271"/>
        <w:gridCol w:w="794"/>
        <w:gridCol w:w="211"/>
      </w:tblGrid>
      <w:tr>
        <w:trPr/>
        <w:tc>
          <w:tcPr>
            <w:tcW w:w="169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Basis Point Change</w:t>
            </w:r>
          </w:p>
        </w:tc>
        <w:tc>
          <w:tcPr>
            <w:tcW w:w="2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br/>
              <w:t>(decrease) in interest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br/>
              <w:t>decrease in</w:t>
              <w:br/>
              <w:t>interest expense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br/>
              <w:t xml:space="preserve">(decrease) in </w:t>
              <w:br/>
              <w:t>net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Up 300 basis points</w:t>
            </w:r>
          </w:p>
        </w:tc>
        <w:tc>
          <w:tcPr>
            <w:tcW w:w="54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4,392</w:t>
            </w:r>
          </w:p>
        </w:tc>
        <w:tc>
          <w:tcPr>
            <w:tcW w:w="16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2,772</w:t>
            </w:r>
          </w:p>
        </w:tc>
        <w:tc>
          <w:tcPr>
            <w:tcW w:w="211" w:type="dxa"/>
            <w:tcBorders/>
            <w:shd w:fill="CFF0FC" w:val="clear"/>
            <w:vAlign w:val="center"/>
          </w:tcPr>
          <w:p>
            <w:pPr>
              <w:pStyle w:val="TableContents"/>
              <w:bidi w:val="0"/>
              <w:spacing w:before="0" w:after="283"/>
              <w:jc w:val="left"/>
              <w:rPr/>
            </w:pPr>
            <w:r>
              <w:rPr/>
              <w:t> </w:t>
            </w:r>
          </w:p>
        </w:tc>
      </w:tr>
      <w:tr>
        <w:trPr/>
        <w:tc>
          <w:tcPr>
            <w:tcW w:w="16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Up 200 basis points</w:t>
            </w:r>
          </w:p>
        </w:tc>
        <w:tc>
          <w:tcPr>
            <w:tcW w:w="549" w:type="dxa"/>
            <w:tcBorders/>
            <w:shd w:fill="FFFFFF" w:val="clear"/>
            <w:vAlign w:val="center"/>
          </w:tcPr>
          <w:p>
            <w:pPr>
              <w:pStyle w:val="TableContents"/>
              <w:bidi w:val="0"/>
              <w:spacing w:before="0" w:after="283"/>
              <w:jc w:val="left"/>
              <w:rPr/>
            </w:pPr>
            <w:r>
              <w:rPr/>
              <w:t> </w:t>
            </w:r>
          </w:p>
        </w:tc>
        <w:tc>
          <w:tcPr>
            <w:tcW w:w="16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2,928</w:t>
            </w:r>
          </w:p>
        </w:tc>
        <w:tc>
          <w:tcPr>
            <w:tcW w:w="16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1"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1,848</w:t>
            </w:r>
          </w:p>
        </w:tc>
        <w:tc>
          <w:tcPr>
            <w:tcW w:w="211" w:type="dxa"/>
            <w:tcBorders/>
            <w:shd w:fill="FFFFFF" w:val="clear"/>
            <w:vAlign w:val="center"/>
          </w:tcPr>
          <w:p>
            <w:pPr>
              <w:pStyle w:val="TableContents"/>
              <w:bidi w:val="0"/>
              <w:spacing w:before="0" w:after="283"/>
              <w:jc w:val="left"/>
              <w:rPr/>
            </w:pPr>
            <w:r>
              <w:rPr/>
              <w:t> </w:t>
            </w:r>
          </w:p>
        </w:tc>
      </w:tr>
      <w:tr>
        <w:trPr/>
        <w:tc>
          <w:tcPr>
            <w:tcW w:w="16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Up 100 basis points</w:t>
            </w:r>
          </w:p>
        </w:tc>
        <w:tc>
          <w:tcPr>
            <w:tcW w:w="549" w:type="dxa"/>
            <w:tcBorders/>
            <w:shd w:fill="CFF0FC" w:val="clear"/>
            <w:vAlign w:val="center"/>
          </w:tcPr>
          <w:p>
            <w:pPr>
              <w:pStyle w:val="TableContents"/>
              <w:bidi w:val="0"/>
              <w:spacing w:before="0" w:after="283"/>
              <w:jc w:val="left"/>
              <w:rPr/>
            </w:pPr>
            <w:r>
              <w:rPr/>
              <w:t> </w:t>
            </w:r>
          </w:p>
        </w:tc>
        <w:tc>
          <w:tcPr>
            <w:tcW w:w="16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1,464</w:t>
            </w:r>
          </w:p>
        </w:tc>
        <w:tc>
          <w:tcPr>
            <w:tcW w:w="16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c>
          <w:tcPr>
            <w:tcW w:w="9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1" w:type="dxa"/>
            <w:tcBorders/>
            <w:shd w:fill="CFF0FC" w:val="clear"/>
            <w:vAlign w:val="center"/>
          </w:tcPr>
          <w:p>
            <w:pPr>
              <w:pStyle w:val="TableContents"/>
              <w:bidi w:val="0"/>
              <w:spacing w:before="0" w:after="283"/>
              <w:jc w:val="left"/>
              <w:rPr/>
            </w:pPr>
            <w:r>
              <w:rPr/>
              <w:t> </w:t>
            </w:r>
          </w:p>
        </w:tc>
        <w:tc>
          <w:tcPr>
            <w:tcW w:w="79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924</w:t>
            </w:r>
          </w:p>
        </w:tc>
        <w:tc>
          <w:tcPr>
            <w:tcW w:w="211" w:type="dxa"/>
            <w:tcBorders/>
            <w:shd w:fill="CFF0FC" w:val="clear"/>
            <w:vAlign w:val="center"/>
          </w:tcPr>
          <w:p>
            <w:pPr>
              <w:pStyle w:val="TableContents"/>
              <w:bidi w:val="0"/>
              <w:spacing w:before="0" w:after="283"/>
              <w:jc w:val="left"/>
              <w:rPr/>
            </w:pPr>
            <w:r>
              <w:rPr/>
              <w:t> </w:t>
            </w:r>
          </w:p>
        </w:tc>
      </w:tr>
      <w:tr>
        <w:trPr/>
        <w:tc>
          <w:tcPr>
            <w:tcW w:w="16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Down 100 basis points</w:t>
            </w:r>
          </w:p>
        </w:tc>
        <w:tc>
          <w:tcPr>
            <w:tcW w:w="549" w:type="dxa"/>
            <w:tcBorders/>
            <w:shd w:fill="FFFFFF" w:val="clear"/>
            <w:vAlign w:val="center"/>
          </w:tcPr>
          <w:p>
            <w:pPr>
              <w:pStyle w:val="TableContents"/>
              <w:bidi w:val="0"/>
              <w:spacing w:before="0" w:after="283"/>
              <w:jc w:val="left"/>
              <w:rPr/>
            </w:pPr>
            <w:r>
              <w:rPr/>
              <w:t> </w:t>
            </w:r>
          </w:p>
        </w:tc>
        <w:tc>
          <w:tcPr>
            <w:tcW w:w="16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8"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540</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(924</w:t>
            </w:r>
          </w:p>
        </w:tc>
        <w:tc>
          <w:tcPr>
            <w:tcW w:w="2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Down 200 basis points</w:t>
            </w:r>
          </w:p>
        </w:tc>
        <w:tc>
          <w:tcPr>
            <w:tcW w:w="549" w:type="dxa"/>
            <w:tcBorders/>
            <w:shd w:fill="CFF0FC" w:val="clear"/>
            <w:vAlign w:val="center"/>
          </w:tcPr>
          <w:p>
            <w:pPr>
              <w:pStyle w:val="TableContents"/>
              <w:bidi w:val="0"/>
              <w:spacing w:before="0" w:after="283"/>
              <w:jc w:val="left"/>
              <w:rPr/>
            </w:pPr>
            <w:r>
              <w:rPr/>
              <w:t> </w:t>
            </w:r>
          </w:p>
        </w:tc>
        <w:tc>
          <w:tcPr>
            <w:tcW w:w="16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8" w:type="dxa"/>
            <w:tcBorders/>
            <w:shd w:fill="CFF0FC" w:val="clear"/>
            <w:vAlign w:val="center"/>
          </w:tcPr>
          <w:p>
            <w:pPr>
              <w:pStyle w:val="TableContents"/>
              <w:bidi w:val="0"/>
              <w:spacing w:before="0" w:after="283"/>
              <w:jc w:val="left"/>
              <w:rPr/>
            </w:pPr>
            <w:r>
              <w:rPr/>
              <w:t> </w:t>
            </w:r>
          </w:p>
        </w:tc>
        <w:tc>
          <w:tcPr>
            <w:tcW w:w="9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79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(1,848</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Down 300 basis points</w:t>
            </w:r>
          </w:p>
        </w:tc>
        <w:tc>
          <w:tcPr>
            <w:tcW w:w="549" w:type="dxa"/>
            <w:tcBorders/>
            <w:shd w:fill="FFFFFF" w:val="clear"/>
            <w:vAlign w:val="center"/>
          </w:tcPr>
          <w:p>
            <w:pPr>
              <w:pStyle w:val="TableContents"/>
              <w:bidi w:val="0"/>
              <w:spacing w:before="0" w:after="283"/>
              <w:jc w:val="left"/>
              <w:rPr/>
            </w:pPr>
            <w:r>
              <w:rPr/>
              <w:t> </w:t>
            </w:r>
          </w:p>
        </w:tc>
        <w:tc>
          <w:tcPr>
            <w:tcW w:w="16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8"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1,620</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(2,687</w:t>
            </w:r>
          </w:p>
        </w:tc>
        <w:tc>
          <w:tcPr>
            <w:tcW w:w="2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120"/>
        <w:jc w:val="left"/>
        <w:rPr>
          <w:rFonts w:ascii="Times New Roman" w:hAnsi="Times New Roman"/>
          <w:b/>
          <w:color w:val="000000"/>
          <w:sz w:val="16"/>
        </w:rPr>
      </w:pPr>
      <w:bookmarkStart w:id="12" w:name="item_4_controls_and_procedures"/>
      <w:bookmarkEnd w:id="12"/>
      <w:r>
        <w:rPr>
          <w:rFonts w:ascii="Times New Roman" w:hAnsi="Times New Roman"/>
          <w:b/>
          <w:color w:val="000000"/>
          <w:sz w:val="16"/>
        </w:rPr>
        <w:t>Item 4. Controls and Procedures</w:t>
      </w:r>
    </w:p>
    <w:p>
      <w:pPr>
        <w:pStyle w:val="TextBody"/>
        <w:bidi w:val="0"/>
        <w:spacing w:before="0" w:after="0"/>
        <w:jc w:val="both"/>
        <w:rPr>
          <w:rFonts w:ascii="Times New Roman" w:hAnsi="Times New Roman"/>
          <w:b/>
          <w:i/>
          <w:color w:val="000000"/>
          <w:sz w:val="16"/>
        </w:rPr>
      </w:pPr>
      <w:r>
        <w:rPr>
          <w:rFonts w:ascii="Times New Roman" w:hAnsi="Times New Roman"/>
          <w:b/>
          <w:i/>
          <w:color w:val="000000"/>
          <w:sz w:val="16"/>
        </w:rPr>
        <w:t>(a)</w:t>
      </w:r>
    </w:p>
    <w:p>
      <w:pPr>
        <w:pStyle w:val="TextBody"/>
        <w:bidi w:val="0"/>
        <w:jc w:val="both"/>
        <w:rPr>
          <w:rFonts w:ascii="Times New Roman" w:hAnsi="Times New Roman"/>
          <w:b/>
          <w:i/>
          <w:color w:val="000000"/>
          <w:sz w:val="16"/>
        </w:rPr>
      </w:pPr>
      <w:r>
        <w:rPr>
          <w:rFonts w:ascii="Times New Roman" w:hAnsi="Times New Roman"/>
          <w:b/>
          <w:i/>
          <w:color w:val="000000"/>
          <w:sz w:val="16"/>
        </w:rPr>
        <w:t>Evaluation of Disclosure Controls and Procedures</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As of June 30, 2024 (the end of the period covered by this report),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due to a material weakness in the Company’s internal control over financial reporting as disclosed in our Annual Report on Form 10-K for the fiscal year ended December 31, 2023, that continued to exist as of June 30, 2024, our disclosure controls and procedures were not effective to provide reasonable assurance that information required to be disclosed in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Specifically, as previously disclosed, in March 2024, we identified a material weakness in our internal controls over financial reporting related to our failure to satisfy the gross income requirement to maintain our special tax status as a RIC for the years ended December 31, 2020, December 31, 2021 and December 31, 2022. Notably, in evaluating the disclosure controls and procedures, management recognized that any controls and procedures, no matter how well designed and operated, can provide only reasonable assurance of achieving the desired control objectives.</w:t>
      </w:r>
    </w:p>
    <w:p>
      <w:pPr>
        <w:pStyle w:val="TextBody"/>
        <w:bidi w:val="0"/>
        <w:spacing w:before="120" w:after="120"/>
        <w:jc w:val="both"/>
        <w:rPr>
          <w:rFonts w:ascii="Times New Roman" w:hAnsi="Times New Roman"/>
          <w:sz w:val="20"/>
        </w:rPr>
      </w:pPr>
      <w:r>
        <w:rPr>
          <w:rFonts w:ascii="Times New Roman" w:hAnsi="Times New Roman"/>
          <w:color w:val="000000"/>
          <w:sz w:val="16"/>
        </w:rPr>
        <w:t>We have continued the process of, and are focused on, further enhancing effective internal control measures to improve our internal control over financial reporting and to remediate the identified material weakness. Management continues to undertake certain corrective actions to remediate the control deficiencies identified above, including incorporation of additional controls over the data used regarding the calculation of the gross income test for purposes of evaluating the Company’s qualification as a RIC. We believe our planned actions to enhance our processes and controls will address this material weakness, but these actions are subject to ongoing management evaluation, and we will need a period of execution to demonstrate remediation. We are committed to the continuous improvement of our internal control over financial reporting and will continue to diligently review our internal control over financial reporting.</w:t>
      </w:r>
      <w:r>
        <w:rPr>
          <w:rFonts w:ascii="Times New Roman" w:hAnsi="Times New Roman"/>
          <w:color w:val="000000"/>
          <w:sz w:val="20"/>
        </w:rPr>
        <w:t xml:space="preserve"> </w:t>
      </w:r>
    </w:p>
    <w:p>
      <w:pPr>
        <w:pStyle w:val="TextBody"/>
        <w:bidi w:val="0"/>
        <w:spacing w:before="0" w:after="0"/>
        <w:jc w:val="both"/>
        <w:rPr>
          <w:rFonts w:ascii="Times New Roman" w:hAnsi="Times New Roman"/>
          <w:b/>
          <w:i/>
          <w:color w:val="000000"/>
          <w:sz w:val="16"/>
        </w:rPr>
      </w:pPr>
      <w:r>
        <w:rPr>
          <w:rFonts w:ascii="Times New Roman" w:hAnsi="Times New Roman"/>
          <w:b/>
          <w:i/>
          <w:color w:val="000000"/>
          <w:sz w:val="16"/>
        </w:rPr>
        <w:t>(b)</w:t>
      </w:r>
    </w:p>
    <w:p>
      <w:pPr>
        <w:pStyle w:val="TextBody"/>
        <w:bidi w:val="0"/>
        <w:jc w:val="both"/>
        <w:rPr>
          <w:rFonts w:ascii="Times New Roman" w:hAnsi="Times New Roman"/>
          <w:b/>
          <w:i/>
          <w:color w:val="000000"/>
          <w:sz w:val="16"/>
        </w:rPr>
      </w:pPr>
      <w:r>
        <w:rPr>
          <w:rFonts w:ascii="Times New Roman" w:hAnsi="Times New Roman"/>
          <w:b/>
          <w:i/>
          <w:color w:val="000000"/>
          <w:sz w:val="16"/>
        </w:rPr>
        <w:t>Changes in Internal Controls Over Financial Reporting</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Other than the remediation efforts described above, there were no changes in our internal control over financial reporting (as such term is defined in Rule 13a-15(f) under the Exchange Act) during the most recent fiscal quarter that have materially affected, or are reasonably likely to materially affect, our internal control over financial reporting.</w:t>
      </w:r>
    </w:p>
    <w:p>
      <w:pPr>
        <w:pStyle w:val="TextBody"/>
        <w:bidi w:val="0"/>
        <w:spacing w:before="240" w:after="120"/>
        <w:jc w:val="both"/>
        <w:rPr>
          <w:rFonts w:ascii="Times New Roman" w:hAnsi="Times New Roman"/>
          <w:sz w:val="20"/>
        </w:rPr>
      </w:pPr>
      <w:bookmarkStart w:id="13" w:name="part_ii_other_information"/>
      <w:bookmarkEnd w:id="13"/>
      <w:r>
        <w:rPr>
          <w:rFonts w:ascii="Times New Roman" w:hAnsi="Times New Roman"/>
          <w:b/>
          <w:color w:val="000000"/>
          <w:sz w:val="16"/>
        </w:rPr>
        <w:t>PART II. OTHER</w:t>
      </w:r>
      <w:r>
        <w:rPr>
          <w:rFonts w:ascii="Times New Roman" w:hAnsi="Times New Roman"/>
          <w:color w:val="000000"/>
          <w:sz w:val="20"/>
        </w:rPr>
        <w:t xml:space="preserve"> </w:t>
      </w:r>
      <w:r>
        <w:rPr>
          <w:rFonts w:ascii="Times New Roman" w:hAnsi="Times New Roman"/>
          <w:b/>
          <w:color w:val="000000"/>
          <w:sz w:val="16"/>
        </w:rPr>
        <w:t>INFORMATION</w:t>
      </w:r>
    </w:p>
    <w:p>
      <w:pPr>
        <w:pStyle w:val="TextBody"/>
        <w:bidi w:val="0"/>
        <w:jc w:val="both"/>
        <w:rPr>
          <w:rFonts w:ascii="Times New Roman" w:hAnsi="Times New Roman"/>
          <w:sz w:val="20"/>
        </w:rPr>
      </w:pPr>
      <w:bookmarkStart w:id="14" w:name="item_1_legal_proceedings"/>
      <w:bookmarkEnd w:id="14"/>
      <w:r>
        <w:rPr>
          <w:rFonts w:ascii="Times New Roman" w:hAnsi="Times New Roman"/>
          <w:b/>
          <w:color w:val="000000"/>
          <w:sz w:val="16"/>
        </w:rPr>
        <w:t>Item 1. Legal Proceedings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16"/>
        </w:rPr>
        <w:t>We and our subsidiaries are not currently subject to any material legal proceedings, nor, to our knowledge, is any material legal proceeding threatened against us or our subsidiaries. From time to time, we, or our subsidiaries may be a party to certain legal proceedings in the ordinary course of business, including proceedings relating to the enforcement of our rights under contracts with our portfolio companies. Our business is also subject to extensive regulation, which may result in regulatory proceedings against us.</w:t>
      </w:r>
      <w:r>
        <w:rPr>
          <w:rFonts w:ascii="Times New Roman" w:hAnsi="Times New Roman"/>
          <w:color w:val="000000"/>
          <w:sz w:val="20"/>
        </w:rPr>
        <w:t xml:space="preserve"> </w:t>
      </w:r>
    </w:p>
    <w:p>
      <w:pPr>
        <w:pStyle w:val="TextBody"/>
        <w:bidi w:val="0"/>
        <w:spacing w:before="240" w:after="120"/>
        <w:jc w:val="both"/>
        <w:rPr>
          <w:rFonts w:ascii="Times New Roman" w:hAnsi="Times New Roman"/>
          <w:sz w:val="20"/>
        </w:rPr>
      </w:pPr>
      <w:bookmarkStart w:id="15" w:name="item_1a_risk_factors"/>
      <w:bookmarkEnd w:id="15"/>
      <w:r>
        <w:rPr>
          <w:rFonts w:ascii="Times New Roman" w:hAnsi="Times New Roman"/>
          <w:b/>
          <w:color w:val="000000"/>
          <w:sz w:val="16"/>
        </w:rPr>
        <w:t>Item 1A. Risk Factors</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color w:val="000000"/>
          <w:sz w:val="16"/>
        </w:rPr>
        <w:t>In addition to the other information set forth in this report, you should carefully consider the factors discussed in Part I, “Item 1A. Risk Factors” in our Annual Report on Form 10-K for the fiscal year ended December 31, 2023</w:t>
      </w:r>
      <w:r>
        <w:rPr>
          <w:rFonts w:ascii="Times New Roman" w:hAnsi="Times New Roman"/>
          <w:color w:val="000000"/>
          <w:sz w:val="20"/>
        </w:rPr>
        <w:t xml:space="preserve"> </w:t>
      </w:r>
      <w:r>
        <w:rPr>
          <w:rFonts w:ascii="Times New Roman" w:hAnsi="Times New Roman"/>
          <w:color w:val="000000"/>
          <w:sz w:val="16"/>
        </w:rPr>
        <w:t xml:space="preserve">(the </w:t>
      </w:r>
      <w:r>
        <w:rPr>
          <w:rFonts w:ascii="Times New Roman" w:hAnsi="Times New Roman"/>
          <w:color w:val="000000"/>
          <w:sz w:val="20"/>
        </w:rPr>
        <w:t>“</w:t>
      </w:r>
      <w:r>
        <w:rPr>
          <w:rFonts w:ascii="Times New Roman" w:hAnsi="Times New Roman"/>
          <w:color w:val="000000"/>
          <w:sz w:val="16"/>
        </w:rPr>
        <w:t>Annual Report on Form 10-K”), which could materially affect our business, financial condition and/or operating results. The risks described in the Annual Report on Form 10-K are not the only risks we face. Additional risks and uncertainties that are not currently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known to us or that we currently deem to be immaterial also may materially adversely affect our business, financial condition and/or operating results. There have been no material changes from the risk factors set forth in the Annual Report on Form 10-K.</w:t>
      </w:r>
    </w:p>
    <w:p>
      <w:pPr>
        <w:pStyle w:val="TextBody"/>
        <w:bidi w:val="0"/>
        <w:spacing w:before="240" w:after="120"/>
        <w:jc w:val="both"/>
        <w:rPr>
          <w:rFonts w:ascii="Times New Roman" w:hAnsi="Times New Roman"/>
          <w:b/>
          <w:color w:val="000000"/>
          <w:sz w:val="16"/>
        </w:rPr>
      </w:pPr>
      <w:bookmarkStart w:id="16" w:name="item_2_unregistered_sales_of_equity"/>
      <w:bookmarkEnd w:id="16"/>
      <w:r>
        <w:rPr>
          <w:rFonts w:ascii="Times New Roman" w:hAnsi="Times New Roman"/>
          <w:b/>
          <w:color w:val="000000"/>
          <w:sz w:val="16"/>
        </w:rPr>
        <w:t>Item 2. Unregistered Sales of Equity Securities and Use of Proceeds</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Other than the shares issued pursuant to our DRIP, we did not engage in any sales of unregistered securities during the period covered in this report. We issued a total of 126 shares of common stock under our DRIP during the three months ended June 30, 2024. This issuance was not subject to the registration requirements of the Securities Act. For the three months ended June 30, 2024, the aggregate value of the shares of our common stock issued under our DRIP was less than $0.1 million.</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The following table sets forth information regarding repurchases of shares of our common stock.</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329"/>
        <w:gridCol w:w="420"/>
        <w:gridCol w:w="998"/>
        <w:gridCol w:w="146"/>
        <w:gridCol w:w="380"/>
        <w:gridCol w:w="709"/>
        <w:gridCol w:w="773"/>
        <w:gridCol w:w="1841"/>
        <w:gridCol w:w="146"/>
        <w:gridCol w:w="763"/>
        <w:gridCol w:w="763"/>
        <w:gridCol w:w="1741"/>
        <w:gridCol w:w="196"/>
      </w:tblGrid>
      <w:tr>
        <w:trPr/>
        <w:tc>
          <w:tcPr>
            <w:tcW w:w="132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14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 per Share</w:t>
            </w:r>
          </w:p>
        </w:tc>
        <w:tc>
          <w:tcPr>
            <w:tcW w:w="26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6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Approximate Dollar Value of Shares That May Yet Be Purchased Under the Plans or Programs (in millions)</w:t>
            </w:r>
            <w:r>
              <w:rPr>
                <w:rFonts w:ascii="Times New Roman" w:hAnsi="Times New Roman"/>
                <w:b/>
                <w:color w:val="000000"/>
                <w:sz w:val="11"/>
              </w:rPr>
              <w:t>(1)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1, 2024 through April 30, 2024</w:t>
            </w:r>
          </w:p>
        </w:tc>
        <w:tc>
          <w:tcPr>
            <w:tcW w:w="420"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80" w:type="dxa"/>
            <w:tcBorders/>
            <w:shd w:fill="CFF0FC" w:val="clear"/>
            <w:vAlign w:val="center"/>
          </w:tcPr>
          <w:p>
            <w:pPr>
              <w:pStyle w:val="TableContents"/>
              <w:bidi w:val="0"/>
              <w:spacing w:before="0" w:after="283"/>
              <w:jc w:val="righ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773" w:type="dxa"/>
            <w:tcBorders/>
            <w:shd w:fill="CFF0FC" w:val="clear"/>
            <w:vAlign w:val="center"/>
          </w:tcPr>
          <w:p>
            <w:pPr>
              <w:pStyle w:val="TableContents"/>
              <w:bidi w:val="0"/>
              <w:spacing w:before="0" w:after="283"/>
              <w:jc w:val="left"/>
              <w:rPr/>
            </w:pPr>
            <w:r>
              <w:rPr/>
              <w:t> </w:t>
            </w:r>
          </w:p>
        </w:tc>
        <w:tc>
          <w:tcPr>
            <w:tcW w:w="184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63" w:type="dxa"/>
            <w:tcBorders/>
            <w:shd w:fill="CFF0FC" w:val="clear"/>
            <w:vAlign w:val="center"/>
          </w:tcPr>
          <w:p>
            <w:pPr>
              <w:pStyle w:val="TableContents"/>
              <w:bidi w:val="0"/>
              <w:spacing w:before="0" w:after="283"/>
              <w:jc w:val="right"/>
              <w:rPr/>
            </w:pPr>
            <w:r>
              <w:rPr/>
              <w:t> </w:t>
            </w:r>
          </w:p>
        </w:tc>
        <w:tc>
          <w:tcPr>
            <w:tcW w:w="763" w:type="dxa"/>
            <w:tcBorders/>
            <w:shd w:fill="CFF0FC" w:val="clear"/>
            <w:vAlign w:val="center"/>
          </w:tcPr>
          <w:p>
            <w:pPr>
              <w:pStyle w:val="TableContents"/>
              <w:bidi w:val="0"/>
              <w:spacing w:before="0" w:after="283"/>
              <w:jc w:val="left"/>
              <w:rPr/>
            </w:pPr>
            <w:r>
              <w:rPr/>
              <w:t> </w:t>
            </w:r>
          </w:p>
        </w:tc>
        <w:tc>
          <w:tcPr>
            <w:tcW w:w="174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196" w:type="dxa"/>
            <w:tcBorders/>
            <w:shd w:fill="CFF0FC" w:val="clear"/>
            <w:vAlign w:val="center"/>
          </w:tcPr>
          <w:p>
            <w:pPr>
              <w:pStyle w:val="TableContents"/>
              <w:bidi w:val="0"/>
              <w:spacing w:before="0" w:after="283"/>
              <w:jc w:val="left"/>
              <w:rPr/>
            </w:pPr>
            <w:r>
              <w:rPr/>
              <w:t> </w:t>
            </w:r>
          </w:p>
        </w:tc>
      </w:tr>
      <w:tr>
        <w:trPr/>
        <w:tc>
          <w:tcPr>
            <w:tcW w:w="132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May 1, 2024 through May 31, 2024</w:t>
            </w:r>
          </w:p>
        </w:tc>
        <w:tc>
          <w:tcPr>
            <w:tcW w:w="420"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773" w:type="dxa"/>
            <w:tcBorders/>
            <w:shd w:fill="FFFFFF" w:val="clear"/>
            <w:vAlign w:val="center"/>
          </w:tcPr>
          <w:p>
            <w:pPr>
              <w:pStyle w:val="TableContents"/>
              <w:bidi w:val="0"/>
              <w:spacing w:before="0" w:after="283"/>
              <w:jc w:val="left"/>
              <w:rPr/>
            </w:pPr>
            <w:r>
              <w:rPr/>
              <w:t> </w:t>
            </w:r>
          </w:p>
        </w:tc>
        <w:tc>
          <w:tcPr>
            <w:tcW w:w="184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 </w:t>
            </w:r>
          </w:p>
        </w:tc>
        <w:tc>
          <w:tcPr>
            <w:tcW w:w="763" w:type="dxa"/>
            <w:tcBorders/>
            <w:shd w:fill="FFFFFF" w:val="clear"/>
            <w:vAlign w:val="center"/>
          </w:tcPr>
          <w:p>
            <w:pPr>
              <w:pStyle w:val="TableContents"/>
              <w:bidi w:val="0"/>
              <w:spacing w:before="0" w:after="283"/>
              <w:jc w:val="left"/>
              <w:rPr/>
            </w:pPr>
            <w:r>
              <w:rPr/>
              <w:t> </w:t>
            </w:r>
          </w:p>
        </w:tc>
        <w:tc>
          <w:tcPr>
            <w:tcW w:w="174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196" w:type="dxa"/>
            <w:tcBorders/>
            <w:shd w:fill="FFFFFF" w:val="clear"/>
            <w:vAlign w:val="center"/>
          </w:tcPr>
          <w:p>
            <w:pPr>
              <w:pStyle w:val="TableContents"/>
              <w:bidi w:val="0"/>
              <w:spacing w:before="0" w:after="283"/>
              <w:jc w:val="left"/>
              <w:rPr/>
            </w:pPr>
            <w:r>
              <w:rPr/>
              <w:t> </w:t>
            </w:r>
          </w:p>
        </w:tc>
      </w:tr>
      <w:tr>
        <w:trPr/>
        <w:tc>
          <w:tcPr>
            <w:tcW w:w="132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June 1, 2024 through June 30, 2024</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0" w:type="dxa"/>
            <w:tcBorders/>
            <w:shd w:fill="CFF0FC" w:val="clear"/>
            <w:vAlign w:val="center"/>
          </w:tcPr>
          <w:p>
            <w:pPr>
              <w:pStyle w:val="TableContents"/>
              <w:bidi w:val="0"/>
              <w:spacing w:before="0" w:after="283"/>
              <w:jc w:val="righ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shd w:fill="CFF0FC" w:val="clear"/>
            <w:vAlign w:val="center"/>
          </w:tcPr>
          <w:p>
            <w:pPr>
              <w:pStyle w:val="TableContents"/>
              <w:bidi w:val="0"/>
              <w:spacing w:before="0" w:after="283"/>
              <w:jc w:val="right"/>
              <w:rPr/>
            </w:pPr>
            <w:r>
              <w:rPr/>
              <w:t> </w:t>
            </w:r>
          </w:p>
        </w:tc>
        <w:tc>
          <w:tcPr>
            <w:tcW w:w="763" w:type="dxa"/>
            <w:tcBorders/>
            <w:shd w:fill="CFF0FC" w:val="clear"/>
            <w:vAlign w:val="center"/>
          </w:tcPr>
          <w:p>
            <w:pPr>
              <w:pStyle w:val="TableContents"/>
              <w:bidi w:val="0"/>
              <w:spacing w:before="0" w:after="283"/>
              <w:jc w:val="left"/>
              <w:rPr/>
            </w:pPr>
            <w:r>
              <w:rPr/>
              <w:t> </w:t>
            </w:r>
          </w:p>
        </w:tc>
        <w:tc>
          <w:tcPr>
            <w:tcW w:w="174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196" w:type="dxa"/>
            <w:tcBorders/>
            <w:shd w:fill="CFF0FC" w:val="clear"/>
            <w:vAlign w:val="center"/>
          </w:tcPr>
          <w:p>
            <w:pPr>
              <w:pStyle w:val="TableContents"/>
              <w:bidi w:val="0"/>
              <w:spacing w:before="0" w:after="283"/>
              <w:jc w:val="left"/>
              <w:rPr/>
            </w:pPr>
            <w:r>
              <w:rPr/>
              <w:t> </w:t>
            </w:r>
          </w:p>
        </w:tc>
      </w:tr>
      <w:tr>
        <w:trPr/>
        <w:tc>
          <w:tcPr>
            <w:tcW w:w="132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709" w:type="dxa"/>
            <w:tcBorders/>
            <w:shd w:fill="FFFFFF" w:val="clear"/>
            <w:vAlign w:val="center"/>
          </w:tcPr>
          <w:p>
            <w:pPr>
              <w:pStyle w:val="TableContents"/>
              <w:bidi w:val="0"/>
              <w:spacing w:before="0" w:after="283"/>
              <w:jc w:val="right"/>
              <w:rPr/>
            </w:pPr>
            <w:r>
              <w:rPr/>
              <w:t> </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 </w:t>
            </w:r>
          </w:p>
        </w:tc>
        <w:tc>
          <w:tcPr>
            <w:tcW w:w="2504"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bl>
    <w:p>
      <w:pPr>
        <w:pStyle w:val="TextBody"/>
        <w:bidi w:val="0"/>
        <w:jc w:val="both"/>
        <w:rPr/>
      </w:pPr>
      <w:r>
        <w:rPr/>
        <w:t> </w:t>
      </w:r>
    </w:p>
    <w:p>
      <w:pPr>
        <w:pStyle w:val="TextBody"/>
        <w:pBdr>
          <w:bottom w:val="single" w:sz="6" w:space="1" w:color="000000"/>
        </w:pBdr>
        <w:bidi w:val="0"/>
        <w:jc w:val="both"/>
        <w:rPr/>
      </w:pPr>
      <w:r>
        <w:rPr/>
        <w:t> </w:t>
      </w:r>
    </w:p>
    <w:p>
      <w:pPr>
        <w:pStyle w:val="TextBody"/>
        <w:bidi w:val="0"/>
        <w:jc w:val="both"/>
        <w:rPr>
          <w:rFonts w:ascii="Times New Roman" w:hAnsi="Times New Roman"/>
          <w:sz w:val="20"/>
        </w:rPr>
      </w:pPr>
      <w:r>
        <w:rPr>
          <w:rFonts w:ascii="Times New Roman" w:hAnsi="Times New Roman"/>
          <w:color w:val="000000"/>
          <w:sz w:val="11"/>
        </w:rPr>
        <w:t>(1)</w:t>
      </w:r>
      <w:r>
        <w:rPr>
          <w:rFonts w:ascii="Times New Roman" w:hAnsi="Times New Roman"/>
          <w:color w:val="000000"/>
          <w:sz w:val="20"/>
        </w:rPr>
        <w:t xml:space="preserve"> </w:t>
      </w:r>
      <w:r>
        <w:rPr>
          <w:rFonts w:ascii="Times New Roman" w:hAnsi="Times New Roman"/>
          <w:color w:val="000000"/>
          <w:sz w:val="16"/>
        </w:rPr>
        <w:t>On March 6, 2023, the Company’s Board of Directors authorized a share repurchase program, whereby the Company could repurchase up to an aggregate of $5.0 million of its outstanding shares of common stock in the open market. The repurchase program did not obligate the Company to acquire any specific number of shares, and all repurchases were made in accordance with SEC Rule 10b-18 and accomplished through a Rule 10b5-1 plan, which set certain restrictions on the method, timing, price and volume of share repurchases. On March 11, 2024, the Board authorized the extension of the share repurchase program for an additional year and increased the aggregate available balance to $5.0 million. Unless extended or discontinued by the Board, the repurchase program will terminate on March 31, 2025. The repurchase program may be extended, modified or discontinued at any time for any reason without prior notice.</w:t>
      </w:r>
      <w:r>
        <w:rPr>
          <w:rFonts w:ascii="Times New Roman" w:hAnsi="Times New Roman"/>
          <w:color w:val="000000"/>
          <w:sz w:val="20"/>
        </w:rPr>
        <w:t xml:space="preserve"> </w:t>
      </w:r>
    </w:p>
    <w:p>
      <w:pPr>
        <w:pStyle w:val="TextBody"/>
        <w:bidi w:val="0"/>
        <w:spacing w:before="240" w:after="120"/>
        <w:jc w:val="both"/>
        <w:rPr>
          <w:rFonts w:ascii="Times New Roman" w:hAnsi="Times New Roman"/>
          <w:b/>
          <w:color w:val="000000"/>
          <w:sz w:val="16"/>
        </w:rPr>
      </w:pPr>
      <w:bookmarkStart w:id="17" w:name="item_3_defaults_upon_senior_securities"/>
      <w:bookmarkEnd w:id="17"/>
      <w:r>
        <w:rPr>
          <w:rFonts w:ascii="Times New Roman" w:hAnsi="Times New Roman"/>
          <w:b/>
          <w:color w:val="000000"/>
          <w:sz w:val="16"/>
        </w:rPr>
        <w:t>Item 3. Defaults Upon Senior Securities</w:t>
      </w:r>
    </w:p>
    <w:p>
      <w:pPr>
        <w:pStyle w:val="TextBody"/>
        <w:bidi w:val="0"/>
        <w:jc w:val="both"/>
        <w:rPr>
          <w:rFonts w:ascii="Times New Roman" w:hAnsi="Times New Roman"/>
          <w:sz w:val="20"/>
        </w:rPr>
      </w:pPr>
      <w:r>
        <w:rPr>
          <w:rFonts w:ascii="Times New Roman" w:hAnsi="Times New Roman"/>
          <w:color w:val="000000"/>
          <w:sz w:val="16"/>
        </w:rPr>
        <w:t>None.</w:t>
      </w:r>
      <w:r>
        <w:rPr>
          <w:rFonts w:ascii="Times New Roman" w:hAnsi="Times New Roman"/>
          <w:color w:val="000000"/>
          <w:sz w:val="20"/>
        </w:rPr>
        <w:t xml:space="preserve"> </w:t>
      </w:r>
    </w:p>
    <w:p>
      <w:pPr>
        <w:pStyle w:val="TextBody"/>
        <w:bidi w:val="0"/>
        <w:spacing w:before="240" w:after="120"/>
        <w:jc w:val="both"/>
        <w:rPr>
          <w:rFonts w:ascii="Times New Roman" w:hAnsi="Times New Roman"/>
          <w:b/>
          <w:color w:val="000000"/>
          <w:sz w:val="16"/>
        </w:rPr>
      </w:pPr>
      <w:bookmarkStart w:id="18" w:name="item_4_mine_safety_disclosures"/>
      <w:bookmarkEnd w:id="18"/>
      <w:r>
        <w:rPr>
          <w:rFonts w:ascii="Times New Roman" w:hAnsi="Times New Roman"/>
          <w:b/>
          <w:color w:val="000000"/>
          <w:sz w:val="16"/>
        </w:rPr>
        <w:t>Item 4. Mine Safety Disclosures</w:t>
      </w:r>
    </w:p>
    <w:p>
      <w:pPr>
        <w:pStyle w:val="TextBody"/>
        <w:bidi w:val="0"/>
        <w:jc w:val="both"/>
        <w:rPr>
          <w:rFonts w:ascii="Times New Roman" w:hAnsi="Times New Roman"/>
          <w:sz w:val="20"/>
        </w:rPr>
      </w:pPr>
      <w:r>
        <w:rPr>
          <w:rFonts w:ascii="Times New Roman" w:hAnsi="Times New Roman"/>
          <w:color w:val="000000"/>
          <w:sz w:val="16"/>
        </w:rPr>
        <w:t>Not applicable.</w:t>
      </w:r>
      <w:r>
        <w:rPr>
          <w:rFonts w:ascii="Times New Roman" w:hAnsi="Times New Roman"/>
          <w:color w:val="000000"/>
          <w:sz w:val="20"/>
        </w:rPr>
        <w:t xml:space="preserve"> </w:t>
      </w:r>
    </w:p>
    <w:p>
      <w:pPr>
        <w:pStyle w:val="TextBody"/>
        <w:bidi w:val="0"/>
        <w:spacing w:before="240" w:after="120"/>
        <w:jc w:val="both"/>
        <w:rPr>
          <w:rFonts w:ascii="Times New Roman" w:hAnsi="Times New Roman"/>
          <w:sz w:val="20"/>
        </w:rPr>
      </w:pPr>
      <w:bookmarkStart w:id="19" w:name="item_5_other_information"/>
      <w:bookmarkEnd w:id="19"/>
      <w:r>
        <w:rPr>
          <w:rFonts w:ascii="Times New Roman" w:hAnsi="Times New Roman"/>
          <w:b/>
          <w:color w:val="000000"/>
          <w:sz w:val="16"/>
        </w:rPr>
        <w:t>Item 5. Other</w:t>
      </w:r>
      <w:r>
        <w:rPr>
          <w:rFonts w:ascii="Times New Roman" w:hAnsi="Times New Roman"/>
          <w:color w:val="000000"/>
          <w:sz w:val="20"/>
        </w:rPr>
        <w:t xml:space="preserve"> </w:t>
      </w:r>
      <w:r>
        <w:rPr>
          <w:rFonts w:ascii="Times New Roman" w:hAnsi="Times New Roman"/>
          <w:b/>
          <w:color w:val="000000"/>
          <w:sz w:val="16"/>
        </w:rPr>
        <w:t>Information</w:t>
      </w:r>
    </w:p>
    <w:p>
      <w:pPr>
        <w:pStyle w:val="TextBody"/>
        <w:bidi w:val="0"/>
        <w:jc w:val="both"/>
        <w:rPr>
          <w:rFonts w:ascii="Times New Roman" w:hAnsi="Times New Roman"/>
          <w:sz w:val="20"/>
        </w:rPr>
      </w:pPr>
      <w:r>
        <w:rPr>
          <w:rFonts w:ascii="Times New Roman" w:hAnsi="Times New Roman"/>
          <w:color w:val="000000"/>
          <w:sz w:val="16"/>
        </w:rPr>
        <w:t>None.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sz w:val="20"/>
        </w:rPr>
      </w:pPr>
      <w:bookmarkStart w:id="20" w:name="item_6_exhibits"/>
      <w:bookmarkEnd w:id="20"/>
      <w:r>
        <w:rPr>
          <w:rFonts w:ascii="Times New Roman" w:hAnsi="Times New Roman"/>
          <w:b/>
          <w:color w:val="000000"/>
          <w:sz w:val="16"/>
        </w:rPr>
        <w:t>Item 6. Exhibits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The following exhibits are filed as part of this report or hereby incorporated by reference to exhibits previously filed with the SEC:</w:t>
      </w:r>
    </w:p>
    <w:tbl>
      <w:tblPr>
        <w:tblW w:w="10205" w:type="dxa"/>
        <w:jc w:val="left"/>
        <w:tblInd w:w="0" w:type="dxa"/>
        <w:tblLayout w:type="fixed"/>
        <w:tblCellMar>
          <w:top w:w="28" w:type="dxa"/>
          <w:left w:w="28" w:type="dxa"/>
          <w:bottom w:w="28" w:type="dxa"/>
          <w:right w:w="28" w:type="dxa"/>
        </w:tblCellMar>
      </w:tblPr>
      <w:tblGrid>
        <w:gridCol w:w="735"/>
        <w:gridCol w:w="146"/>
        <w:gridCol w:w="9324"/>
      </w:tblGrid>
      <w:tr>
        <w:trPr/>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24" w:type="dxa"/>
            <w:tcBorders/>
            <w:vAlign w:val="center"/>
          </w:tcPr>
          <w:p>
            <w:pPr>
              <w:pStyle w:val="TableContents"/>
              <w:bidi w:val="0"/>
              <w:spacing w:before="0" w:after="283"/>
              <w:jc w:val="left"/>
              <w:rPr>
                <w:sz w:val="4"/>
                <w:szCs w:val="4"/>
              </w:rPr>
            </w:pPr>
            <w:r>
              <w:rPr>
                <w:sz w:val="4"/>
                <w:szCs w:val="4"/>
              </w:rPr>
            </w:r>
          </w:p>
        </w:tc>
      </w:tr>
      <w:tr>
        <w:trPr/>
        <w:tc>
          <w:tcPr>
            <w:tcW w:w="735" w:type="dxa"/>
            <w:tcBorders/>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w:t>
            </w:r>
          </w:p>
        </w:tc>
        <w:tc>
          <w:tcPr>
            <w:tcW w:w="146" w:type="dxa"/>
            <w:tcBorders/>
            <w:vAlign w:val="center"/>
          </w:tcPr>
          <w:p>
            <w:pPr>
              <w:pStyle w:val="TableContents"/>
              <w:bidi w:val="0"/>
              <w:spacing w:before="0" w:after="283"/>
              <w:jc w:val="left"/>
              <w:rPr>
                <w:sz w:val="4"/>
                <w:szCs w:val="4"/>
              </w:rPr>
            </w:pPr>
            <w:r>
              <w:rPr>
                <w:sz w:val="4"/>
                <w:szCs w:val="4"/>
              </w:rPr>
            </w:r>
          </w:p>
        </w:tc>
        <w:tc>
          <w:tcPr>
            <w:tcW w:w="9324" w:type="dxa"/>
            <w:tcBorders/>
            <w:vAlign w:val="center"/>
          </w:tcPr>
          <w:p>
            <w:pPr>
              <w:pStyle w:val="TableContents"/>
              <w:bidi w:val="0"/>
              <w:spacing w:before="0" w:after="283"/>
              <w:jc w:val="left"/>
              <w:rPr>
                <w:sz w:val="4"/>
                <w:szCs w:val="4"/>
              </w:rPr>
            </w:pPr>
            <w:r>
              <w:rPr>
                <w:sz w:val="4"/>
                <w:szCs w:val="4"/>
              </w:rPr>
            </w:r>
          </w:p>
        </w:tc>
      </w:tr>
      <w:tr>
        <w:trPr/>
        <w:tc>
          <w:tcPr>
            <w:tcW w:w="735"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4"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r>
      <w:tr>
        <w:trPr/>
        <w:tc>
          <w:tcPr>
            <w:tcW w:w="735" w:type="dxa"/>
            <w:tcBorders/>
            <w:vAlign w:val="center"/>
          </w:tcPr>
          <w:p>
            <w:pPr>
              <w:pStyle w:val="TableContents"/>
              <w:bidi w:val="0"/>
              <w:spacing w:before="0" w:after="283"/>
              <w:jc w:val="left"/>
              <w:rPr/>
            </w:pPr>
            <w:hyperlink r:id="rId2">
              <w:r>
                <w:rPr>
                  <w:rStyle w:val="InternetLink"/>
                  <w:rFonts w:ascii="Times New Roman" w:hAnsi="Times New Roman"/>
                  <w:color w:val="0000FF"/>
                  <w:sz w:val="16"/>
                  <w:u w:val="single"/>
                </w:rPr>
                <w:t>3.1</w:t>
              </w:r>
            </w:hyperlink>
          </w:p>
        </w:tc>
        <w:tc>
          <w:tcPr>
            <w:tcW w:w="146" w:type="dxa"/>
            <w:tcBorders/>
            <w:vAlign w:val="center"/>
          </w:tcPr>
          <w:p>
            <w:pPr>
              <w:pStyle w:val="TableContents"/>
              <w:bidi w:val="0"/>
              <w:spacing w:before="0" w:after="283"/>
              <w:jc w:val="left"/>
              <w:rPr>
                <w:sz w:val="4"/>
                <w:szCs w:val="4"/>
              </w:rPr>
            </w:pPr>
            <w:r>
              <w:rPr>
                <w:sz w:val="4"/>
                <w:szCs w:val="4"/>
              </w:rPr>
            </w:r>
          </w:p>
        </w:tc>
        <w:tc>
          <w:tcPr>
            <w:tcW w:w="9324" w:type="dxa"/>
            <w:tcBorders/>
            <w:vAlign w:val="center"/>
          </w:tcPr>
          <w:p>
            <w:pPr>
              <w:pStyle w:val="TableContents"/>
              <w:bidi w:val="0"/>
              <w:spacing w:before="0" w:after="283"/>
              <w:jc w:val="both"/>
              <w:rPr/>
            </w:pPr>
            <w:hyperlink r:id="rId3">
              <w:r>
                <w:rPr>
                  <w:rStyle w:val="InternetLink"/>
                  <w:rFonts w:ascii="Times New Roman" w:hAnsi="Times New Roman"/>
                  <w:color w:val="0000FF"/>
                  <w:sz w:val="16"/>
                  <w:u w:val="single"/>
                </w:rPr>
                <w:t>Articles of Amendment and Restatement</w:t>
              </w:r>
            </w:hyperlink>
            <w:hyperlink r:id="rId4">
              <w:r>
                <w:rPr>
                  <w:rStyle w:val="InternetLink"/>
                  <w:rFonts w:ascii="Times New Roman" w:hAnsi="Times New Roman"/>
                  <w:color w:val="0000FF"/>
                  <w:sz w:val="11"/>
                  <w:u w:val="single"/>
                </w:rPr>
                <w:t>(1)</w:t>
              </w:r>
            </w:hyperlink>
          </w:p>
        </w:tc>
      </w:tr>
      <w:tr>
        <w:trPr/>
        <w:tc>
          <w:tcPr>
            <w:tcW w:w="735" w:type="dxa"/>
            <w:tcBorders/>
            <w:vAlign w:val="center"/>
          </w:tcPr>
          <w:p>
            <w:pPr>
              <w:pStyle w:val="TableContents"/>
              <w:bidi w:val="0"/>
              <w:spacing w:before="0" w:after="283"/>
              <w:jc w:val="left"/>
              <w:rPr/>
            </w:pPr>
            <w:hyperlink r:id="rId5">
              <w:r>
                <w:rPr>
                  <w:rStyle w:val="InternetLink"/>
                  <w:rFonts w:ascii="Times New Roman" w:hAnsi="Times New Roman"/>
                  <w:color w:val="0000FF"/>
                  <w:sz w:val="16"/>
                  <w:u w:val="single"/>
                </w:rPr>
                <w:t>3.2</w:t>
              </w:r>
            </w:hyperlink>
          </w:p>
        </w:tc>
        <w:tc>
          <w:tcPr>
            <w:tcW w:w="146" w:type="dxa"/>
            <w:tcBorders/>
            <w:vAlign w:val="center"/>
          </w:tcPr>
          <w:p>
            <w:pPr>
              <w:pStyle w:val="TableContents"/>
              <w:bidi w:val="0"/>
              <w:spacing w:before="0" w:after="283"/>
              <w:jc w:val="left"/>
              <w:rPr>
                <w:sz w:val="4"/>
                <w:szCs w:val="4"/>
              </w:rPr>
            </w:pPr>
            <w:r>
              <w:rPr>
                <w:sz w:val="4"/>
                <w:szCs w:val="4"/>
              </w:rPr>
            </w:r>
          </w:p>
        </w:tc>
        <w:tc>
          <w:tcPr>
            <w:tcW w:w="9324" w:type="dxa"/>
            <w:tcBorders/>
            <w:vAlign w:val="center"/>
          </w:tcPr>
          <w:p>
            <w:pPr>
              <w:pStyle w:val="TableContents"/>
              <w:bidi w:val="0"/>
              <w:spacing w:before="0" w:after="283"/>
              <w:jc w:val="both"/>
              <w:rPr/>
            </w:pPr>
            <w:hyperlink r:id="rId6">
              <w:r>
                <w:rPr>
                  <w:rStyle w:val="InternetLink"/>
                  <w:rFonts w:ascii="Times New Roman" w:hAnsi="Times New Roman"/>
                  <w:color w:val="0000FF"/>
                  <w:sz w:val="16"/>
                  <w:u w:val="single"/>
                </w:rPr>
                <w:t>Articles of Amendment</w:t>
              </w:r>
            </w:hyperlink>
            <w:hyperlink r:id="rId7">
              <w:r>
                <w:rPr>
                  <w:rStyle w:val="InternetLink"/>
                  <w:rFonts w:ascii="Times New Roman" w:hAnsi="Times New Roman"/>
                  <w:color w:val="0000FF"/>
                  <w:sz w:val="11"/>
                  <w:u w:val="single"/>
                </w:rPr>
                <w:t>(2)</w:t>
              </w:r>
            </w:hyperlink>
          </w:p>
        </w:tc>
      </w:tr>
      <w:tr>
        <w:trPr/>
        <w:tc>
          <w:tcPr>
            <w:tcW w:w="735" w:type="dxa"/>
            <w:tcBorders/>
            <w:vAlign w:val="center"/>
          </w:tcPr>
          <w:p>
            <w:pPr>
              <w:pStyle w:val="TableContents"/>
              <w:bidi w:val="0"/>
              <w:spacing w:before="0" w:after="283"/>
              <w:jc w:val="left"/>
              <w:rPr/>
            </w:pPr>
            <w:hyperlink r:id="rId8">
              <w:r>
                <w:rPr>
                  <w:rStyle w:val="InternetLink"/>
                  <w:rFonts w:ascii="Times New Roman" w:hAnsi="Times New Roman"/>
                  <w:color w:val="0000FF"/>
                  <w:sz w:val="16"/>
                  <w:u w:val="single"/>
                </w:rPr>
                <w:t>3.3</w:t>
              </w:r>
            </w:hyperlink>
          </w:p>
        </w:tc>
        <w:tc>
          <w:tcPr>
            <w:tcW w:w="146" w:type="dxa"/>
            <w:tcBorders/>
            <w:vAlign w:val="center"/>
          </w:tcPr>
          <w:p>
            <w:pPr>
              <w:pStyle w:val="TableContents"/>
              <w:bidi w:val="0"/>
              <w:spacing w:before="0" w:after="283"/>
              <w:jc w:val="left"/>
              <w:rPr>
                <w:sz w:val="4"/>
                <w:szCs w:val="4"/>
              </w:rPr>
            </w:pPr>
            <w:r>
              <w:rPr>
                <w:sz w:val="4"/>
                <w:szCs w:val="4"/>
              </w:rPr>
            </w:r>
          </w:p>
        </w:tc>
        <w:tc>
          <w:tcPr>
            <w:tcW w:w="9324" w:type="dxa"/>
            <w:tcBorders/>
            <w:vAlign w:val="center"/>
          </w:tcPr>
          <w:p>
            <w:pPr>
              <w:pStyle w:val="TableContents"/>
              <w:bidi w:val="0"/>
              <w:spacing w:before="0" w:after="283"/>
              <w:jc w:val="both"/>
              <w:rPr/>
            </w:pPr>
            <w:hyperlink r:id="rId9">
              <w:r>
                <w:rPr>
                  <w:rStyle w:val="InternetLink"/>
                  <w:rFonts w:ascii="Times New Roman" w:hAnsi="Times New Roman"/>
                  <w:color w:val="0000FF"/>
                  <w:sz w:val="16"/>
                  <w:u w:val="single"/>
                </w:rPr>
                <w:t>Certificate of Limited Partnership of CapitalSouth Partners Fund II Limited Partnership</w:t>
              </w:r>
            </w:hyperlink>
            <w:hyperlink r:id="rId10">
              <w:r>
                <w:rPr>
                  <w:rStyle w:val="InternetLink"/>
                  <w:rFonts w:ascii="Times New Roman" w:hAnsi="Times New Roman"/>
                  <w:color w:val="0000FF"/>
                  <w:sz w:val="11"/>
                  <w:u w:val="single"/>
                </w:rPr>
                <w:t>(3)</w:t>
              </w:r>
            </w:hyperlink>
          </w:p>
        </w:tc>
      </w:tr>
      <w:tr>
        <w:trPr/>
        <w:tc>
          <w:tcPr>
            <w:tcW w:w="735" w:type="dxa"/>
            <w:tcBorders/>
            <w:vAlign w:val="center"/>
          </w:tcPr>
          <w:p>
            <w:pPr>
              <w:pStyle w:val="TableContents"/>
              <w:bidi w:val="0"/>
              <w:spacing w:before="0" w:after="283"/>
              <w:jc w:val="left"/>
              <w:rPr/>
            </w:pPr>
            <w:hyperlink r:id="rId11">
              <w:r>
                <w:rPr>
                  <w:rStyle w:val="InternetLink"/>
                  <w:rFonts w:ascii="Times New Roman" w:hAnsi="Times New Roman"/>
                  <w:color w:val="0000FF"/>
                  <w:sz w:val="16"/>
                  <w:u w:val="single"/>
                </w:rPr>
                <w:t>3.4</w:t>
              </w:r>
            </w:hyperlink>
          </w:p>
        </w:tc>
        <w:tc>
          <w:tcPr>
            <w:tcW w:w="146" w:type="dxa"/>
            <w:tcBorders/>
            <w:vAlign w:val="center"/>
          </w:tcPr>
          <w:p>
            <w:pPr>
              <w:pStyle w:val="TableContents"/>
              <w:bidi w:val="0"/>
              <w:spacing w:before="0" w:after="283"/>
              <w:jc w:val="left"/>
              <w:rPr>
                <w:sz w:val="4"/>
                <w:szCs w:val="4"/>
              </w:rPr>
            </w:pPr>
            <w:r>
              <w:rPr>
                <w:sz w:val="4"/>
                <w:szCs w:val="4"/>
              </w:rPr>
            </w:r>
          </w:p>
        </w:tc>
        <w:tc>
          <w:tcPr>
            <w:tcW w:w="9324" w:type="dxa"/>
            <w:tcBorders/>
            <w:vAlign w:val="center"/>
          </w:tcPr>
          <w:p>
            <w:pPr>
              <w:pStyle w:val="TableContents"/>
              <w:bidi w:val="0"/>
              <w:spacing w:before="0" w:after="283"/>
              <w:jc w:val="both"/>
              <w:rPr/>
            </w:pPr>
            <w:hyperlink r:id="rId12">
              <w:r>
                <w:rPr>
                  <w:rStyle w:val="InternetLink"/>
                  <w:rFonts w:ascii="Times New Roman" w:hAnsi="Times New Roman"/>
                  <w:color w:val="0000FF"/>
                  <w:sz w:val="16"/>
                  <w:u w:val="single"/>
                </w:rPr>
                <w:t>Certificate of Limited Partnership of CapitalSouth Fund III, L.P. (f/k/a CapitalSouth Partners SBIC Fund III, L.P.)</w:t>
              </w:r>
            </w:hyperlink>
            <w:hyperlink r:id="rId13">
              <w:r>
                <w:rPr>
                  <w:rStyle w:val="InternetLink"/>
                  <w:rFonts w:ascii="Times New Roman" w:hAnsi="Times New Roman"/>
                  <w:color w:val="0000FF"/>
                  <w:sz w:val="11"/>
                  <w:u w:val="single"/>
                </w:rPr>
                <w:t>(4)</w:t>
              </w:r>
            </w:hyperlink>
          </w:p>
        </w:tc>
      </w:tr>
      <w:tr>
        <w:trPr/>
        <w:tc>
          <w:tcPr>
            <w:tcW w:w="735" w:type="dxa"/>
            <w:tcBorders/>
            <w:vAlign w:val="center"/>
          </w:tcPr>
          <w:p>
            <w:pPr>
              <w:pStyle w:val="TableContents"/>
              <w:bidi w:val="0"/>
              <w:spacing w:before="0" w:after="283"/>
              <w:jc w:val="left"/>
              <w:rPr/>
            </w:pPr>
            <w:hyperlink r:id="rId14">
              <w:r>
                <w:rPr>
                  <w:rStyle w:val="InternetLink"/>
                  <w:rFonts w:ascii="Times New Roman" w:hAnsi="Times New Roman"/>
                  <w:color w:val="0000FF"/>
                  <w:sz w:val="16"/>
                  <w:u w:val="single"/>
                </w:rPr>
                <w:t>3.5</w:t>
              </w:r>
            </w:hyperlink>
          </w:p>
        </w:tc>
        <w:tc>
          <w:tcPr>
            <w:tcW w:w="146" w:type="dxa"/>
            <w:tcBorders/>
            <w:vAlign w:val="center"/>
          </w:tcPr>
          <w:p>
            <w:pPr>
              <w:pStyle w:val="TableContents"/>
              <w:bidi w:val="0"/>
              <w:spacing w:before="0" w:after="283"/>
              <w:jc w:val="left"/>
              <w:rPr>
                <w:sz w:val="4"/>
                <w:szCs w:val="4"/>
              </w:rPr>
            </w:pPr>
            <w:r>
              <w:rPr>
                <w:sz w:val="4"/>
                <w:szCs w:val="4"/>
              </w:rPr>
            </w:r>
          </w:p>
        </w:tc>
        <w:tc>
          <w:tcPr>
            <w:tcW w:w="9324" w:type="dxa"/>
            <w:tcBorders/>
            <w:vAlign w:val="center"/>
          </w:tcPr>
          <w:p>
            <w:pPr>
              <w:pStyle w:val="TableContents"/>
              <w:bidi w:val="0"/>
              <w:spacing w:before="0" w:after="283"/>
              <w:jc w:val="both"/>
              <w:rPr/>
            </w:pPr>
            <w:hyperlink r:id="rId15">
              <w:r>
                <w:rPr>
                  <w:rStyle w:val="InternetLink"/>
                  <w:rFonts w:ascii="Times New Roman" w:hAnsi="Times New Roman"/>
                  <w:color w:val="0000FF"/>
                  <w:sz w:val="16"/>
                  <w:u w:val="single"/>
                </w:rPr>
                <w:t>Bylaws</w:t>
              </w:r>
            </w:hyperlink>
            <w:hyperlink r:id="rId16">
              <w:r>
                <w:rPr>
                  <w:rStyle w:val="InternetLink"/>
                  <w:rFonts w:ascii="Times New Roman" w:hAnsi="Times New Roman"/>
                  <w:color w:val="0000FF"/>
                  <w:sz w:val="11"/>
                  <w:u w:val="single"/>
                </w:rPr>
                <w:t>(5)</w:t>
              </w:r>
            </w:hyperlink>
          </w:p>
        </w:tc>
      </w:tr>
      <w:tr>
        <w:trPr/>
        <w:tc>
          <w:tcPr>
            <w:tcW w:w="735" w:type="dxa"/>
            <w:tcBorders/>
            <w:vAlign w:val="center"/>
          </w:tcPr>
          <w:p>
            <w:pPr>
              <w:pStyle w:val="TableContents"/>
              <w:bidi w:val="0"/>
              <w:spacing w:before="0" w:after="283"/>
              <w:jc w:val="left"/>
              <w:rPr/>
            </w:pPr>
            <w:hyperlink r:id="rId17">
              <w:r>
                <w:rPr>
                  <w:rStyle w:val="InternetLink"/>
                  <w:rFonts w:ascii="Times New Roman" w:hAnsi="Times New Roman"/>
                  <w:color w:val="0000FF"/>
                  <w:sz w:val="16"/>
                  <w:u w:val="single"/>
                </w:rPr>
                <w:t>3.6</w:t>
              </w:r>
            </w:hyperlink>
          </w:p>
        </w:tc>
        <w:tc>
          <w:tcPr>
            <w:tcW w:w="146" w:type="dxa"/>
            <w:tcBorders/>
            <w:vAlign w:val="center"/>
          </w:tcPr>
          <w:p>
            <w:pPr>
              <w:pStyle w:val="TableContents"/>
              <w:bidi w:val="0"/>
              <w:spacing w:before="0" w:after="283"/>
              <w:jc w:val="left"/>
              <w:rPr>
                <w:sz w:val="4"/>
                <w:szCs w:val="4"/>
              </w:rPr>
            </w:pPr>
            <w:r>
              <w:rPr>
                <w:sz w:val="4"/>
                <w:szCs w:val="4"/>
              </w:rPr>
            </w:r>
          </w:p>
        </w:tc>
        <w:tc>
          <w:tcPr>
            <w:tcW w:w="9324" w:type="dxa"/>
            <w:tcBorders/>
            <w:vAlign w:val="center"/>
          </w:tcPr>
          <w:p>
            <w:pPr>
              <w:pStyle w:val="TableContents"/>
              <w:bidi w:val="0"/>
              <w:spacing w:before="0" w:after="283"/>
              <w:jc w:val="both"/>
              <w:rPr/>
            </w:pPr>
            <w:hyperlink r:id="rId18">
              <w:r>
                <w:rPr>
                  <w:rStyle w:val="InternetLink"/>
                  <w:rFonts w:ascii="Times New Roman" w:hAnsi="Times New Roman"/>
                  <w:color w:val="0000FF"/>
                  <w:sz w:val="16"/>
                  <w:u w:val="single"/>
                </w:rPr>
                <w:t>Form of Amended and Restated Limited Partnership Agreement of CapitalSouth Partners Fund II Limited Partnership</w:t>
              </w:r>
            </w:hyperlink>
            <w:hyperlink r:id="rId19">
              <w:r>
                <w:rPr>
                  <w:rStyle w:val="InternetLink"/>
                  <w:rFonts w:ascii="Times New Roman" w:hAnsi="Times New Roman"/>
                  <w:color w:val="0000FF"/>
                  <w:sz w:val="11"/>
                  <w:u w:val="single"/>
                </w:rPr>
                <w:t>(6)</w:t>
              </w:r>
            </w:hyperlink>
          </w:p>
        </w:tc>
      </w:tr>
      <w:tr>
        <w:trPr/>
        <w:tc>
          <w:tcPr>
            <w:tcW w:w="735" w:type="dxa"/>
            <w:tcBorders/>
            <w:vAlign w:val="center"/>
          </w:tcPr>
          <w:p>
            <w:pPr>
              <w:pStyle w:val="TableContents"/>
              <w:bidi w:val="0"/>
              <w:spacing w:before="0" w:after="283"/>
              <w:jc w:val="left"/>
              <w:rPr/>
            </w:pPr>
            <w:hyperlink r:id="rId20">
              <w:r>
                <w:rPr>
                  <w:rStyle w:val="InternetLink"/>
                  <w:rFonts w:ascii="Times New Roman" w:hAnsi="Times New Roman"/>
                  <w:color w:val="0000FF"/>
                  <w:sz w:val="16"/>
                  <w:u w:val="single"/>
                </w:rPr>
                <w:t>3.7</w:t>
              </w:r>
            </w:hyperlink>
          </w:p>
        </w:tc>
        <w:tc>
          <w:tcPr>
            <w:tcW w:w="146" w:type="dxa"/>
            <w:tcBorders/>
            <w:vAlign w:val="center"/>
          </w:tcPr>
          <w:p>
            <w:pPr>
              <w:pStyle w:val="TableContents"/>
              <w:bidi w:val="0"/>
              <w:spacing w:before="0" w:after="283"/>
              <w:jc w:val="left"/>
              <w:rPr>
                <w:sz w:val="4"/>
                <w:szCs w:val="4"/>
              </w:rPr>
            </w:pPr>
            <w:r>
              <w:rPr>
                <w:sz w:val="4"/>
                <w:szCs w:val="4"/>
              </w:rPr>
            </w:r>
          </w:p>
        </w:tc>
        <w:tc>
          <w:tcPr>
            <w:tcW w:w="9324" w:type="dxa"/>
            <w:tcBorders/>
            <w:vAlign w:val="center"/>
          </w:tcPr>
          <w:p>
            <w:pPr>
              <w:pStyle w:val="TableContents"/>
              <w:bidi w:val="0"/>
              <w:spacing w:before="0" w:after="283"/>
              <w:jc w:val="both"/>
              <w:rPr/>
            </w:pPr>
            <w:hyperlink r:id="rId21">
              <w:r>
                <w:rPr>
                  <w:rStyle w:val="InternetLink"/>
                  <w:rFonts w:ascii="Times New Roman" w:hAnsi="Times New Roman"/>
                  <w:color w:val="0000FF"/>
                  <w:sz w:val="16"/>
                  <w:u w:val="single"/>
                </w:rPr>
                <w:t>Form of Amended and Restated Agreement of Limited Partnership of Certificate of Limited Partnership of CapitalSouth Fund III, L.P. (f/k/a CapitalSouth Partners SBIC Fund III, L.P.)</w:t>
              </w:r>
            </w:hyperlink>
            <w:hyperlink r:id="rId22">
              <w:r>
                <w:rPr>
                  <w:rStyle w:val="InternetLink"/>
                  <w:rFonts w:ascii="Times New Roman" w:hAnsi="Times New Roman"/>
                  <w:color w:val="0000FF"/>
                  <w:sz w:val="11"/>
                  <w:u w:val="single"/>
                </w:rPr>
                <w:t>(7)</w:t>
              </w:r>
            </w:hyperlink>
          </w:p>
        </w:tc>
      </w:tr>
      <w:tr>
        <w:trPr/>
        <w:tc>
          <w:tcPr>
            <w:tcW w:w="735" w:type="dxa"/>
            <w:tcBorders/>
            <w:vAlign w:val="center"/>
          </w:tcPr>
          <w:p>
            <w:pPr>
              <w:pStyle w:val="TableContents"/>
              <w:bidi w:val="0"/>
              <w:spacing w:before="0" w:after="283"/>
              <w:jc w:val="left"/>
              <w:rPr/>
            </w:pPr>
            <w:hyperlink w:anchor="lrfc-ex31_1.htm">
              <w:r>
                <w:rPr>
                  <w:rStyle w:val="InternetLink"/>
                  <w:rFonts w:ascii="Times New Roman" w:hAnsi="Times New Roman"/>
                  <w:color w:val="0000FF"/>
                  <w:sz w:val="16"/>
                  <w:u w:val="single"/>
                </w:rPr>
                <w:t>31.1</w:t>
              </w:r>
            </w:hyperlink>
          </w:p>
        </w:tc>
        <w:tc>
          <w:tcPr>
            <w:tcW w:w="146" w:type="dxa"/>
            <w:tcBorders/>
            <w:vAlign w:val="center"/>
          </w:tcPr>
          <w:p>
            <w:pPr>
              <w:pStyle w:val="TableContents"/>
              <w:bidi w:val="0"/>
              <w:spacing w:before="0" w:after="283"/>
              <w:jc w:val="left"/>
              <w:rPr>
                <w:sz w:val="4"/>
                <w:szCs w:val="4"/>
              </w:rPr>
            </w:pPr>
            <w:r>
              <w:rPr>
                <w:sz w:val="4"/>
                <w:szCs w:val="4"/>
              </w:rPr>
            </w:r>
          </w:p>
        </w:tc>
        <w:tc>
          <w:tcPr>
            <w:tcW w:w="9324" w:type="dxa"/>
            <w:tcBorders/>
            <w:vAlign w:val="center"/>
          </w:tcPr>
          <w:p>
            <w:pPr>
              <w:pStyle w:val="TableContents"/>
              <w:bidi w:val="0"/>
              <w:spacing w:before="0" w:after="283"/>
              <w:jc w:val="both"/>
              <w:rPr/>
            </w:pPr>
            <w:hyperlink w:anchor="lrfc-ex31_1.htm">
              <w:r>
                <w:rPr>
                  <w:rStyle w:val="InternetLink"/>
                  <w:rFonts w:ascii="Times New Roman" w:hAnsi="Times New Roman"/>
                  <w:color w:val="0000FF"/>
                  <w:sz w:val="16"/>
                  <w:u w:val="single"/>
                </w:rPr>
                <w:t>Certification of Chief Executive Officer pursuant to Rule 13a-14 of the Securities Exchange Act of 1934, as adopted pursuant to Section 302 of the Sarbanes-Oxley Act of 2002 (filed herewith)</w:t>
              </w:r>
            </w:hyperlink>
          </w:p>
        </w:tc>
      </w:tr>
      <w:tr>
        <w:trPr/>
        <w:tc>
          <w:tcPr>
            <w:tcW w:w="735" w:type="dxa"/>
            <w:tcBorders/>
            <w:vAlign w:val="center"/>
          </w:tcPr>
          <w:p>
            <w:pPr>
              <w:pStyle w:val="TableContents"/>
              <w:bidi w:val="0"/>
              <w:spacing w:before="0" w:after="283"/>
              <w:jc w:val="left"/>
              <w:rPr/>
            </w:pPr>
            <w:hyperlink w:anchor="lrfc-ex31_2.htm">
              <w:r>
                <w:rPr>
                  <w:rStyle w:val="InternetLink"/>
                  <w:rFonts w:ascii="Times New Roman" w:hAnsi="Times New Roman"/>
                  <w:color w:val="0000FF"/>
                  <w:sz w:val="16"/>
                  <w:u w:val="single"/>
                </w:rPr>
                <w:t>31.2</w:t>
              </w:r>
            </w:hyperlink>
          </w:p>
        </w:tc>
        <w:tc>
          <w:tcPr>
            <w:tcW w:w="146" w:type="dxa"/>
            <w:tcBorders/>
            <w:vAlign w:val="center"/>
          </w:tcPr>
          <w:p>
            <w:pPr>
              <w:pStyle w:val="TableContents"/>
              <w:bidi w:val="0"/>
              <w:spacing w:before="0" w:after="283"/>
              <w:jc w:val="left"/>
              <w:rPr>
                <w:sz w:val="4"/>
                <w:szCs w:val="4"/>
              </w:rPr>
            </w:pPr>
            <w:r>
              <w:rPr>
                <w:sz w:val="4"/>
                <w:szCs w:val="4"/>
              </w:rPr>
            </w:r>
          </w:p>
        </w:tc>
        <w:tc>
          <w:tcPr>
            <w:tcW w:w="9324" w:type="dxa"/>
            <w:tcBorders/>
            <w:vAlign w:val="center"/>
          </w:tcPr>
          <w:p>
            <w:pPr>
              <w:pStyle w:val="TableContents"/>
              <w:bidi w:val="0"/>
              <w:spacing w:before="0" w:after="283"/>
              <w:jc w:val="both"/>
              <w:rPr/>
            </w:pPr>
            <w:hyperlink w:anchor="lrfc-ex31_2.htm">
              <w:r>
                <w:rPr>
                  <w:rStyle w:val="InternetLink"/>
                  <w:rFonts w:ascii="Times New Roman" w:hAnsi="Times New Roman"/>
                  <w:color w:val="0000FF"/>
                  <w:sz w:val="16"/>
                  <w:u w:val="single"/>
                </w:rPr>
                <w:t>Certification of Chief Financial Officer pursuant to Rule 13a-14 of the Securities Exchange Act of 1934, as adopted pursuant to Section 302 of the Sarbanes-Oxley Act of 2002 (filed herewith)</w:t>
              </w:r>
            </w:hyperlink>
          </w:p>
        </w:tc>
      </w:tr>
      <w:tr>
        <w:trPr/>
        <w:tc>
          <w:tcPr>
            <w:tcW w:w="735" w:type="dxa"/>
            <w:tcBorders/>
            <w:vAlign w:val="center"/>
          </w:tcPr>
          <w:p>
            <w:pPr>
              <w:pStyle w:val="TableContents"/>
              <w:bidi w:val="0"/>
              <w:spacing w:before="0" w:after="283"/>
              <w:jc w:val="left"/>
              <w:rPr/>
            </w:pPr>
            <w:hyperlink w:anchor="lrfc-ex32_1.htm">
              <w:r>
                <w:rPr>
                  <w:rStyle w:val="InternetLink"/>
                  <w:rFonts w:ascii="Times New Roman" w:hAnsi="Times New Roman"/>
                  <w:color w:val="0000FF"/>
                  <w:sz w:val="16"/>
                  <w:u w:val="single"/>
                </w:rPr>
                <w:t>32.1</w:t>
              </w:r>
            </w:hyperlink>
          </w:p>
        </w:tc>
        <w:tc>
          <w:tcPr>
            <w:tcW w:w="146" w:type="dxa"/>
            <w:tcBorders/>
            <w:vAlign w:val="center"/>
          </w:tcPr>
          <w:p>
            <w:pPr>
              <w:pStyle w:val="TableContents"/>
              <w:bidi w:val="0"/>
              <w:spacing w:before="0" w:after="283"/>
              <w:jc w:val="left"/>
              <w:rPr>
                <w:sz w:val="4"/>
                <w:szCs w:val="4"/>
              </w:rPr>
            </w:pPr>
            <w:r>
              <w:rPr>
                <w:sz w:val="4"/>
                <w:szCs w:val="4"/>
              </w:rPr>
            </w:r>
          </w:p>
        </w:tc>
        <w:tc>
          <w:tcPr>
            <w:tcW w:w="9324" w:type="dxa"/>
            <w:tcBorders/>
            <w:vAlign w:val="center"/>
          </w:tcPr>
          <w:p>
            <w:pPr>
              <w:pStyle w:val="TableContents"/>
              <w:bidi w:val="0"/>
              <w:spacing w:before="0" w:after="283"/>
              <w:jc w:val="both"/>
              <w:rPr/>
            </w:pPr>
            <w:hyperlink w:anchor="lrfc-ex32_1.htm">
              <w:r>
                <w:rPr>
                  <w:rStyle w:val="InternetLink"/>
                  <w:rFonts w:ascii="Times New Roman" w:hAnsi="Times New Roman"/>
                  <w:color w:val="0000FF"/>
                  <w:sz w:val="16"/>
                  <w:u w:val="single"/>
                </w:rPr>
                <w:t>Certification of Chief Executive Officer pursuant to 18 U.S.C. Section 1350, as adopted pursuant to section 906 of the Sarbanes-Oxley Act of 2002 (filed herewith)</w:t>
              </w:r>
            </w:hyperlink>
          </w:p>
        </w:tc>
      </w:tr>
      <w:tr>
        <w:trPr/>
        <w:tc>
          <w:tcPr>
            <w:tcW w:w="735" w:type="dxa"/>
            <w:tcBorders/>
            <w:vAlign w:val="center"/>
          </w:tcPr>
          <w:p>
            <w:pPr>
              <w:pStyle w:val="TableContents"/>
              <w:bidi w:val="0"/>
              <w:spacing w:before="0" w:after="283"/>
              <w:jc w:val="left"/>
              <w:rPr/>
            </w:pPr>
            <w:hyperlink w:anchor="lrfc-ex32_2.htm">
              <w:r>
                <w:rPr>
                  <w:rStyle w:val="InternetLink"/>
                  <w:rFonts w:ascii="Times New Roman" w:hAnsi="Times New Roman"/>
                  <w:color w:val="0000FF"/>
                  <w:sz w:val="16"/>
                  <w:u w:val="single"/>
                </w:rPr>
                <w:t>32.2</w:t>
              </w:r>
            </w:hyperlink>
          </w:p>
        </w:tc>
        <w:tc>
          <w:tcPr>
            <w:tcW w:w="146" w:type="dxa"/>
            <w:tcBorders/>
            <w:vAlign w:val="center"/>
          </w:tcPr>
          <w:p>
            <w:pPr>
              <w:pStyle w:val="TableContents"/>
              <w:bidi w:val="0"/>
              <w:spacing w:before="0" w:after="283"/>
              <w:jc w:val="left"/>
              <w:rPr>
                <w:sz w:val="4"/>
                <w:szCs w:val="4"/>
              </w:rPr>
            </w:pPr>
            <w:r>
              <w:rPr>
                <w:sz w:val="4"/>
                <w:szCs w:val="4"/>
              </w:rPr>
            </w:r>
          </w:p>
        </w:tc>
        <w:tc>
          <w:tcPr>
            <w:tcW w:w="9324" w:type="dxa"/>
            <w:tcBorders/>
            <w:vAlign w:val="center"/>
          </w:tcPr>
          <w:p>
            <w:pPr>
              <w:pStyle w:val="TableContents"/>
              <w:bidi w:val="0"/>
              <w:spacing w:before="0" w:after="283"/>
              <w:jc w:val="both"/>
              <w:rPr/>
            </w:pPr>
            <w:hyperlink w:anchor="lrfc-ex32_2.htm">
              <w:r>
                <w:rPr>
                  <w:rStyle w:val="InternetLink"/>
                  <w:rFonts w:ascii="Times New Roman" w:hAnsi="Times New Roman"/>
                  <w:color w:val="0000FF"/>
                  <w:sz w:val="16"/>
                  <w:u w:val="single"/>
                </w:rPr>
                <w:t>Certification of Chief Financial Officer pursuant to 18 U.S.C. Section 1350, as adopted pursuant to section 906 of the Sarbanes-Oxley Act of 2002 (filed herewith)</w:t>
              </w:r>
            </w:hyperlink>
          </w:p>
        </w:tc>
      </w:tr>
      <w:tr>
        <w:trPr/>
        <w:tc>
          <w:tcPr>
            <w:tcW w:w="735"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101.INS</w:t>
            </w:r>
          </w:p>
        </w:tc>
        <w:tc>
          <w:tcPr>
            <w:tcW w:w="146" w:type="dxa"/>
            <w:tcBorders/>
            <w:vAlign w:val="center"/>
          </w:tcPr>
          <w:p>
            <w:pPr>
              <w:pStyle w:val="TableContents"/>
              <w:bidi w:val="0"/>
              <w:spacing w:before="0" w:after="283"/>
              <w:jc w:val="left"/>
              <w:rPr/>
            </w:pPr>
            <w:r>
              <w:rPr/>
              <w:t> </w:t>
            </w:r>
          </w:p>
        </w:tc>
        <w:tc>
          <w:tcPr>
            <w:tcW w:w="9324"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Inline XBRL Instance Document (filed herewith)</w:t>
            </w:r>
          </w:p>
        </w:tc>
      </w:tr>
      <w:tr>
        <w:trPr/>
        <w:tc>
          <w:tcPr>
            <w:tcW w:w="735"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101.SCH</w:t>
            </w:r>
          </w:p>
        </w:tc>
        <w:tc>
          <w:tcPr>
            <w:tcW w:w="146" w:type="dxa"/>
            <w:tcBorders/>
            <w:vAlign w:val="center"/>
          </w:tcPr>
          <w:p>
            <w:pPr>
              <w:pStyle w:val="TableContents"/>
              <w:bidi w:val="0"/>
              <w:spacing w:before="0" w:after="283"/>
              <w:jc w:val="left"/>
              <w:rPr/>
            </w:pPr>
            <w:r>
              <w:rPr/>
              <w:t> </w:t>
            </w:r>
          </w:p>
        </w:tc>
        <w:tc>
          <w:tcPr>
            <w:tcW w:w="9324"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Inline XBRL Taxonomy Extension Schema With Embedded Linkbase Documents (filed herewith)</w:t>
            </w:r>
          </w:p>
        </w:tc>
      </w:tr>
      <w:tr>
        <w:trPr/>
        <w:tc>
          <w:tcPr>
            <w:tcW w:w="735"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104</w:t>
            </w:r>
          </w:p>
        </w:tc>
        <w:tc>
          <w:tcPr>
            <w:tcW w:w="146" w:type="dxa"/>
            <w:tcBorders/>
            <w:vAlign w:val="center"/>
          </w:tcPr>
          <w:p>
            <w:pPr>
              <w:pStyle w:val="TableContents"/>
              <w:bidi w:val="0"/>
              <w:spacing w:before="0" w:after="283"/>
              <w:jc w:val="left"/>
              <w:rPr/>
            </w:pPr>
            <w:r>
              <w:rPr/>
              <w:t> </w:t>
            </w:r>
          </w:p>
        </w:tc>
        <w:tc>
          <w:tcPr>
            <w:tcW w:w="9324"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Cover Page Interactive Data File (embedded within the Inline XBRL document) (filed herewith)</w:t>
            </w:r>
          </w:p>
        </w:tc>
      </w:tr>
    </w:tbl>
    <w:p>
      <w:pPr>
        <w:pStyle w:val="TextBody"/>
        <w:pBdr>
          <w:bottom w:val="single" w:sz="6" w:space="1" w:color="000000"/>
        </w:pBdr>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Incorporated by reference to Exhibit a.1 to the Company’s Pre-Effective Amendment No. 1 to Form N-2, filed on September 9, 2013.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Incorporated by reference to Exhibit 3.1 to the Company’s Form 8-K, filed on August 4, 2020.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(3)</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Incorporated by reference to Exhibit a.2 to the Company’s Pre-Effective Amendment No. 2 to Form N-2, filed on September 17, 2013.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(4)</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Incorporated by reference to Exhibit a.3 to the Company’s Pre-Effective Amendment No. 2 to Form N-2, filed on September 17, 2013.</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(5)</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Incorporated by reference to Exhibit b.1 to the Company’s Pre-Effective Amendment No. 1 to Form N-2, filed on September 9, 2013.</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(6)</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Incorporated by reference to Exhibit 2.a to the Company’s Pre-Effective Amendment No. 5 to Form N-2, filed on September 24, 2013.</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(7)</w:t>
      </w:r>
    </w:p>
    <w:p>
      <w:pPr>
        <w:pStyle w:val="TextBody"/>
        <w:bidi w:val="0"/>
        <w:jc w:val="both"/>
        <w:rPr>
          <w:rFonts w:ascii="Times New Roman" w:hAnsi="Times New Roman"/>
          <w:color w:val="000000"/>
          <w:sz w:val="16"/>
        </w:rPr>
      </w:pPr>
      <w:r>
        <w:rPr>
          <w:rFonts w:ascii="Times New Roman" w:hAnsi="Times New Roman"/>
          <w:color w:val="000000"/>
          <w:sz w:val="16"/>
        </w:rPr>
        <w:t>Incorporated by reference to Exhibit 2.b to the Company’s Pre-Effective Amendment No. 5 to Form N-2, filed on September 24, 2013.</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bookmarkStart w:id="21" w:name="signatures"/>
      <w:bookmarkEnd w:id="21"/>
      <w:r>
        <w:rPr>
          <w:rFonts w:ascii="Times New Roman" w:hAnsi="Times New Roman"/>
          <w:b/>
          <w:color w:val="000000"/>
          <w:sz w:val="16"/>
        </w:rPr>
        <w:t>SIGNATURES</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Pursuant to the requirements of the Securities Exchange Act of 1934, the registrant has duly caused this report to be signed on its behalf by the undersigned thereunto duly authorized.</w:t>
      </w:r>
    </w:p>
    <w:p>
      <w:pPr>
        <w:pStyle w:val="TextBody"/>
        <w:bidi w:val="0"/>
        <w:spacing w:before="160" w:after="283"/>
        <w:jc w:val="both"/>
        <w:rPr/>
      </w:pPr>
      <w:r>
        <w:rPr/>
        <w:t> </w:t>
      </w:r>
    </w:p>
    <w:tbl>
      <w:tblPr>
        <w:tblW w:w="2682" w:type="dxa"/>
        <w:jc w:val="left"/>
        <w:tblInd w:w="0" w:type="dxa"/>
        <w:tblLayout w:type="fixed"/>
        <w:tblCellMar>
          <w:top w:w="28" w:type="dxa"/>
          <w:left w:w="28" w:type="dxa"/>
          <w:bottom w:w="28" w:type="dxa"/>
          <w:right w:w="28" w:type="dxa"/>
        </w:tblCellMar>
      </w:tblPr>
      <w:tblGrid>
        <w:gridCol w:w="161"/>
        <w:gridCol w:w="2521"/>
      </w:tblGrid>
      <w:tr>
        <w:trPr/>
        <w:tc>
          <w:tcPr>
            <w:tcW w:w="161"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Logan Ridge Finance Corporation</w:t>
            </w:r>
          </w:p>
        </w:tc>
      </w:tr>
    </w:tbl>
    <w:p>
      <w:pPr>
        <w:pStyle w:val="TextBody"/>
        <w:bidi w:val="0"/>
        <w:jc w:val="both"/>
        <w:rPr/>
      </w:pPr>
      <w:r>
        <w:rPr/>
        <w:t> </w:t>
      </w:r>
    </w:p>
    <w:tbl>
      <w:tblPr>
        <w:tblW w:w="6498" w:type="dxa"/>
        <w:jc w:val="left"/>
        <w:tblInd w:w="0" w:type="dxa"/>
        <w:tblLayout w:type="fixed"/>
        <w:tblCellMar>
          <w:top w:w="28" w:type="dxa"/>
          <w:left w:w="28" w:type="dxa"/>
          <w:bottom w:w="28" w:type="dxa"/>
          <w:right w:w="28" w:type="dxa"/>
        </w:tblCellMar>
      </w:tblPr>
      <w:tblGrid>
        <w:gridCol w:w="1606"/>
        <w:gridCol w:w="346"/>
        <w:gridCol w:w="4546"/>
      </w:tblGrid>
      <w:tr>
        <w:trPr/>
        <w:tc>
          <w:tcPr>
            <w:tcW w:w="16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546" w:type="dxa"/>
            <w:tcBorders/>
            <w:vAlign w:val="center"/>
          </w:tcPr>
          <w:p>
            <w:pPr>
              <w:pStyle w:val="TableContents"/>
              <w:bidi w:val="0"/>
              <w:spacing w:before="0" w:after="283"/>
              <w:jc w:val="left"/>
              <w:rPr>
                <w:sz w:val="4"/>
                <w:szCs w:val="4"/>
              </w:rPr>
            </w:pPr>
            <w:r>
              <w:rPr>
                <w:sz w:val="4"/>
                <w:szCs w:val="4"/>
              </w:rPr>
            </w:r>
          </w:p>
        </w:tc>
      </w:tr>
      <w:tr>
        <w:trPr/>
        <w:tc>
          <w:tcPr>
            <w:tcW w:w="160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Date: August 8, 2024</w:t>
            </w:r>
          </w:p>
        </w:tc>
        <w:tc>
          <w:tcPr>
            <w:tcW w:w="34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By </w:t>
            </w:r>
          </w:p>
        </w:tc>
        <w:tc>
          <w:tcPr>
            <w:tcW w:w="454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 Ted Goldthorpe</w:t>
            </w:r>
          </w:p>
        </w:tc>
      </w:tr>
      <w:tr>
        <w:trPr/>
        <w:tc>
          <w:tcPr>
            <w:tcW w:w="16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54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Ted Goldthorpe</w:t>
            </w:r>
          </w:p>
        </w:tc>
      </w:tr>
      <w:tr>
        <w:trPr/>
        <w:tc>
          <w:tcPr>
            <w:tcW w:w="16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54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Chief Executive Officer and President</w:t>
            </w:r>
          </w:p>
        </w:tc>
      </w:tr>
      <w:tr>
        <w:trPr/>
        <w:tc>
          <w:tcPr>
            <w:tcW w:w="16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546" w:type="dxa"/>
            <w:tcBorders/>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(Principal Executive Officer)</w:t>
            </w:r>
          </w:p>
        </w:tc>
      </w:tr>
      <w:tr>
        <w:trPr/>
        <w:tc>
          <w:tcPr>
            <w:tcW w:w="16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546" w:type="dxa"/>
            <w:tcBorders/>
            <w:vAlign w:val="center"/>
          </w:tcPr>
          <w:p>
            <w:pPr>
              <w:pStyle w:val="TableContents"/>
              <w:bidi w:val="0"/>
              <w:spacing w:before="0" w:after="283"/>
              <w:jc w:val="left"/>
              <w:rPr/>
            </w:pPr>
            <w:r>
              <w:rPr/>
              <w:t> </w:t>
            </w:r>
          </w:p>
        </w:tc>
      </w:tr>
      <w:tr>
        <w:trPr/>
        <w:tc>
          <w:tcPr>
            <w:tcW w:w="16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546" w:type="dxa"/>
            <w:tcBorders/>
            <w:vAlign w:val="center"/>
          </w:tcPr>
          <w:p>
            <w:pPr>
              <w:pStyle w:val="TableContents"/>
              <w:bidi w:val="0"/>
              <w:spacing w:before="0" w:after="283"/>
              <w:jc w:val="left"/>
              <w:rPr>
                <w:sz w:val="4"/>
                <w:szCs w:val="4"/>
              </w:rPr>
            </w:pPr>
            <w:r>
              <w:rPr>
                <w:sz w:val="4"/>
                <w:szCs w:val="4"/>
              </w:rPr>
            </w:r>
          </w:p>
        </w:tc>
      </w:tr>
      <w:tr>
        <w:trPr/>
        <w:tc>
          <w:tcPr>
            <w:tcW w:w="160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Date: August 8, 2024</w:t>
            </w:r>
          </w:p>
        </w:tc>
        <w:tc>
          <w:tcPr>
            <w:tcW w:w="34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By</w:t>
            </w:r>
          </w:p>
        </w:tc>
        <w:tc>
          <w:tcPr>
            <w:tcW w:w="454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 Brandon Satoren</w:t>
            </w:r>
          </w:p>
        </w:tc>
      </w:tr>
      <w:tr>
        <w:trPr/>
        <w:tc>
          <w:tcPr>
            <w:tcW w:w="16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54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Brandon Satoren</w:t>
            </w:r>
          </w:p>
        </w:tc>
      </w:tr>
      <w:tr>
        <w:trPr/>
        <w:tc>
          <w:tcPr>
            <w:tcW w:w="1606"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454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Chief Financial Officer</w:t>
            </w:r>
          </w:p>
        </w:tc>
      </w:tr>
      <w:tr>
        <w:trPr/>
        <w:tc>
          <w:tcPr>
            <w:tcW w:w="1606"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4546" w:type="dxa"/>
            <w:tcBorders/>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(Principal Financial Officer and Principal Accounting Officer )</w:t>
            </w:r>
          </w:p>
        </w:tc>
      </w:tr>
      <w:tr>
        <w:trPr/>
        <w:tc>
          <w:tcPr>
            <w:tcW w:w="1606"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4546" w:type="dxa"/>
            <w:tcBorders/>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bookmarkStart w:id="22" w:name="lrfc-ex31_1.htm"/>
      <w:bookmarkStart w:id="23" w:name="kslrfcex31_1"/>
      <w:bookmarkEnd w:id="22"/>
      <w:bookmarkEnd w:id="23"/>
      <w:r>
        <w:rPr/>
        <w:t> </w:t>
      </w:r>
      <w:r>
        <w:br w:type="page"/>
      </w:r>
    </w:p>
    <w:p>
      <w:pPr>
        <w:pStyle w:val="TextBody"/>
        <w:bidi w:val="0"/>
        <w:jc w:val="right"/>
        <w:rPr>
          <w:rFonts w:ascii="Times New Roman" w:hAnsi="Times New Roman"/>
          <w:b/>
          <w:color w:val="000000"/>
          <w:sz w:val="16"/>
        </w:rPr>
      </w:pPr>
      <w:r>
        <w:rPr>
          <w:rFonts w:ascii="Times New Roman" w:hAnsi="Times New Roman"/>
          <w:b/>
          <w:color w:val="000000"/>
          <w:sz w:val="16"/>
        </w:rPr>
        <w:t>Exhibit 31.1</w:t>
      </w:r>
    </w:p>
    <w:p>
      <w:pPr>
        <w:pStyle w:val="TextBody"/>
        <w:bidi w:val="0"/>
        <w:jc w:val="center"/>
        <w:rPr>
          <w:rFonts w:ascii="Times New Roman" w:hAnsi="Times New Roman"/>
          <w:sz w:val="20"/>
        </w:rPr>
      </w:pPr>
      <w:r>
        <w:rPr>
          <w:rFonts w:ascii="Times New Roman" w:hAnsi="Times New Roman"/>
          <w:b/>
          <w:color w:val="000000"/>
          <w:sz w:val="16"/>
        </w:rPr>
        <w:t>CERTIFICATION OF CHIEF EXECUTIVE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PURSUANT TO RULE 13A-14 OF THE SECURITIES EXCHANGE ACT OF 1934, AS ADOPTED</w:t>
      </w:r>
      <w:r>
        <w:rPr>
          <w:rFonts w:ascii="Times New Roman" w:hAnsi="Times New Roman"/>
          <w:color w:val="000000"/>
          <w:sz w:val="20"/>
        </w:rPr>
        <w:t xml:space="preserve"> </w:t>
      </w:r>
    </w:p>
    <w:p>
      <w:pPr>
        <w:pStyle w:val="TextBody"/>
        <w:bidi w:val="0"/>
        <w:jc w:val="center"/>
        <w:rPr>
          <w:rFonts w:ascii="Times New Roman" w:hAnsi="Times New Roman"/>
          <w:b/>
          <w:color w:val="000000"/>
          <w:sz w:val="16"/>
        </w:rPr>
      </w:pPr>
      <w:r>
        <w:rPr>
          <w:rFonts w:ascii="Times New Roman" w:hAnsi="Times New Roman"/>
          <w:b/>
          <w:color w:val="000000"/>
          <w:sz w:val="16"/>
        </w:rPr>
        <w:t>PURSUANT TO SECTION 302 OF THE SARBANES-OXLEY ACT OF 2002</w:t>
      </w:r>
    </w:p>
    <w:p>
      <w:pPr>
        <w:pStyle w:val="TextBody"/>
        <w:bidi w:val="0"/>
        <w:jc w:val="left"/>
        <w:rPr>
          <w:rFonts w:ascii="Times New Roman" w:hAnsi="Times New Roman"/>
          <w:color w:val="000000"/>
          <w:sz w:val="16"/>
        </w:rPr>
      </w:pPr>
      <w:r>
        <w:rPr>
          <w:rFonts w:ascii="Times New Roman" w:hAnsi="Times New Roman"/>
          <w:color w:val="000000"/>
          <w:sz w:val="16"/>
        </w:rPr>
        <w:t>I, Ted Goldthorpe, certify that:</w:t>
      </w:r>
    </w:p>
    <w:tbl>
      <w:tblPr>
        <w:tblW w:w="6831" w:type="dxa"/>
        <w:jc w:val="left"/>
        <w:tblInd w:w="0" w:type="dxa"/>
        <w:tblLayout w:type="fixed"/>
        <w:tblCellMar>
          <w:top w:w="28" w:type="dxa"/>
          <w:left w:w="28" w:type="dxa"/>
          <w:bottom w:w="28" w:type="dxa"/>
          <w:right w:w="28" w:type="dxa"/>
        </w:tblCellMar>
      </w:tblPr>
      <w:tblGrid>
        <w:gridCol w:w="124"/>
        <w:gridCol w:w="241"/>
        <w:gridCol w:w="6466"/>
      </w:tblGrid>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4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6466"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 have reviewed this Quarterly Report on Form 10-Q of Logan Ridge Finance Corporation;</w:t>
            </w:r>
          </w:p>
        </w:tc>
      </w:tr>
    </w:tbl>
    <w:tbl>
      <w:tblPr>
        <w:tblW w:w="10205" w:type="dxa"/>
        <w:jc w:val="left"/>
        <w:tblInd w:w="0" w:type="dxa"/>
        <w:tblLayout w:type="fixed"/>
        <w:tblCellMar>
          <w:top w:w="28" w:type="dxa"/>
          <w:left w:w="28" w:type="dxa"/>
          <w:bottom w:w="28" w:type="dxa"/>
          <w:right w:w="28" w:type="dxa"/>
        </w:tblCellMar>
      </w:tblPr>
      <w:tblGrid>
        <w:gridCol w:w="124"/>
        <w:gridCol w:w="216"/>
        <w:gridCol w:w="9865"/>
      </w:tblGrid>
      <w:tr>
        <w:trPr/>
        <w:tc>
          <w:tcPr>
            <w:tcW w:w="12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8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w:t>
            </w:r>
          </w:p>
        </w:tc>
        <w:tc>
          <w:tcPr>
            <w:tcW w:w="9865"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218"/>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w:t>
            </w:r>
          </w:p>
        </w:tc>
        <w:tc>
          <w:tcPr>
            <w:tcW w:w="9863"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214"/>
        <w:gridCol w:w="9867"/>
      </w:tblGrid>
      <w:tr>
        <w:trPr/>
        <w:tc>
          <w:tcPr>
            <w:tcW w:w="12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86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9867"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262"/>
        <w:gridCol w:w="9819"/>
      </w:tblGrid>
      <w:tr>
        <w:trPr/>
        <w:tc>
          <w:tcPr>
            <w:tcW w:w="12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81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(a)</w:t>
            </w:r>
          </w:p>
        </w:tc>
        <w:tc>
          <w:tcPr>
            <w:tcW w:w="9819"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278"/>
        <w:gridCol w:w="9803"/>
      </w:tblGrid>
      <w:tr>
        <w:trPr/>
        <w:tc>
          <w:tcPr>
            <w:tcW w:w="12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80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(b)</w:t>
            </w:r>
          </w:p>
        </w:tc>
        <w:tc>
          <w:tcPr>
            <w:tcW w:w="980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270"/>
        <w:gridCol w:w="9811"/>
      </w:tblGrid>
      <w:tr>
        <w:trPr/>
        <w:tc>
          <w:tcPr>
            <w:tcW w:w="12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81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(c)</w:t>
            </w:r>
          </w:p>
        </w:tc>
        <w:tc>
          <w:tcPr>
            <w:tcW w:w="9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278"/>
        <w:gridCol w:w="9803"/>
      </w:tblGrid>
      <w:tr>
        <w:trPr/>
        <w:tc>
          <w:tcPr>
            <w:tcW w:w="12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80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(d)</w:t>
            </w:r>
          </w:p>
        </w:tc>
        <w:tc>
          <w:tcPr>
            <w:tcW w:w="980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217"/>
        <w:gridCol w:w="9864"/>
      </w:tblGrid>
      <w:tr>
        <w:trPr/>
        <w:tc>
          <w:tcPr>
            <w:tcW w:w="12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8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w:t>
            </w:r>
          </w:p>
        </w:tc>
        <w:tc>
          <w:tcPr>
            <w:tcW w:w="9864"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271"/>
        <w:gridCol w:w="9810"/>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810"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(a)</w:t>
            </w:r>
          </w:p>
        </w:tc>
        <w:tc>
          <w:tcPr>
            <w:tcW w:w="981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304"/>
        <w:gridCol w:w="9777"/>
      </w:tblGrid>
      <w:tr>
        <w:trPr/>
        <w:tc>
          <w:tcPr>
            <w:tcW w:w="12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777"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(b)</w:t>
            </w:r>
          </w:p>
        </w:tc>
        <w:tc>
          <w:tcPr>
            <w:tcW w:w="977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Any fraud, whether or not material, that involves management or other employees who have a significant role in the registrant’s internal control over financial reporting.</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Date: August 8, 2024</w:t>
      </w:r>
    </w:p>
    <w:tbl>
      <w:tblPr>
        <w:tblW w:w="2900" w:type="dxa"/>
        <w:jc w:val="left"/>
        <w:tblInd w:w="0" w:type="dxa"/>
        <w:tblLayout w:type="fixed"/>
        <w:tblCellMar>
          <w:top w:w="28" w:type="dxa"/>
          <w:left w:w="28" w:type="dxa"/>
          <w:bottom w:w="28" w:type="dxa"/>
          <w:right w:w="28" w:type="dxa"/>
        </w:tblCellMar>
      </w:tblPr>
      <w:tblGrid>
        <w:gridCol w:w="124"/>
        <w:gridCol w:w="2776"/>
      </w:tblGrid>
      <w:tr>
        <w:trPr/>
        <w:tc>
          <w:tcPr>
            <w:tcW w:w="124"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 Ted Goldthorpe</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Ted Goldthorpe</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Chief Executive Officer and President</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(Principal Executive Officer)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lrfc-ex31_2.htm"/>
      <w:bookmarkStart w:id="25" w:name="kslrfcex31_2"/>
      <w:bookmarkEnd w:id="24"/>
      <w:bookmarkEnd w:id="25"/>
      <w:r>
        <w:rPr/>
        <w:t> </w:t>
      </w:r>
      <w:r>
        <w:br w:type="page"/>
      </w:r>
    </w:p>
    <w:p>
      <w:pPr>
        <w:pStyle w:val="TextBody"/>
        <w:bidi w:val="0"/>
        <w:jc w:val="right"/>
        <w:rPr>
          <w:rFonts w:ascii="Times New Roman" w:hAnsi="Times New Roman"/>
          <w:b/>
          <w:color w:val="000000"/>
          <w:sz w:val="16"/>
        </w:rPr>
      </w:pPr>
      <w:r>
        <w:rPr>
          <w:rFonts w:ascii="Times New Roman" w:hAnsi="Times New Roman"/>
          <w:b/>
          <w:color w:val="000000"/>
          <w:sz w:val="16"/>
        </w:rPr>
        <w:t>Exhibit 31.2</w:t>
      </w:r>
    </w:p>
    <w:p>
      <w:pPr>
        <w:pStyle w:val="TextBody"/>
        <w:bidi w:val="0"/>
        <w:jc w:val="center"/>
        <w:rPr>
          <w:rFonts w:ascii="Times New Roman" w:hAnsi="Times New Roman"/>
          <w:sz w:val="20"/>
        </w:rPr>
      </w:pPr>
      <w:r>
        <w:rPr>
          <w:rFonts w:ascii="Times New Roman" w:hAnsi="Times New Roman"/>
          <w:b/>
          <w:color w:val="000000"/>
          <w:sz w:val="16"/>
        </w:rPr>
        <w:t>CERTIFICATION OF CHIEF FINANCIAL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PURSUANT TO RULE 13A-14 OF THE SECURITIES EXCHANGE ACT OF 1934, AS ADOPTED</w:t>
      </w:r>
      <w:r>
        <w:rPr>
          <w:rFonts w:ascii="Times New Roman" w:hAnsi="Times New Roman"/>
          <w:color w:val="000000"/>
          <w:sz w:val="20"/>
        </w:rPr>
        <w:t xml:space="preserve"> </w:t>
      </w:r>
    </w:p>
    <w:p>
      <w:pPr>
        <w:pStyle w:val="TextBody"/>
        <w:bidi w:val="0"/>
        <w:jc w:val="center"/>
        <w:rPr>
          <w:rFonts w:ascii="Times New Roman" w:hAnsi="Times New Roman"/>
          <w:b/>
          <w:color w:val="000000"/>
          <w:sz w:val="16"/>
        </w:rPr>
      </w:pPr>
      <w:r>
        <w:rPr>
          <w:rFonts w:ascii="Times New Roman" w:hAnsi="Times New Roman"/>
          <w:b/>
          <w:color w:val="000000"/>
          <w:sz w:val="16"/>
        </w:rPr>
        <w:t>PURSUANT TO SECTION 302 OF THE SARBANES-OXLEY ACT OF 2002</w:t>
      </w:r>
    </w:p>
    <w:p>
      <w:pPr>
        <w:pStyle w:val="TextBody"/>
        <w:bidi w:val="0"/>
        <w:jc w:val="both"/>
        <w:rPr>
          <w:rFonts w:ascii="Times New Roman" w:hAnsi="Times New Roman"/>
          <w:color w:val="000000"/>
          <w:sz w:val="16"/>
        </w:rPr>
      </w:pPr>
      <w:r>
        <w:rPr>
          <w:rFonts w:ascii="Times New Roman" w:hAnsi="Times New Roman"/>
          <w:color w:val="000000"/>
          <w:sz w:val="16"/>
        </w:rPr>
        <w:t>I, Brandon Satoren, certify that:</w:t>
      </w:r>
    </w:p>
    <w:tbl>
      <w:tblPr>
        <w:tblW w:w="6722" w:type="dxa"/>
        <w:jc w:val="left"/>
        <w:tblInd w:w="0" w:type="dxa"/>
        <w:tblLayout w:type="fixed"/>
        <w:tblCellMar>
          <w:top w:w="28" w:type="dxa"/>
          <w:left w:w="28" w:type="dxa"/>
          <w:bottom w:w="28" w:type="dxa"/>
          <w:right w:w="28" w:type="dxa"/>
        </w:tblCellMar>
      </w:tblPr>
      <w:tblGrid>
        <w:gridCol w:w="256"/>
        <w:gridCol w:w="6466"/>
      </w:tblGrid>
      <w:tr>
        <w:trPr/>
        <w:tc>
          <w:tcPr>
            <w:tcW w:w="256" w:type="dxa"/>
            <w:tcBorders/>
            <w:vAlign w:val="center"/>
          </w:tcPr>
          <w:p>
            <w:pPr>
              <w:pStyle w:val="TableContents"/>
              <w:bidi w:val="0"/>
              <w:spacing w:before="0" w:after="283"/>
              <w:jc w:val="left"/>
              <w:rPr>
                <w:sz w:val="4"/>
                <w:szCs w:val="4"/>
              </w:rPr>
            </w:pPr>
            <w:r>
              <w:rPr>
                <w:sz w:val="4"/>
                <w:szCs w:val="4"/>
              </w:rPr>
            </w:r>
          </w:p>
        </w:tc>
        <w:tc>
          <w:tcPr>
            <w:tcW w:w="6466" w:type="dxa"/>
            <w:tcBorders/>
            <w:vAlign w:val="center"/>
          </w:tcPr>
          <w:p>
            <w:pPr>
              <w:pStyle w:val="TableContents"/>
              <w:bidi w:val="0"/>
              <w:spacing w:before="0" w:after="283"/>
              <w:jc w:val="left"/>
              <w:rPr>
                <w:sz w:val="4"/>
                <w:szCs w:val="4"/>
              </w:rPr>
            </w:pPr>
            <w:r>
              <w:rPr>
                <w:sz w:val="4"/>
                <w:szCs w:val="4"/>
              </w:rPr>
            </w:r>
          </w:p>
        </w:tc>
      </w:tr>
      <w:tr>
        <w:trPr/>
        <w:tc>
          <w:tcPr>
            <w:tcW w:w="25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6466"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 have reviewed this Quarterly Report on Form 10-Q of Logan Ridge Finance Corporation;</w:t>
            </w:r>
          </w:p>
        </w:tc>
      </w:tr>
    </w:tbl>
    <w:tbl>
      <w:tblPr>
        <w:tblW w:w="10205" w:type="dxa"/>
        <w:jc w:val="left"/>
        <w:tblInd w:w="0" w:type="dxa"/>
        <w:tblLayout w:type="fixed"/>
        <w:tblCellMar>
          <w:top w:w="28" w:type="dxa"/>
          <w:left w:w="28" w:type="dxa"/>
          <w:bottom w:w="28" w:type="dxa"/>
          <w:right w:w="28" w:type="dxa"/>
        </w:tblCellMar>
      </w:tblPr>
      <w:tblGrid>
        <w:gridCol w:w="231"/>
        <w:gridCol w:w="9974"/>
      </w:tblGrid>
      <w:tr>
        <w:trPr/>
        <w:tc>
          <w:tcPr>
            <w:tcW w:w="231" w:type="dxa"/>
            <w:tcBorders/>
            <w:vAlign w:val="center"/>
          </w:tcPr>
          <w:p>
            <w:pPr>
              <w:pStyle w:val="TableContents"/>
              <w:bidi w:val="0"/>
              <w:spacing w:before="0" w:after="283"/>
              <w:jc w:val="left"/>
              <w:rPr>
                <w:sz w:val="4"/>
                <w:szCs w:val="4"/>
              </w:rPr>
            </w:pPr>
            <w:r>
              <w:rPr>
                <w:sz w:val="4"/>
                <w:szCs w:val="4"/>
              </w:rPr>
            </w:r>
          </w:p>
        </w:tc>
        <w:tc>
          <w:tcPr>
            <w:tcW w:w="9974" w:type="dxa"/>
            <w:tcBorders/>
            <w:vAlign w:val="center"/>
          </w:tcPr>
          <w:p>
            <w:pPr>
              <w:pStyle w:val="TableContents"/>
              <w:bidi w:val="0"/>
              <w:spacing w:before="0" w:after="283"/>
              <w:jc w:val="left"/>
              <w:rPr>
                <w:sz w:val="4"/>
                <w:szCs w:val="4"/>
              </w:rPr>
            </w:pPr>
            <w:r>
              <w:rPr>
                <w:sz w:val="4"/>
                <w:szCs w:val="4"/>
              </w:rPr>
            </w:r>
          </w:p>
        </w:tc>
      </w:tr>
      <w:tr>
        <w:trPr/>
        <w:tc>
          <w:tcPr>
            <w:tcW w:w="23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w:t>
            </w:r>
          </w:p>
        </w:tc>
        <w:tc>
          <w:tcPr>
            <w:tcW w:w="9974"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233"/>
        <w:gridCol w:w="9972"/>
      </w:tblGrid>
      <w:tr>
        <w:trPr/>
        <w:tc>
          <w:tcPr>
            <w:tcW w:w="233" w:type="dxa"/>
            <w:tcBorders/>
            <w:vAlign w:val="center"/>
          </w:tcPr>
          <w:p>
            <w:pPr>
              <w:pStyle w:val="TableContents"/>
              <w:bidi w:val="0"/>
              <w:spacing w:before="0" w:after="283"/>
              <w:jc w:val="left"/>
              <w:rPr>
                <w:sz w:val="4"/>
                <w:szCs w:val="4"/>
              </w:rPr>
            </w:pPr>
            <w:r>
              <w:rPr>
                <w:sz w:val="4"/>
                <w:szCs w:val="4"/>
              </w:rPr>
            </w:r>
          </w:p>
        </w:tc>
        <w:tc>
          <w:tcPr>
            <w:tcW w:w="9972" w:type="dxa"/>
            <w:tcBorders/>
            <w:vAlign w:val="center"/>
          </w:tcPr>
          <w:p>
            <w:pPr>
              <w:pStyle w:val="TableContents"/>
              <w:bidi w:val="0"/>
              <w:spacing w:before="0" w:after="283"/>
              <w:jc w:val="left"/>
              <w:rPr>
                <w:sz w:val="4"/>
                <w:szCs w:val="4"/>
              </w:rPr>
            </w:pPr>
            <w:r>
              <w:rPr>
                <w:sz w:val="4"/>
                <w:szCs w:val="4"/>
              </w:rPr>
            </w:r>
          </w:p>
        </w:tc>
      </w:tr>
      <w:tr>
        <w:trPr/>
        <w:tc>
          <w:tcPr>
            <w:tcW w:w="233"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w:t>
            </w:r>
          </w:p>
        </w:tc>
        <w:tc>
          <w:tcPr>
            <w:tcW w:w="9972"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229"/>
        <w:gridCol w:w="9976"/>
      </w:tblGrid>
      <w:tr>
        <w:trPr/>
        <w:tc>
          <w:tcPr>
            <w:tcW w:w="229" w:type="dxa"/>
            <w:tcBorders/>
            <w:vAlign w:val="center"/>
          </w:tcPr>
          <w:p>
            <w:pPr>
              <w:pStyle w:val="TableContents"/>
              <w:bidi w:val="0"/>
              <w:spacing w:before="0" w:after="283"/>
              <w:jc w:val="left"/>
              <w:rPr>
                <w:sz w:val="4"/>
                <w:szCs w:val="4"/>
              </w:rPr>
            </w:pPr>
            <w:r>
              <w:rPr>
                <w:sz w:val="4"/>
                <w:szCs w:val="4"/>
              </w:rPr>
            </w:r>
          </w:p>
        </w:tc>
        <w:tc>
          <w:tcPr>
            <w:tcW w:w="9976" w:type="dxa"/>
            <w:tcBorders/>
            <w:vAlign w:val="center"/>
          </w:tcPr>
          <w:p>
            <w:pPr>
              <w:pStyle w:val="TableContents"/>
              <w:bidi w:val="0"/>
              <w:spacing w:before="0" w:after="283"/>
              <w:jc w:val="left"/>
              <w:rPr>
                <w:sz w:val="4"/>
                <w:szCs w:val="4"/>
              </w:rPr>
            </w:pPr>
            <w:r>
              <w:rPr>
                <w:sz w:val="4"/>
                <w:szCs w:val="4"/>
              </w:rPr>
            </w:r>
          </w:p>
        </w:tc>
      </w:tr>
      <w:tr>
        <w:trPr/>
        <w:tc>
          <w:tcPr>
            <w:tcW w:w="229"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9976"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262"/>
        <w:gridCol w:w="9819"/>
      </w:tblGrid>
      <w:tr>
        <w:trPr/>
        <w:tc>
          <w:tcPr>
            <w:tcW w:w="12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81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(a)</w:t>
            </w:r>
          </w:p>
        </w:tc>
        <w:tc>
          <w:tcPr>
            <w:tcW w:w="9819"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278"/>
        <w:gridCol w:w="9803"/>
      </w:tblGrid>
      <w:tr>
        <w:trPr/>
        <w:tc>
          <w:tcPr>
            <w:tcW w:w="12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80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(b)</w:t>
            </w:r>
          </w:p>
        </w:tc>
        <w:tc>
          <w:tcPr>
            <w:tcW w:w="980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270"/>
        <w:gridCol w:w="9811"/>
      </w:tblGrid>
      <w:tr>
        <w:trPr/>
        <w:tc>
          <w:tcPr>
            <w:tcW w:w="12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81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(c)</w:t>
            </w:r>
          </w:p>
        </w:tc>
        <w:tc>
          <w:tcPr>
            <w:tcW w:w="9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278"/>
        <w:gridCol w:w="9803"/>
      </w:tblGrid>
      <w:tr>
        <w:trPr/>
        <w:tc>
          <w:tcPr>
            <w:tcW w:w="12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80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(d)</w:t>
            </w:r>
          </w:p>
        </w:tc>
        <w:tc>
          <w:tcPr>
            <w:tcW w:w="980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232"/>
        <w:gridCol w:w="9973"/>
      </w:tblGrid>
      <w:tr>
        <w:trPr/>
        <w:tc>
          <w:tcPr>
            <w:tcW w:w="232" w:type="dxa"/>
            <w:tcBorders/>
            <w:vAlign w:val="center"/>
          </w:tcPr>
          <w:p>
            <w:pPr>
              <w:pStyle w:val="TableContents"/>
              <w:bidi w:val="0"/>
              <w:spacing w:before="0" w:after="283"/>
              <w:jc w:val="left"/>
              <w:rPr>
                <w:sz w:val="4"/>
                <w:szCs w:val="4"/>
              </w:rPr>
            </w:pPr>
            <w:r>
              <w:rPr>
                <w:sz w:val="4"/>
                <w:szCs w:val="4"/>
              </w:rPr>
            </w:r>
          </w:p>
        </w:tc>
        <w:tc>
          <w:tcPr>
            <w:tcW w:w="9973" w:type="dxa"/>
            <w:tcBorders/>
            <w:vAlign w:val="center"/>
          </w:tcPr>
          <w:p>
            <w:pPr>
              <w:pStyle w:val="TableContents"/>
              <w:bidi w:val="0"/>
              <w:spacing w:before="0" w:after="283"/>
              <w:jc w:val="left"/>
              <w:rPr>
                <w:sz w:val="4"/>
                <w:szCs w:val="4"/>
              </w:rPr>
            </w:pPr>
            <w:r>
              <w:rPr>
                <w:sz w:val="4"/>
                <w:szCs w:val="4"/>
              </w:rPr>
            </w:r>
          </w:p>
        </w:tc>
      </w:tr>
      <w:tr>
        <w:trPr/>
        <w:tc>
          <w:tcPr>
            <w:tcW w:w="232"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w:t>
            </w:r>
          </w:p>
        </w:tc>
        <w:tc>
          <w:tcPr>
            <w:tcW w:w="9973"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271"/>
        <w:gridCol w:w="9810"/>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810"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(a)</w:t>
            </w:r>
          </w:p>
        </w:tc>
        <w:tc>
          <w:tcPr>
            <w:tcW w:w="981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304"/>
        <w:gridCol w:w="9777"/>
      </w:tblGrid>
      <w:tr>
        <w:trPr/>
        <w:tc>
          <w:tcPr>
            <w:tcW w:w="12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777"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(b)</w:t>
            </w:r>
          </w:p>
        </w:tc>
        <w:tc>
          <w:tcPr>
            <w:tcW w:w="977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Any fraud, whether or not material, that involves management or other employees who have a significant role in the registrant’s internal control over financial reporting.</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Date: August 8, 2024</w:t>
      </w:r>
    </w:p>
    <w:tbl>
      <w:tblPr>
        <w:tblW w:w="2270" w:type="dxa"/>
        <w:jc w:val="left"/>
        <w:tblInd w:w="0" w:type="dxa"/>
        <w:tblLayout w:type="fixed"/>
        <w:tblCellMar>
          <w:top w:w="28" w:type="dxa"/>
          <w:left w:w="28" w:type="dxa"/>
          <w:bottom w:w="28" w:type="dxa"/>
          <w:right w:w="28" w:type="dxa"/>
        </w:tblCellMar>
      </w:tblPr>
      <w:tblGrid>
        <w:gridCol w:w="124"/>
        <w:gridCol w:w="2146"/>
      </w:tblGrid>
      <w:tr>
        <w:trPr/>
        <w:tc>
          <w:tcPr>
            <w:tcW w:w="124"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4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 Brandon Satoren</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Brandon Satoren</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Chief Financial Officer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(Principal Financial Officer)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lrfc-ex32_1.htm"/>
      <w:bookmarkStart w:id="27" w:name="kslrfcex32_1"/>
      <w:bookmarkEnd w:id="26"/>
      <w:bookmarkEnd w:id="27"/>
      <w:r>
        <w:rPr/>
        <w:t> </w:t>
      </w:r>
      <w:r>
        <w:br w:type="page"/>
      </w:r>
    </w:p>
    <w:p>
      <w:pPr>
        <w:pStyle w:val="TextBody"/>
        <w:bidi w:val="0"/>
        <w:jc w:val="right"/>
        <w:rPr>
          <w:rFonts w:ascii="Times New Roman" w:hAnsi="Times New Roman"/>
          <w:b/>
          <w:color w:val="000000"/>
          <w:sz w:val="16"/>
        </w:rPr>
      </w:pPr>
      <w:r>
        <w:rPr>
          <w:rFonts w:ascii="Times New Roman" w:hAnsi="Times New Roman"/>
          <w:b/>
          <w:color w:val="000000"/>
          <w:sz w:val="16"/>
        </w:rPr>
        <w:t>Exhibit 32.1</w:t>
      </w:r>
    </w:p>
    <w:p>
      <w:pPr>
        <w:pStyle w:val="TextBody"/>
        <w:bidi w:val="0"/>
        <w:jc w:val="center"/>
        <w:rPr>
          <w:rFonts w:ascii="Times New Roman" w:hAnsi="Times New Roman"/>
          <w:sz w:val="20"/>
        </w:rPr>
      </w:pPr>
      <w:r>
        <w:rPr>
          <w:rFonts w:ascii="Times New Roman" w:hAnsi="Times New Roman"/>
          <w:b/>
          <w:color w:val="000000"/>
          <w:sz w:val="16"/>
        </w:rPr>
        <w:t>CERTIFICATION OF CHIEF EXECUTIVE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PURSUANT TO 18 U.S.C. SECTION 1350, AS ADOPTED</w:t>
      </w:r>
      <w:r>
        <w:rPr>
          <w:rFonts w:ascii="Times New Roman" w:hAnsi="Times New Roman"/>
          <w:color w:val="000000"/>
          <w:sz w:val="20"/>
        </w:rPr>
        <w:t xml:space="preserve"> </w:t>
      </w:r>
    </w:p>
    <w:p>
      <w:pPr>
        <w:pStyle w:val="TextBody"/>
        <w:bidi w:val="0"/>
        <w:jc w:val="center"/>
        <w:rPr>
          <w:rFonts w:ascii="Times New Roman" w:hAnsi="Times New Roman"/>
          <w:b/>
          <w:color w:val="000000"/>
          <w:sz w:val="16"/>
        </w:rPr>
      </w:pPr>
      <w:r>
        <w:rPr>
          <w:rFonts w:ascii="Times New Roman" w:hAnsi="Times New Roman"/>
          <w:b/>
          <w:color w:val="000000"/>
          <w:sz w:val="16"/>
        </w:rPr>
        <w:t>PURSUANT TO SECTION 906 OF THE SARBANES-OXLEY ACT OF 2002</w:t>
      </w:r>
    </w:p>
    <w:p>
      <w:pPr>
        <w:pStyle w:val="TextBody"/>
        <w:bidi w:val="0"/>
        <w:jc w:val="both"/>
        <w:rPr>
          <w:rFonts w:ascii="Times New Roman" w:hAnsi="Times New Roman"/>
          <w:color w:val="000000"/>
          <w:sz w:val="16"/>
        </w:rPr>
      </w:pPr>
      <w:r>
        <w:rPr>
          <w:rFonts w:ascii="Times New Roman" w:hAnsi="Times New Roman"/>
          <w:color w:val="000000"/>
          <w:sz w:val="16"/>
        </w:rPr>
        <w:t>I, Ted Goldthorpe, Chief Executive Officer and President, in connection with the Quarterly Report of Logan Ridge Finance Corporation (the “Company”) on Form 10-Q for the quarterly period ended June 30, 2024, as filed with the U.S. Securities and Exchange Commission on the date hereof (the “Quarterly Report”), certify, pursuant to Section 906 of the Sarbanes-Oxley Act of 2002, that, to my knowledge:</w:t>
      </w:r>
    </w:p>
    <w:tbl>
      <w:tblPr>
        <w:tblW w:w="10205" w:type="dxa"/>
        <w:jc w:val="left"/>
        <w:tblInd w:w="0" w:type="dxa"/>
        <w:tblLayout w:type="fixed"/>
        <w:tblCellMar>
          <w:top w:w="28" w:type="dxa"/>
          <w:left w:w="28" w:type="dxa"/>
          <w:bottom w:w="28" w:type="dxa"/>
          <w:right w:w="28" w:type="dxa"/>
        </w:tblCellMar>
      </w:tblPr>
      <w:tblGrid>
        <w:gridCol w:w="124"/>
        <w:gridCol w:w="240"/>
        <w:gridCol w:w="9841"/>
      </w:tblGrid>
      <w:tr>
        <w:trPr/>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84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1.</w:t>
            </w:r>
          </w:p>
        </w:tc>
        <w:tc>
          <w:tcPr>
            <w:tcW w:w="9841"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The Quarterly Report fully complies with the requirements of Section 13(a) or 15(d) of the Securities Exchange Act of 1934, as amended; and</w:t>
            </w:r>
          </w:p>
        </w:tc>
      </w:tr>
    </w:tbl>
    <w:tbl>
      <w:tblPr>
        <w:tblW w:w="10205" w:type="dxa"/>
        <w:jc w:val="left"/>
        <w:tblInd w:w="0" w:type="dxa"/>
        <w:tblLayout w:type="fixed"/>
        <w:tblCellMar>
          <w:top w:w="28" w:type="dxa"/>
          <w:left w:w="28" w:type="dxa"/>
          <w:bottom w:w="28" w:type="dxa"/>
          <w:right w:w="28" w:type="dxa"/>
        </w:tblCellMar>
      </w:tblPr>
      <w:tblGrid>
        <w:gridCol w:w="124"/>
        <w:gridCol w:w="236"/>
        <w:gridCol w:w="9845"/>
      </w:tblGrid>
      <w:tr>
        <w:trPr/>
        <w:tc>
          <w:tcPr>
            <w:tcW w:w="12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84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2.</w:t>
            </w:r>
          </w:p>
        </w:tc>
        <w:tc>
          <w:tcPr>
            <w:tcW w:w="9845"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The information contained in the Quarterly Report fairly presents, in all material respects, the financial condition and results of operations of the Company.</w:t>
            </w:r>
          </w:p>
        </w:tc>
      </w:tr>
    </w:tbl>
    <w:p>
      <w:pPr>
        <w:pStyle w:val="TextBody"/>
        <w:bidi w:val="0"/>
        <w:jc w:val="left"/>
        <w:rPr>
          <w:rFonts w:ascii="Times New Roman" w:hAnsi="Times New Roman"/>
          <w:color w:val="000000"/>
          <w:sz w:val="16"/>
        </w:rPr>
      </w:pPr>
      <w:r>
        <w:rPr>
          <w:rFonts w:ascii="Times New Roman" w:hAnsi="Times New Roman"/>
          <w:color w:val="000000"/>
          <w:sz w:val="16"/>
        </w:rPr>
        <w:t>Date: August 8, 2024</w:t>
      </w:r>
    </w:p>
    <w:tbl>
      <w:tblPr>
        <w:tblW w:w="2900" w:type="dxa"/>
        <w:jc w:val="left"/>
        <w:tblInd w:w="0" w:type="dxa"/>
        <w:tblLayout w:type="fixed"/>
        <w:tblCellMar>
          <w:top w:w="28" w:type="dxa"/>
          <w:left w:w="28" w:type="dxa"/>
          <w:bottom w:w="28" w:type="dxa"/>
          <w:right w:w="28" w:type="dxa"/>
        </w:tblCellMar>
      </w:tblPr>
      <w:tblGrid>
        <w:gridCol w:w="124"/>
        <w:gridCol w:w="2776"/>
      </w:tblGrid>
      <w:tr>
        <w:trPr/>
        <w:tc>
          <w:tcPr>
            <w:tcW w:w="124"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7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 Ted Goldthorpe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Ted Goldthorpe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Chief Executive Officer and President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(Principal Executive Officer)</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lrfc-ex32_2.htm"/>
      <w:bookmarkStart w:id="29" w:name="kslrfcex32_2"/>
      <w:bookmarkEnd w:id="28"/>
      <w:bookmarkEnd w:id="29"/>
      <w:r>
        <w:rPr/>
        <w:t> </w:t>
      </w:r>
      <w:r>
        <w:br w:type="page"/>
      </w:r>
    </w:p>
    <w:p>
      <w:pPr>
        <w:pStyle w:val="TextBody"/>
        <w:bidi w:val="0"/>
        <w:jc w:val="right"/>
        <w:rPr>
          <w:rFonts w:ascii="Times New Roman" w:hAnsi="Times New Roman"/>
          <w:b/>
          <w:color w:val="000000"/>
          <w:sz w:val="16"/>
        </w:rPr>
      </w:pPr>
      <w:r>
        <w:rPr>
          <w:rFonts w:ascii="Times New Roman" w:hAnsi="Times New Roman"/>
          <w:b/>
          <w:color w:val="000000"/>
          <w:sz w:val="16"/>
        </w:rPr>
        <w:t>Exhibit 32.2</w:t>
      </w:r>
    </w:p>
    <w:p>
      <w:pPr>
        <w:pStyle w:val="TextBody"/>
        <w:bidi w:val="0"/>
        <w:jc w:val="center"/>
        <w:rPr>
          <w:rFonts w:ascii="Times New Roman" w:hAnsi="Times New Roman"/>
          <w:sz w:val="20"/>
        </w:rPr>
      </w:pPr>
      <w:r>
        <w:rPr>
          <w:rFonts w:ascii="Times New Roman" w:hAnsi="Times New Roman"/>
          <w:b/>
          <w:color w:val="000000"/>
          <w:sz w:val="16"/>
        </w:rPr>
        <w:t>CERTIFICATION OF CHIEF FINANCIAL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PURSUANT TO 18 U.S.C. SECTION 1350, AS ADOPTED</w:t>
      </w:r>
      <w:r>
        <w:rPr>
          <w:rFonts w:ascii="Times New Roman" w:hAnsi="Times New Roman"/>
          <w:color w:val="000000"/>
          <w:sz w:val="20"/>
        </w:rPr>
        <w:t xml:space="preserve"> </w:t>
      </w:r>
    </w:p>
    <w:p>
      <w:pPr>
        <w:pStyle w:val="TextBody"/>
        <w:bidi w:val="0"/>
        <w:jc w:val="center"/>
        <w:rPr>
          <w:rFonts w:ascii="Times New Roman" w:hAnsi="Times New Roman"/>
          <w:b/>
          <w:color w:val="000000"/>
          <w:sz w:val="16"/>
        </w:rPr>
      </w:pPr>
      <w:r>
        <w:rPr>
          <w:rFonts w:ascii="Times New Roman" w:hAnsi="Times New Roman"/>
          <w:b/>
          <w:color w:val="000000"/>
          <w:sz w:val="16"/>
        </w:rPr>
        <w:t>PURSUANT TO SECTION 906 OF THE SARBANES-OXLEY ACT OF 2002</w:t>
      </w:r>
    </w:p>
    <w:p>
      <w:pPr>
        <w:pStyle w:val="TextBody"/>
        <w:bidi w:val="0"/>
        <w:jc w:val="both"/>
        <w:rPr>
          <w:rFonts w:ascii="Times New Roman" w:hAnsi="Times New Roman"/>
          <w:color w:val="000000"/>
          <w:sz w:val="16"/>
        </w:rPr>
      </w:pPr>
      <w:r>
        <w:rPr>
          <w:rFonts w:ascii="Times New Roman" w:hAnsi="Times New Roman"/>
          <w:color w:val="000000"/>
          <w:sz w:val="16"/>
        </w:rPr>
        <w:t>I, Brandon Satoren, Chief Financial Officer, in connection with the Quarterly Report of Logan Ridge Finance Corporation (the “Company”) on Form 10-Q for the quarterly period ended June 30, 2024, as filed with the U.S. Securities and Exchange Commission on the date hereof (the “Quarterly Report”), certify, pursuant to Section 906 of the Sarbanes-Oxley Act of 2002, that, to my knowledge:</w:t>
      </w:r>
    </w:p>
    <w:tbl>
      <w:tblPr>
        <w:tblW w:w="10205" w:type="dxa"/>
        <w:jc w:val="left"/>
        <w:tblInd w:w="0" w:type="dxa"/>
        <w:tblLayout w:type="fixed"/>
        <w:tblCellMar>
          <w:top w:w="28" w:type="dxa"/>
          <w:left w:w="28" w:type="dxa"/>
          <w:bottom w:w="28" w:type="dxa"/>
          <w:right w:w="28" w:type="dxa"/>
        </w:tblCellMar>
      </w:tblPr>
      <w:tblGrid>
        <w:gridCol w:w="124"/>
        <w:gridCol w:w="240"/>
        <w:gridCol w:w="9841"/>
      </w:tblGrid>
      <w:tr>
        <w:trPr/>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84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9841"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The Quarterly Report fully complies with the requirements of Section 13(a) or 15(d) of the Securities Exchange Act of 1934, as amended; and</w:t>
            </w:r>
          </w:p>
        </w:tc>
      </w:tr>
    </w:tbl>
    <w:tbl>
      <w:tblPr>
        <w:tblW w:w="10205" w:type="dxa"/>
        <w:jc w:val="left"/>
        <w:tblInd w:w="0" w:type="dxa"/>
        <w:tblLayout w:type="fixed"/>
        <w:tblCellMar>
          <w:top w:w="28" w:type="dxa"/>
          <w:left w:w="28" w:type="dxa"/>
          <w:bottom w:w="28" w:type="dxa"/>
          <w:right w:w="28" w:type="dxa"/>
        </w:tblCellMar>
      </w:tblPr>
      <w:tblGrid>
        <w:gridCol w:w="124"/>
        <w:gridCol w:w="236"/>
        <w:gridCol w:w="9845"/>
      </w:tblGrid>
      <w:tr>
        <w:trPr/>
        <w:tc>
          <w:tcPr>
            <w:tcW w:w="12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84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2.</w:t>
            </w:r>
          </w:p>
        </w:tc>
        <w:tc>
          <w:tcPr>
            <w:tcW w:w="984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The information contained in the Quarterly Report fairly presents, in all material respects, the financial condition and results of operations of the Company.</w:t>
            </w:r>
          </w:p>
        </w:tc>
      </w:tr>
    </w:tbl>
    <w:p>
      <w:pPr>
        <w:pStyle w:val="TextBody"/>
        <w:bidi w:val="0"/>
        <w:jc w:val="left"/>
        <w:rPr>
          <w:rFonts w:ascii="Times New Roman" w:hAnsi="Times New Roman"/>
          <w:color w:val="000000"/>
          <w:sz w:val="16"/>
        </w:rPr>
      </w:pPr>
      <w:r>
        <w:rPr>
          <w:rFonts w:ascii="Times New Roman" w:hAnsi="Times New Roman"/>
          <w:color w:val="000000"/>
          <w:sz w:val="16"/>
        </w:rPr>
        <w:t>Date: August 8, 2024</w:t>
      </w:r>
    </w:p>
    <w:tbl>
      <w:tblPr>
        <w:tblW w:w="2270" w:type="dxa"/>
        <w:jc w:val="left"/>
        <w:tblInd w:w="0" w:type="dxa"/>
        <w:tblLayout w:type="fixed"/>
        <w:tblCellMar>
          <w:top w:w="28" w:type="dxa"/>
          <w:left w:w="28" w:type="dxa"/>
          <w:bottom w:w="28" w:type="dxa"/>
          <w:right w:w="28" w:type="dxa"/>
        </w:tblCellMar>
      </w:tblPr>
      <w:tblGrid>
        <w:gridCol w:w="124"/>
        <w:gridCol w:w="2146"/>
      </w:tblGrid>
      <w:tr>
        <w:trPr/>
        <w:tc>
          <w:tcPr>
            <w:tcW w:w="124"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4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 Brandon Satoren</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Brandon Satoren</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Chief Financial Officer</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(Principal Financial Officer)</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Wingdings">
    <w:altName w:val="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21483/000119312513361263/d505298dex99a1.htm" TargetMode="External"/><Relationship Id="rId3" Type="http://schemas.openxmlformats.org/officeDocument/2006/relationships/hyperlink" Target="https://www.sec.gov/Archives/edgar/data/1221483/000119312513361263/d505298dex99a1.htm" TargetMode="External"/><Relationship Id="rId4" Type="http://schemas.openxmlformats.org/officeDocument/2006/relationships/hyperlink" Target="https://www.sec.gov/Archives/edgar/data/1221483/000119312513361263/d505298dex99a1.htm" TargetMode="External"/><Relationship Id="rId5" Type="http://schemas.openxmlformats.org/officeDocument/2006/relationships/hyperlink" Target="https://www.sec.gov/Archives/edgar/data/1571329/000110465920090336/tm2026478d1_ex3-1.htm" TargetMode="External"/><Relationship Id="rId6" Type="http://schemas.openxmlformats.org/officeDocument/2006/relationships/hyperlink" Target="https://www.sec.gov/Archives/edgar/data/1571329/000110465920090336/tm2026478d1_ex3-1.htm" TargetMode="External"/><Relationship Id="rId7" Type="http://schemas.openxmlformats.org/officeDocument/2006/relationships/hyperlink" Target="https://www.sec.gov/Archives/edgar/data/1571329/000110465920090336/tm2026478d1_ex3-1.htm" TargetMode="External"/><Relationship Id="rId8" Type="http://schemas.openxmlformats.org/officeDocument/2006/relationships/hyperlink" Target="https://www.sec.gov/Archives/edgar/data/1221483/000119312513368161/d505298dex99a2.htm" TargetMode="External"/><Relationship Id="rId9" Type="http://schemas.openxmlformats.org/officeDocument/2006/relationships/hyperlink" Target="https://www.sec.gov/Archives/edgar/data/1221483/000119312513368161/d505298dex99a2.htm" TargetMode="External"/><Relationship Id="rId10" Type="http://schemas.openxmlformats.org/officeDocument/2006/relationships/hyperlink" Target="https://www.sec.gov/Archives/edgar/data/1221483/000119312513368161/d505298dex99a2.htm" TargetMode="External"/><Relationship Id="rId11" Type="http://schemas.openxmlformats.org/officeDocument/2006/relationships/hyperlink" Target="https://www.sec.gov/Archives/edgar/data/1221483/000119312513368161/d505298dex99a3.htm" TargetMode="External"/><Relationship Id="rId12" Type="http://schemas.openxmlformats.org/officeDocument/2006/relationships/hyperlink" Target="https://www.sec.gov/Archives/edgar/data/1221483/000119312513368161/d505298dex99a3.htm" TargetMode="External"/><Relationship Id="rId13" Type="http://schemas.openxmlformats.org/officeDocument/2006/relationships/hyperlink" Target="https://www.sec.gov/Archives/edgar/data/1221483/000119312513368161/d505298dex99a3.htm" TargetMode="External"/><Relationship Id="rId14" Type="http://schemas.openxmlformats.org/officeDocument/2006/relationships/hyperlink" Target="https://www.sec.gov/Archives/edgar/data/1221483/000119312513361263/d505298dex99b1.htm" TargetMode="External"/><Relationship Id="rId15" Type="http://schemas.openxmlformats.org/officeDocument/2006/relationships/hyperlink" Target="https://www.sec.gov/Archives/edgar/data/1221483/000119312513361263/d505298dex99b1.htm" TargetMode="External"/><Relationship Id="rId16" Type="http://schemas.openxmlformats.org/officeDocument/2006/relationships/hyperlink" Target="https://www.sec.gov/Archives/edgar/data/1221483/000119312513361263/d505298dex99b1.htm" TargetMode="External"/><Relationship Id="rId17" Type="http://schemas.openxmlformats.org/officeDocument/2006/relationships/hyperlink" Target="https://www.sec.gov/Archives/edgar/data/1571329/000119312513376445/d505298dex99b2.htm" TargetMode="External"/><Relationship Id="rId18" Type="http://schemas.openxmlformats.org/officeDocument/2006/relationships/hyperlink" Target="https://www.sec.gov/Archives/edgar/data/1571329/000119312513376445/d505298dex99b2.htm" TargetMode="External"/><Relationship Id="rId19" Type="http://schemas.openxmlformats.org/officeDocument/2006/relationships/hyperlink" Target="https://www.sec.gov/Archives/edgar/data/1571329/000119312513376445/d505298dex99b2.htm" TargetMode="External"/><Relationship Id="rId20" Type="http://schemas.openxmlformats.org/officeDocument/2006/relationships/hyperlink" Target="https://www.sec.gov/Archives/edgar/data/1571329/000119312513376445/d505298dex99b3.htm" TargetMode="External"/><Relationship Id="rId21" Type="http://schemas.openxmlformats.org/officeDocument/2006/relationships/hyperlink" Target="https://www.sec.gov/Archives/edgar/data/1571329/000119312513376445/d505298dex99b3.htm" TargetMode="External"/><Relationship Id="rId22" Type="http://schemas.openxmlformats.org/officeDocument/2006/relationships/hyperlink" Target="https://www.sec.gov/Archives/edgar/data/1571329/000119312513376445/d505298dex99b3.htm"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38145</Words>
  <Characters>207862</Characters>
  <CharactersWithSpaces>250311</CharactersWithSpaces>
  <Paragraphs>15583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