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FORM 10-Q</w:t>
            </w:r>
          </w:p>
        </w:tc>
        <w:tc>
          <w:tcPr>
            <w:tcW w:w="204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7520" w:type="dxa"/>
            <w:vAlign w:val="bottom"/>
            <w:gridSpan w:val="5"/>
          </w:tcPr>
          <w:p>
            <w:pPr>
              <w:jc w:val="center"/>
              <w:ind w:left="90"/>
              <w:spacing w:after="0"/>
              <w:rPr>
                <w:sz w:val="20"/>
                <w:szCs w:val="20"/>
                <w:color w:val="auto"/>
              </w:rPr>
            </w:pPr>
            <w:r>
              <w:rPr>
                <w:rFonts w:ascii="Arial" w:cs="Arial" w:eastAsia="Arial" w:hAnsi="Arial"/>
                <w:sz w:val="18"/>
                <w:szCs w:val="18"/>
                <w:color w:val="auto"/>
                <w:w w:val="92"/>
              </w:rPr>
              <w:t xml:space="preserve">x   </w:t>
            </w:r>
            <w:r>
              <w:rPr>
                <w:rFonts w:ascii="Arial" w:cs="Arial" w:eastAsia="Arial" w:hAnsi="Arial"/>
                <w:sz w:val="18"/>
                <w:szCs w:val="18"/>
                <w:b w:val="1"/>
                <w:bCs w:val="1"/>
                <w:color w:val="auto"/>
                <w:w w:val="92"/>
              </w:rPr>
              <w:t>Quarterly Report Pursuant to Section 13 or 15(d) of the Securities Exchange Act of 1934</w:t>
            </w:r>
          </w:p>
        </w:tc>
        <w:tc>
          <w:tcPr>
            <w:tcW w:w="2040" w:type="dxa"/>
            <w:vAlign w:val="bottom"/>
          </w:tcPr>
          <w:p>
            <w:pPr>
              <w:spacing w:after="0"/>
              <w:rPr>
                <w:sz w:val="24"/>
                <w:szCs w:val="24"/>
                <w:color w:val="auto"/>
              </w:rPr>
            </w:pPr>
          </w:p>
        </w:tc>
      </w:tr>
      <w:tr>
        <w:trPr>
          <w:trHeight w:val="432"/>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For the quarterly period ended June 30, 2018</w:t>
            </w:r>
          </w:p>
        </w:tc>
        <w:tc>
          <w:tcPr>
            <w:tcW w:w="2040" w:type="dxa"/>
            <w:vAlign w:val="bottom"/>
          </w:tcPr>
          <w:p>
            <w:pPr>
              <w:spacing w:after="0"/>
              <w:rPr>
                <w:sz w:val="24"/>
                <w:szCs w:val="24"/>
                <w:color w:val="auto"/>
              </w:rPr>
            </w:pPr>
          </w:p>
        </w:tc>
      </w:tr>
      <w:tr>
        <w:trPr>
          <w:trHeight w:val="452"/>
        </w:trPr>
        <w:tc>
          <w:tcPr>
            <w:tcW w:w="1860" w:type="dxa"/>
            <w:vAlign w:val="bottom"/>
          </w:tcPr>
          <w:p>
            <w:pPr>
              <w:spacing w:after="0"/>
              <w:rPr>
                <w:sz w:val="24"/>
                <w:szCs w:val="24"/>
                <w:color w:val="auto"/>
              </w:rPr>
            </w:pPr>
          </w:p>
        </w:tc>
        <w:tc>
          <w:tcPr>
            <w:tcW w:w="7520" w:type="dxa"/>
            <w:vAlign w:val="bottom"/>
            <w:gridSpan w:val="5"/>
          </w:tcPr>
          <w:p>
            <w:pPr>
              <w:jc w:val="center"/>
              <w:ind w:left="11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Transition Report Pursuant to Section 13 or 15(d) of the Securities Exchange Act of 1934</w:t>
            </w:r>
          </w:p>
        </w:tc>
        <w:tc>
          <w:tcPr>
            <w:tcW w:w="2040" w:type="dxa"/>
            <w:vAlign w:val="bottom"/>
          </w:tcPr>
          <w:p>
            <w:pPr>
              <w:spacing w:after="0"/>
              <w:rPr>
                <w:sz w:val="24"/>
                <w:szCs w:val="24"/>
                <w:color w:val="auto"/>
              </w:rPr>
            </w:pPr>
          </w:p>
        </w:tc>
      </w:tr>
      <w:tr>
        <w:trPr>
          <w:trHeight w:val="394"/>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040" w:type="dxa"/>
            <w:vAlign w:val="bottom"/>
          </w:tcPr>
          <w:p>
            <w:pPr>
              <w:spacing w:after="0"/>
              <w:rPr>
                <w:sz w:val="24"/>
                <w:szCs w:val="24"/>
                <w:color w:val="auto"/>
              </w:rPr>
            </w:pPr>
          </w:p>
        </w:tc>
      </w:tr>
      <w:tr>
        <w:trPr>
          <w:trHeight w:val="216"/>
        </w:trPr>
        <w:tc>
          <w:tcPr>
            <w:tcW w:w="186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Commission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18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File Number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186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0"/>
              </w:rPr>
              <w:t>814-01022</w:t>
            </w: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90-0945675</w:t>
            </w: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4201 Congress St., Suite 360</w:t>
            </w: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Charlotte, North Carolina</w:t>
            </w: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Telephone: (704) 376-5502</w:t>
            </w:r>
          </w:p>
        </w:tc>
        <w:tc>
          <w:tcPr>
            <w:tcW w:w="204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State of Incorporation: Maryland</w:t>
            </w:r>
          </w:p>
        </w:tc>
        <w:tc>
          <w:tcPr>
            <w:tcW w:w="20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Capitala Finance Corp.</w:t>
            </w:r>
          </w:p>
        </w:tc>
        <w:tc>
          <w:tcPr>
            <w:tcW w:w="2420" w:type="dxa"/>
            <w:vAlign w:val="bottom"/>
          </w:tcPr>
          <w:p>
            <w:pPr>
              <w:ind w:left="700"/>
              <w:spacing w:after="0"/>
              <w:rPr>
                <w:sz w:val="20"/>
                <w:szCs w:val="20"/>
                <w:color w:val="auto"/>
              </w:rPr>
            </w:pPr>
            <w:r>
              <w:rPr>
                <w:rFonts w:ascii="Arial" w:cs="Arial" w:eastAsia="Arial" w:hAnsi="Arial"/>
                <w:sz w:val="18"/>
                <w:szCs w:val="18"/>
                <w:color w:val="auto"/>
                <w:w w:val="95"/>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60"/>
              <w:spacing w:after="0"/>
              <w:rPr>
                <w:sz w:val="20"/>
                <w:szCs w:val="20"/>
                <w:color w:val="auto"/>
              </w:rPr>
            </w:pPr>
            <w:r>
              <w:rPr>
                <w:rFonts w:ascii="Arial" w:cs="Arial" w:eastAsia="Arial" w:hAnsi="Arial"/>
                <w:sz w:val="18"/>
                <w:szCs w:val="18"/>
                <w:color w:val="auto"/>
              </w:rPr>
              <w:t>x</w:t>
            </w:r>
          </w:p>
        </w:tc>
      </w:tr>
      <w:tr>
        <w:trPr>
          <w:trHeight w:val="432"/>
        </w:trPr>
        <w:tc>
          <w:tcPr>
            <w:tcW w:w="2280" w:type="dxa"/>
            <w:vAlign w:val="bottom"/>
          </w:tcPr>
          <w:p>
            <w:pPr>
              <w:spacing w:after="0"/>
              <w:rPr>
                <w:sz w:val="24"/>
                <w:szCs w:val="24"/>
                <w:color w:val="auto"/>
              </w:rPr>
            </w:pPr>
          </w:p>
        </w:tc>
        <w:tc>
          <w:tcPr>
            <w:tcW w:w="2420" w:type="dxa"/>
            <w:vAlign w:val="bottom"/>
          </w:tcPr>
          <w:p>
            <w:pPr>
              <w:ind w:left="700"/>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gridSpan w:val="2"/>
          </w:tcPr>
          <w:p>
            <w:pPr>
              <w:ind w:left="600"/>
              <w:spacing w:after="0"/>
              <w:rPr>
                <w:sz w:val="20"/>
                <w:szCs w:val="20"/>
                <w:color w:val="auto"/>
              </w:rPr>
            </w:pPr>
            <w:r>
              <w:rPr>
                <w:rFonts w:ascii="Arial" w:cs="Arial" w:eastAsia="Arial" w:hAnsi="Arial"/>
                <w:sz w:val="18"/>
                <w:szCs w:val="18"/>
                <w:color w:val="auto"/>
                <w:w w:val="97"/>
              </w:rPr>
              <w:t>Smaller reporting company</w:t>
            </w:r>
          </w:p>
        </w:tc>
        <w:tc>
          <w:tcPr>
            <w:tcW w:w="18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2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20" w:type="dxa"/>
            <w:vAlign w:val="bottom"/>
            <w:gridSpan w:val="2"/>
          </w:tcPr>
          <w:p>
            <w:pPr>
              <w:ind w:left="600"/>
              <w:spacing w:after="0"/>
              <w:rPr>
                <w:sz w:val="20"/>
                <w:szCs w:val="20"/>
                <w:color w:val="auto"/>
              </w:rPr>
            </w:pPr>
            <w:r>
              <w:rPr>
                <w:rFonts w:ascii="Arial" w:cs="Arial" w:eastAsia="Arial" w:hAnsi="Arial"/>
                <w:sz w:val="18"/>
                <w:szCs w:val="18"/>
                <w:color w:val="auto"/>
                <w:w w:val="98"/>
              </w:rPr>
              <w:t>Emerging growth company</w:t>
            </w:r>
          </w:p>
        </w:tc>
        <w:tc>
          <w:tcPr>
            <w:tcW w:w="1860" w:type="dxa"/>
            <w:vAlign w:val="bottom"/>
          </w:tcPr>
          <w:p>
            <w:pPr>
              <w:ind w:left="160"/>
              <w:spacing w:after="0"/>
              <w:rPr>
                <w:sz w:val="20"/>
                <w:szCs w:val="20"/>
                <w:color w:val="auto"/>
              </w:rPr>
            </w:pPr>
            <w:r>
              <w:rPr>
                <w:rFonts w:ascii="Arial" w:cs="Arial" w:eastAsia="Arial" w:hAnsi="Arial"/>
                <w:sz w:val="18"/>
                <w:szCs w:val="18"/>
                <w:color w:val="auto"/>
              </w:rPr>
              <w:t>x</w:t>
            </w:r>
          </w:p>
        </w:tc>
      </w:tr>
      <w:tr>
        <w:trPr>
          <w:trHeight w:val="385"/>
        </w:trPr>
        <w:tc>
          <w:tcPr>
            <w:tcW w:w="11420" w:type="dxa"/>
            <w:vAlign w:val="bottom"/>
            <w:gridSpan w:val="6"/>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8240" w:type="dxa"/>
            <w:vAlign w:val="bottom"/>
            <w:gridSpan w:val="4"/>
          </w:tcPr>
          <w:p>
            <w:pPr>
              <w:spacing w:after="0"/>
              <w:rPr>
                <w:sz w:val="20"/>
                <w:szCs w:val="20"/>
                <w:color w:val="auto"/>
              </w:rPr>
            </w:pPr>
            <w:r>
              <w:rPr>
                <w:rFonts w:ascii="Arial" w:cs="Arial" w:eastAsia="Arial" w:hAnsi="Arial"/>
                <w:sz w:val="18"/>
                <w:szCs w:val="18"/>
                <w:color w:val="auto"/>
                <w:w w:val="96"/>
              </w:rPr>
              <w:t>new or revised financial accounting standards provided pursuant to Section 7(a)(2)(B) of the Securities Act.</w:t>
            </w:r>
          </w:p>
        </w:tc>
        <w:tc>
          <w:tcPr>
            <w:tcW w:w="1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860" w:type="dxa"/>
            <w:vAlign w:val="bottom"/>
          </w:tcPr>
          <w:p>
            <w:pPr>
              <w:spacing w:after="0"/>
              <w:rPr>
                <w:sz w:val="24"/>
                <w:szCs w:val="24"/>
                <w:color w:val="auto"/>
              </w:rPr>
            </w:pPr>
          </w:p>
        </w:tc>
      </w:tr>
      <w:tr>
        <w:trPr>
          <w:trHeight w:val="412"/>
        </w:trPr>
        <w:tc>
          <w:tcPr>
            <w:tcW w:w="9560" w:type="dxa"/>
            <w:vAlign w:val="bottom"/>
            <w:gridSpan w:val="5"/>
          </w:tcPr>
          <w:p>
            <w:pPr>
              <w:ind w:left="660"/>
              <w:spacing w:after="0"/>
              <w:rPr>
                <w:sz w:val="20"/>
                <w:szCs w:val="20"/>
                <w:color w:val="auto"/>
              </w:rPr>
            </w:pPr>
            <w:r>
              <w:rPr>
                <w:rFonts w:ascii="Arial" w:cs="Arial" w:eastAsia="Arial" w:hAnsi="Arial"/>
                <w:sz w:val="18"/>
                <w:szCs w:val="18"/>
                <w:color w:val="auto"/>
                <w:w w:val="98"/>
              </w:rPr>
              <w:t>Indicate by check mark whether the registrant is a shell company (as defined in Rule 12b-2 of the Exchange Act).</w:t>
            </w:r>
          </w:p>
        </w:tc>
        <w:tc>
          <w:tcPr>
            <w:tcW w:w="1860" w:type="dxa"/>
            <w:vAlign w:val="bottom"/>
          </w:tcPr>
          <w:p>
            <w:pPr>
              <w:spacing w:after="0"/>
              <w:rPr>
                <w:sz w:val="24"/>
                <w:szCs w:val="24"/>
                <w:color w:val="auto"/>
              </w:rPr>
            </w:pPr>
          </w:p>
        </w:tc>
      </w:tr>
      <w:tr>
        <w:trPr>
          <w:trHeight w:val="452"/>
        </w:trPr>
        <w:tc>
          <w:tcPr>
            <w:tcW w:w="2280" w:type="dxa"/>
            <w:vAlign w:val="bottom"/>
          </w:tcPr>
          <w:p>
            <w:pPr>
              <w:spacing w:after="0"/>
              <w:rPr>
                <w:sz w:val="24"/>
                <w:szCs w:val="24"/>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w w:val="97"/>
              </w:rPr>
              <w:t>Capitala Finance Corp.</w:t>
            </w:r>
          </w:p>
        </w:tc>
        <w:tc>
          <w:tcPr>
            <w:tcW w:w="2140" w:type="dxa"/>
            <w:vAlign w:val="bottom"/>
          </w:tcPr>
          <w:p>
            <w:pPr>
              <w:ind w:left="1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400" w:type="dxa"/>
            <w:vAlign w:val="bottom"/>
          </w:tcPr>
          <w:p>
            <w:pPr>
              <w:ind w:left="1160"/>
              <w:spacing w:after="0"/>
              <w:rPr>
                <w:sz w:val="20"/>
                <w:szCs w:val="20"/>
                <w:color w:val="auto"/>
              </w:rPr>
            </w:pPr>
            <w:r>
              <w:rPr>
                <w:rFonts w:ascii="Arial" w:cs="Arial" w:eastAsia="Arial" w:hAnsi="Arial"/>
                <w:sz w:val="18"/>
                <w:szCs w:val="18"/>
                <w:color w:val="auto"/>
                <w:w w:val="95"/>
              </w:rPr>
              <w:t>No</w:t>
            </w:r>
          </w:p>
        </w:tc>
        <w:tc>
          <w:tcPr>
            <w:tcW w:w="13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860" w:type="dxa"/>
            <w:vAlign w:val="bottom"/>
          </w:tcPr>
          <w:p>
            <w:pPr>
              <w:spacing w:after="0"/>
              <w:rPr>
                <w:sz w:val="24"/>
                <w:szCs w:val="24"/>
                <w:color w:val="auto"/>
              </w:rPr>
            </w:pPr>
          </w:p>
        </w:tc>
      </w:tr>
      <w:tr>
        <w:trPr>
          <w:trHeight w:val="34"/>
        </w:trPr>
        <w:tc>
          <w:tcPr>
            <w:tcW w:w="2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of Capitala Finance Corp.’s common stock, $0.01 par value, outstanding as of August 3, 2018 was 16,001,205.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2018 (unaudited) and December 31, 2017</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2018 and 2017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Net Assets for the six months ended June 30, 2018 and 2017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six months ended June 30, 2018 and 2017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as of June 30, 2018 (unaudited) and December 31, 2017</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Consolidated Financial Statements as of June 30, 2018 (unaudited)</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73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73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Legal Proceedings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73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1A.</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Defaults Upon Senior Securities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5.</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75</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76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460" w:type="dxa"/>
            <w:vAlign w:val="bottom"/>
            <w:tcBorders>
              <w:top w:val="single" w:sz="8" w:color="CCEEFF"/>
              <w:bottom w:val="single" w:sz="8" w:color="auto"/>
            </w:tcBorders>
            <w:gridSpan w:val="12"/>
          </w:tcPr>
          <w:p>
            <w:pPr>
              <w:ind w:left="452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8"/>
              </w:rPr>
              <w:t>June 30, 2018</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December 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$236,344 and $298,132, respectively)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253,813</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$98,046 and $77,336,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118,664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$92,357 and $89,559,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110,784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$426,747 and $465,027, respectively)</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40,826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3,420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SBA debentures (net of deferred financing costs of $1,995 and $2,300,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168,705</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2022 Notes (net of deferred financing costs of $2,245 and $2,496,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72,755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2022 Convertible Notes (net of deferred financing costs of $1,423 and $1,583,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50,665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(net of deferred financing costs of $1,078 and $1,293,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Trade settlement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Written call option at fair value (proceeds of $20 and $20,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6,815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308,540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$.01, 100,000,000 common shares authorized, 15,994,690 and 15,951,231 common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241,350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16,541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net realized losses from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(88,459)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net of deferred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56,520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527,857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13.71</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60" w:type="dxa"/>
            <w:vAlign w:val="bottom"/>
            <w:tcBorders>
              <w:bottom w:val="single" w:sz="8" w:color="auto"/>
            </w:tcBorders>
          </w:tcPr>
          <w:p>
            <w:pPr>
              <w:jc w:val="center"/>
              <w:ind w:left="3150"/>
              <w:spacing w:after="0"/>
              <w:rPr>
                <w:sz w:val="20"/>
                <w:szCs w:val="20"/>
                <w:color w:val="auto"/>
              </w:rPr>
            </w:pPr>
            <w:r>
              <w:rPr>
                <w:rFonts w:ascii="Arial" w:cs="Arial" w:eastAsia="Arial" w:hAnsi="Arial"/>
                <w:sz w:val="18"/>
                <w:szCs w:val="18"/>
                <w:color w:val="auto"/>
                <w:w w:val="79"/>
              </w:rPr>
              <w:t>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60" w:type="dxa"/>
            <w:vAlign w:val="bottom"/>
            <w:gridSpan w:val="5"/>
          </w:tcPr>
          <w:p>
            <w:pPr>
              <w:jc w:val="center"/>
              <w:ind w:left="4250"/>
              <w:spacing w:after="0"/>
              <w:rPr>
                <w:sz w:val="20"/>
                <w:szCs w:val="20"/>
                <w:color w:val="auto"/>
              </w:rPr>
            </w:pPr>
            <w:r>
              <w:rPr>
                <w:rFonts w:ascii="Arial" w:cs="Arial" w:eastAsia="Arial" w:hAnsi="Arial"/>
                <w:sz w:val="18"/>
                <w:szCs w:val="18"/>
                <w:b w:val="1"/>
                <w:bCs w:val="1"/>
                <w:color w:val="auto"/>
                <w:w w:val="92"/>
              </w:rPr>
              <w:t>Capitala Finance Corp.</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20" w:type="dxa"/>
            <w:vAlign w:val="bottom"/>
            <w:gridSpan w:val="6"/>
          </w:tcPr>
          <w:p>
            <w:pPr>
              <w:jc w:val="center"/>
              <w:ind w:left="37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gridSpan w:val="5"/>
          </w:tcPr>
          <w:p>
            <w:pPr>
              <w:jc w:val="center"/>
              <w:ind w:left="4230"/>
              <w:spacing w:after="0"/>
              <w:rPr>
                <w:sz w:val="20"/>
                <w:szCs w:val="20"/>
                <w:color w:val="auto"/>
              </w:rPr>
            </w:pPr>
            <w:r>
              <w:rPr>
                <w:rFonts w:ascii="Arial" w:cs="Arial" w:eastAsia="Arial" w:hAnsi="Arial"/>
                <w:sz w:val="18"/>
                <w:szCs w:val="18"/>
                <w:b w:val="1"/>
                <w:bCs w:val="1"/>
                <w:color w:val="auto"/>
                <w:w w:val="91"/>
              </w:rPr>
              <w:t>(unaudited)</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80" w:type="dxa"/>
            <w:vAlign w:val="bottom"/>
            <w:gridSpan w:val="7"/>
          </w:tcPr>
          <w:p>
            <w:pPr>
              <w:ind w:left="100"/>
              <w:spacing w:after="0"/>
              <w:rPr>
                <w:sz w:val="20"/>
                <w:szCs w:val="20"/>
                <w:color w:val="auto"/>
              </w:rPr>
            </w:pPr>
            <w:r>
              <w:rPr>
                <w:rFonts w:ascii="Arial" w:cs="Arial" w:eastAsia="Arial" w:hAnsi="Arial"/>
                <w:sz w:val="18"/>
                <w:szCs w:val="18"/>
                <w:b w:val="1"/>
                <w:bCs w:val="1"/>
                <w:color w:val="auto"/>
                <w:w w:val="93"/>
              </w:rPr>
              <w:t>For the Three Months Ended June 30</w:t>
            </w:r>
          </w:p>
        </w:tc>
        <w:tc>
          <w:tcPr>
            <w:tcW w:w="80" w:type="dxa"/>
            <w:vAlign w:val="bottom"/>
          </w:tcPr>
          <w:p>
            <w:pPr>
              <w:spacing w:after="0"/>
              <w:rPr>
                <w:sz w:val="24"/>
                <w:szCs w:val="24"/>
                <w:color w:val="auto"/>
              </w:rPr>
            </w:pP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4"/>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2,077</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10,782</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from cash and cash equivalents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4,331</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2,314</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2,229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fee waivers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4,231</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 INVESTMENTS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WRITTEN CALL OPTION:</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(22,622)</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25,093</w:t>
            </w: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(6,454)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27,227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2,128</w:t>
            </w:r>
          </w:p>
        </w:tc>
        <w:tc>
          <w:tcPr>
            <w:tcW w:w="4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Net realized and unrealized loss on investments and written call option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w w:val="92"/>
              </w:rPr>
              <w:t>Total net realized and unrealized gain (loss) on investments and written</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call option, net of taxes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4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INCREASE (DECREASE) IN NET ASSETS RESULTING FROM</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 PER SHARE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RESULTING FROM OPERATIONS – BASIC (SEE NOTE 11)</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STOCK OUTSTANDING - BASIC</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15,981,857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15,889,682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15,970,599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15,881,712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 PER SHARE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RESULTING FROM OPERATIONS – DILUTED (SEE NOTE 11)</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STOCK OUTSTANDING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19,297,331</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15,889,682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19,286,073</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15,881,712</w:t>
            </w:r>
          </w:p>
        </w:tc>
        <w:tc>
          <w:tcPr>
            <w:tcW w:w="0" w:type="dxa"/>
            <w:vAlign w:val="bottom"/>
          </w:tcPr>
          <w:p>
            <w:pPr>
              <w:spacing w:after="0"/>
              <w:rPr>
                <w:sz w:val="1"/>
                <w:szCs w:val="1"/>
                <w:color w:val="auto"/>
              </w:rPr>
            </w:pPr>
          </w:p>
        </w:tc>
      </w:tr>
    </w:tbl>
    <w:p>
      <w:pPr>
        <w:sectPr>
          <w:pgSz w:w="11900" w:h="16843" w:orient="portrait"/>
          <w:cols w:equalWidth="0" w:num="1">
            <w:col w:w="11420"/>
          </w:cols>
          <w:pgMar w:left="240" w:top="796" w:right="239" w:bottom="0" w:gutter="0" w:footer="0" w:header="0"/>
        </w:sectPr>
      </w:pPr>
    </w:p>
    <w:bookmarkStart w:id="4" w:name="page5"/>
    <w:bookmarkEnd w:id="4"/>
    <w:p>
      <w:pPr>
        <w:spacing w:after="0"/>
        <w:tabs>
          <w:tab w:leader="none" w:pos="5540" w:val="left"/>
          <w:tab w:leader="none" w:pos="6540" w:val="left"/>
          <w:tab w:leader="none" w:pos="7060" w:val="left"/>
          <w:tab w:leader="none" w:pos="8060" w:val="left"/>
          <w:tab w:leader="none" w:pos="8600" w:val="left"/>
          <w:tab w:leader="none" w:pos="9520" w:val="left"/>
          <w:tab w:leader="none" w:pos="10040" w:val="left"/>
          <w:tab w:leader="none" w:pos="10980" w:val="left"/>
        </w:tabs>
        <w:rPr>
          <w:sz w:val="20"/>
          <w:szCs w:val="20"/>
          <w:color w:val="auto"/>
        </w:rPr>
      </w:pPr>
      <w:r>
        <w:rPr>
          <w:rFonts w:ascii="Arial" w:cs="Arial" w:eastAsia="Arial" w:hAnsi="Arial"/>
          <w:sz w:val="18"/>
          <w:szCs w:val="18"/>
          <w:color w:val="auto"/>
        </w:rPr>
        <w:t>DISTRIBUTIONS PAID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0.25</w:t>
        <w:tab/>
        <w:t>$</w:t>
      </w:r>
      <w:r>
        <w:rPr>
          <w:sz w:val="20"/>
          <w:szCs w:val="20"/>
          <w:color w:val="auto"/>
        </w:rPr>
        <w:tab/>
      </w:r>
      <w:r>
        <w:rPr>
          <w:rFonts w:ascii="Arial" w:cs="Arial" w:eastAsia="Arial" w:hAnsi="Arial"/>
          <w:sz w:val="18"/>
          <w:szCs w:val="18"/>
          <w:color w:val="auto"/>
        </w:rPr>
        <w:t>0.39</w:t>
        <w:tab/>
        <w:t>$</w:t>
      </w:r>
      <w:r>
        <w:rPr>
          <w:sz w:val="20"/>
          <w:szCs w:val="20"/>
          <w:color w:val="auto"/>
        </w:rPr>
        <w:tab/>
      </w:r>
      <w:r>
        <w:rPr>
          <w:rFonts w:ascii="Arial" w:cs="Arial" w:eastAsia="Arial" w:hAnsi="Arial"/>
          <w:sz w:val="18"/>
          <w:szCs w:val="18"/>
          <w:color w:val="auto"/>
        </w:rPr>
        <w:t>0.50</w:t>
        <w:tab/>
        <w:t>$</w:t>
      </w:r>
      <w:r>
        <w:rPr>
          <w:sz w:val="20"/>
          <w:szCs w:val="20"/>
          <w:color w:val="auto"/>
        </w:rPr>
        <w:tab/>
      </w:r>
      <w:r>
        <w:rPr>
          <w:rFonts w:ascii="Arial" w:cs="Arial" w:eastAsia="Arial" w:hAnsi="Arial"/>
          <w:sz w:val="16"/>
          <w:szCs w:val="16"/>
          <w:color w:val="auto"/>
        </w:rPr>
        <w:t>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99"/>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Undistributed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on</w:t>
            </w:r>
          </w:p>
        </w:tc>
        <w:tc>
          <w:tcPr>
            <w:tcW w:w="80" w:type="dxa"/>
            <w:vAlign w:val="bottom"/>
          </w:tcPr>
          <w:p>
            <w:pPr>
              <w:spacing w:after="0"/>
              <w:rPr>
                <w:sz w:val="12"/>
                <w:szCs w:val="12"/>
                <w:color w:val="auto"/>
              </w:rPr>
            </w:pPr>
          </w:p>
        </w:tc>
        <w:tc>
          <w:tcPr>
            <w:tcW w:w="920" w:type="dxa"/>
            <w:vAlign w:val="bottom"/>
            <w:gridSpan w:val="3"/>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Investments,</w:t>
            </w:r>
          </w:p>
        </w:tc>
        <w:tc>
          <w:tcPr>
            <w:tcW w:w="10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7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8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net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3"/>
              </w:rPr>
              <w:t>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 in</w:t>
            </w:r>
          </w:p>
        </w:tc>
        <w:tc>
          <w:tcPr>
            <w:tcW w:w="8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0"/>
                <w:szCs w:val="10"/>
                <w:color w:val="auto"/>
              </w:rPr>
            </w:pPr>
          </w:p>
        </w:tc>
        <w:tc>
          <w:tcPr>
            <w:tcW w:w="920" w:type="dxa"/>
            <w:vAlign w:val="bottom"/>
            <w:gridSpan w:val="2"/>
          </w:tcPr>
          <w:p>
            <w:pPr>
              <w:jc w:val="right"/>
              <w:ind w:right="399"/>
              <w:spacing w:after="0" w:line="119" w:lineRule="exact"/>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Deferred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99"/>
              <w:spacing w:after="0" w:line="119" w:lineRule="exact"/>
              <w:rPr>
                <w:sz w:val="20"/>
                <w:szCs w:val="20"/>
                <w:color w:val="auto"/>
              </w:rPr>
            </w:pPr>
            <w:r>
              <w:rPr>
                <w:rFonts w:ascii="Arial" w:cs="Arial" w:eastAsia="Arial" w:hAnsi="Arial"/>
                <w:sz w:val="13"/>
                <w:szCs w:val="13"/>
                <w:b w:val="1"/>
                <w:bCs w:val="1"/>
                <w:color w:val="auto"/>
              </w:rPr>
              <w:t>Written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9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w w:val="90"/>
              </w:rPr>
              <w:t>(Losses)</w:t>
            </w: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Pr>
          <w:p>
            <w:pPr>
              <w:spacing w:after="0"/>
              <w:rPr>
                <w:sz w:val="14"/>
                <w:szCs w:val="14"/>
                <w:color w:val="auto"/>
              </w:rPr>
            </w:pPr>
          </w:p>
        </w:tc>
        <w:tc>
          <w:tcPr>
            <w:tcW w:w="92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6"/>
              </w:rPr>
              <w:t>Call Option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15,868,045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240,184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22,973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(37,881)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27,863</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(2,716)</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6,894</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realized gain from investments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9,534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 depreciation 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(14,659)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(14,659)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change in unrealized depreciation on written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call option</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(2,412)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34,450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Distributions declared</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(12,388)</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(12,388)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June 30, 2017</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15,902,495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240,633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17,479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(28,347</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13,204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(5,128</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238,000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15,951,231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241,027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15,854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(61,982)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33,623</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(6,795)</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8,669</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realized loss from investments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(26,477)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 appreciation 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21,602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21,602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benefit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43,459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Distributions declared</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(7,982)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June 30, 2018</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15,994,690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241,350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16,541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(88,459</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56,520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(6,795</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219,317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jc w:val="center"/>
              <w:ind w:left="2990"/>
              <w:spacing w:after="0"/>
              <w:rPr>
                <w:sz w:val="20"/>
                <w:szCs w:val="20"/>
                <w:color w:val="auto"/>
              </w:rPr>
            </w:pPr>
            <w:r>
              <w:rPr>
                <w:rFonts w:ascii="Arial" w:cs="Arial" w:eastAsia="Arial" w:hAnsi="Arial"/>
                <w:sz w:val="18"/>
                <w:szCs w:val="18"/>
                <w:b w:val="1"/>
                <w:bCs w:val="1"/>
                <w:color w:val="auto"/>
                <w:w w:val="92"/>
              </w:rPr>
              <w:t>Capitala Finance Corp.</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91"/>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increase (decrease) in net assets resulting from operations</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5,089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Adjustments to reconcile net increase in net assets resulting from operations to net cash provided by operating</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(38,976)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Net realized (gain) loss on investments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26,477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 on investments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Net unrealized depreciation on written call option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and dividend receivable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Management and incentive fees payable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and financing fees payable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settlement payable</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Payments to Credit Facility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2022 Notes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Issuance of 2022 Convertible Notes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2021 Notes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Distributions paid to shareholders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fees paid</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7"/>
          <w:szCs w:val="17"/>
          <w:color w:val="auto"/>
        </w:rPr>
        <w:t>NET 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9,605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40,586</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31,221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36,281</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76,867</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6"/>
              </w:rPr>
              <w:t xml:space="preserve">Portfolio Company, Country </w:t>
            </w:r>
            <w:r>
              <w:rPr>
                <w:rFonts w:ascii="Arial" w:cs="Arial" w:eastAsia="Arial" w:hAnsi="Arial"/>
                <w:sz w:val="23"/>
                <w:szCs w:val="23"/>
                <w:b w:val="1"/>
                <w:bCs w:val="1"/>
                <w:color w:val="auto"/>
                <w:w w:val="96"/>
                <w:vertAlign w:val="superscript"/>
              </w:rPr>
              <w:t>(1), (2), (3), (4)</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30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Type of Investment</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Non-control/non-affiliated investments - 115.7%</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Non-control/non-affiliated investments - United</w:t>
            </w: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13" w:lineRule="exact"/>
        <w:rPr>
          <w:sz w:val="20"/>
          <w:szCs w:val="20"/>
          <w:color w:val="auto"/>
        </w:rPr>
      </w:pPr>
    </w:p>
    <w:p>
      <w:pPr>
        <w:spacing w:after="0"/>
        <w:tabs>
          <w:tab w:leader="none" w:pos="3040" w:val="left"/>
        </w:tabs>
        <w:rPr>
          <w:sz w:val="20"/>
          <w:szCs w:val="20"/>
          <w:color w:val="auto"/>
        </w:rPr>
      </w:pPr>
      <w:r>
        <w:rPr>
          <w:rFonts w:ascii="Arial" w:cs="Arial" w:eastAsia="Arial" w:hAnsi="Arial"/>
          <w:sz w:val="14"/>
          <w:szCs w:val="14"/>
          <w:color w:val="auto"/>
        </w:rPr>
        <w:t>3 Bridge Solutions, LLC</w:t>
      </w:r>
      <w:r>
        <w:rPr>
          <w:sz w:val="20"/>
          <w:szCs w:val="20"/>
          <w:color w:val="auto"/>
        </w:rPr>
        <w:tab/>
      </w:r>
      <w:r>
        <w:rPr>
          <w:rFonts w:ascii="Arial" w:cs="Arial" w:eastAsia="Arial" w:hAnsi="Arial"/>
          <w:sz w:val="13"/>
          <w:szCs w:val="13"/>
          <w:color w:val="auto"/>
        </w:rPr>
        <w:t>IT Consulting</w:t>
      </w:r>
    </w:p>
    <w:p>
      <w:pPr>
        <w:spacing w:after="0" w:line="285" w:lineRule="exact"/>
        <w:rPr>
          <w:sz w:val="20"/>
          <w:szCs w:val="20"/>
          <w:color w:val="auto"/>
        </w:rPr>
      </w:pPr>
    </w:p>
    <w:p>
      <w:pPr>
        <w:spacing w:after="0"/>
        <w:tabs>
          <w:tab w:leader="none" w:pos="3040" w:val="left"/>
        </w:tabs>
        <w:rPr>
          <w:sz w:val="20"/>
          <w:szCs w:val="20"/>
          <w:color w:val="auto"/>
        </w:rPr>
      </w:pPr>
      <w:r>
        <w:rPr>
          <w:rFonts w:ascii="Arial" w:cs="Arial" w:eastAsia="Arial" w:hAnsi="Arial"/>
          <w:sz w:val="14"/>
          <w:szCs w:val="14"/>
          <w:color w:val="auto"/>
        </w:rPr>
        <w:t>3 Bridge Solutions, LLC</w:t>
      </w:r>
      <w:r>
        <w:rPr>
          <w:sz w:val="20"/>
          <w:szCs w:val="20"/>
          <w:color w:val="auto"/>
        </w:rPr>
        <w:tab/>
      </w:r>
      <w:r>
        <w:rPr>
          <w:rFonts w:ascii="Arial" w:cs="Arial" w:eastAsia="Arial" w:hAnsi="Arial"/>
          <w:sz w:val="13"/>
          <w:szCs w:val="13"/>
          <w:color w:val="auto"/>
        </w:rPr>
        <w:t>IT Consulting</w:t>
      </w:r>
    </w:p>
    <w:p>
      <w:pPr>
        <w:spacing w:after="0" w:line="177" w:lineRule="exact"/>
        <w:rPr>
          <w:sz w:val="20"/>
          <w:szCs w:val="20"/>
          <w:color w:val="auto"/>
        </w:rPr>
      </w:pPr>
    </w:p>
    <w:p>
      <w:pPr>
        <w:spacing w:after="0"/>
        <w:tabs>
          <w:tab w:leader="none" w:pos="3040" w:val="left"/>
        </w:tabs>
        <w:rPr>
          <w:sz w:val="20"/>
          <w:szCs w:val="20"/>
          <w:color w:val="auto"/>
        </w:rPr>
      </w:pPr>
      <w:r>
        <w:rPr>
          <w:rFonts w:ascii="Arial" w:cs="Arial" w:eastAsia="Arial" w:hAnsi="Arial"/>
          <w:sz w:val="14"/>
          <w:szCs w:val="14"/>
          <w:color w:val="auto"/>
        </w:rPr>
        <w:t>3 Bridge Solutions, LLC</w:t>
      </w:r>
      <w:r>
        <w:rPr>
          <w:sz w:val="20"/>
          <w:szCs w:val="20"/>
          <w:color w:val="auto"/>
        </w:rPr>
        <w:tab/>
      </w:r>
      <w:r>
        <w:rPr>
          <w:rFonts w:ascii="Arial" w:cs="Arial" w:eastAsia="Arial" w:hAnsi="Arial"/>
          <w:sz w:val="13"/>
          <w:szCs w:val="13"/>
          <w:color w:val="auto"/>
        </w:rPr>
        <w:t>IT Consulting</w:t>
      </w:r>
    </w:p>
    <w:p>
      <w:pPr>
        <w:spacing w:after="0" w:line="200" w:lineRule="exact"/>
        <w:rPr>
          <w:sz w:val="20"/>
          <w:szCs w:val="20"/>
          <w:color w:val="auto"/>
        </w:rPr>
      </w:pPr>
    </w:p>
    <w:p>
      <w:pPr>
        <w:spacing w:after="0" w:line="287" w:lineRule="exact"/>
        <w:rPr>
          <w:sz w:val="20"/>
          <w:szCs w:val="20"/>
          <w:color w:val="auto"/>
        </w:rPr>
      </w:pPr>
    </w:p>
    <w:p>
      <w:pPr>
        <w:spacing w:after="0"/>
        <w:tabs>
          <w:tab w:leader="none" w:pos="3040" w:val="left"/>
        </w:tabs>
        <w:rPr>
          <w:sz w:val="20"/>
          <w:szCs w:val="20"/>
          <w:color w:val="auto"/>
        </w:rPr>
      </w:pPr>
      <w:r>
        <w:rPr>
          <w:rFonts w:ascii="Arial" w:cs="Arial" w:eastAsia="Arial" w:hAnsi="Arial"/>
          <w:sz w:val="14"/>
          <w:szCs w:val="14"/>
          <w:color w:val="auto"/>
        </w:rPr>
        <w:t>Alternative Biomedical Solutions, LLC</w:t>
      </w:r>
      <w:r>
        <w:rPr>
          <w:sz w:val="20"/>
          <w:szCs w:val="20"/>
          <w:color w:val="auto"/>
        </w:rPr>
        <w:tab/>
      </w:r>
      <w:r>
        <w:rPr>
          <w:rFonts w:ascii="Arial" w:cs="Arial" w:eastAsia="Arial" w:hAnsi="Arial"/>
          <w:sz w:val="12"/>
          <w:szCs w:val="12"/>
          <w:color w:val="auto"/>
        </w:rPr>
        <w:t>Healthcare</w:t>
      </w:r>
    </w:p>
    <w:p>
      <w:pPr>
        <w:spacing w:after="0" w:line="177" w:lineRule="exact"/>
        <w:rPr>
          <w:sz w:val="20"/>
          <w:szCs w:val="20"/>
          <w:color w:val="auto"/>
        </w:rPr>
      </w:pPr>
    </w:p>
    <w:p>
      <w:pPr>
        <w:spacing w:after="0"/>
        <w:tabs>
          <w:tab w:leader="none" w:pos="3040" w:val="left"/>
        </w:tabs>
        <w:rPr>
          <w:sz w:val="20"/>
          <w:szCs w:val="20"/>
          <w:color w:val="auto"/>
        </w:rPr>
      </w:pPr>
      <w:r>
        <w:rPr>
          <w:rFonts w:ascii="Arial" w:cs="Arial" w:eastAsia="Arial" w:hAnsi="Arial"/>
          <w:sz w:val="14"/>
          <w:szCs w:val="14"/>
          <w:color w:val="auto"/>
        </w:rPr>
        <w:t>Alternative Biomedical Solutions, LLC</w:t>
      </w:r>
      <w:r>
        <w:rPr>
          <w:sz w:val="20"/>
          <w:szCs w:val="20"/>
          <w:color w:val="auto"/>
        </w:rPr>
        <w:tab/>
      </w:r>
      <w:r>
        <w:rPr>
          <w:rFonts w:ascii="Arial" w:cs="Arial" w:eastAsia="Arial" w:hAnsi="Arial"/>
          <w:sz w:val="12"/>
          <w:szCs w:val="12"/>
          <w:color w:val="auto"/>
        </w:rPr>
        <w:t>Healthcare</w:t>
      </w:r>
    </w:p>
    <w:p>
      <w:pPr>
        <w:spacing w:after="0" w:line="200" w:lineRule="exact"/>
        <w:rPr>
          <w:sz w:val="20"/>
          <w:szCs w:val="20"/>
          <w:color w:val="auto"/>
        </w:rPr>
      </w:pPr>
    </w:p>
    <w:p>
      <w:pPr>
        <w:spacing w:after="0" w:line="274" w:lineRule="exact"/>
        <w:rPr>
          <w:sz w:val="20"/>
          <w:szCs w:val="20"/>
          <w:color w:val="auto"/>
        </w:rPr>
      </w:pPr>
    </w:p>
    <w:p>
      <w:pPr>
        <w:spacing w:after="0"/>
        <w:tabs>
          <w:tab w:leader="none" w:pos="3040" w:val="left"/>
        </w:tabs>
        <w:rPr>
          <w:sz w:val="20"/>
          <w:szCs w:val="20"/>
          <w:color w:val="auto"/>
        </w:rPr>
      </w:pPr>
      <w:r>
        <w:rPr>
          <w:rFonts w:ascii="Arial" w:cs="Arial" w:eastAsia="Arial" w:hAnsi="Arial"/>
          <w:sz w:val="14"/>
          <w:szCs w:val="14"/>
          <w:color w:val="auto"/>
        </w:rPr>
        <w:t>American Clinical Solutions, LLC</w:t>
      </w:r>
      <w:r>
        <w:rPr>
          <w:sz w:val="20"/>
          <w:szCs w:val="20"/>
          <w:color w:val="auto"/>
        </w:rPr>
        <w:tab/>
      </w:r>
      <w:r>
        <w:rPr>
          <w:rFonts w:ascii="Arial" w:cs="Arial" w:eastAsia="Arial" w:hAnsi="Arial"/>
          <w:sz w:val="12"/>
          <w:szCs w:val="12"/>
          <w:color w:val="auto"/>
        </w:rPr>
        <w:t>Healthcare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Arial" w:cs="Arial" w:eastAsia="Arial" w:hAnsi="Arial"/>
                <w:sz w:val="14"/>
                <w:szCs w:val="14"/>
                <w:color w:val="auto"/>
                <w:w w:val="99"/>
              </w:rPr>
              <w:t>First Lien Debt (11.0% Cash (1 month LIBOR +</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9.0%, 1.0% Floor), Due 12/4/22)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11,109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11,109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11,109</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38"/>
        </w:trPr>
        <w:tc>
          <w:tcPr>
            <w:tcW w:w="2940" w:type="dxa"/>
            <w:vAlign w:val="bottom"/>
          </w:tcPr>
          <w:p>
            <w:pPr>
              <w:spacing w:after="0"/>
              <w:rPr>
                <w:sz w:val="20"/>
                <w:szCs w:val="20"/>
                <w:color w:val="auto"/>
              </w:rPr>
            </w:pPr>
            <w:r>
              <w:rPr>
                <w:rFonts w:ascii="Arial" w:cs="Arial" w:eastAsia="Arial" w:hAnsi="Arial"/>
                <w:sz w:val="14"/>
                <w:szCs w:val="14"/>
                <w:color w:val="auto"/>
              </w:rPr>
              <w:t xml:space="preserve">Preferred Units (965,250 units, 8.0% PIK) </w:t>
            </w:r>
            <w:r>
              <w:rPr>
                <w:rFonts w:ascii="Arial" w:cs="Arial" w:eastAsia="Arial" w:hAnsi="Arial"/>
                <w:sz w:val="23"/>
                <w:szCs w:val="23"/>
                <w:color w:val="auto"/>
                <w:vertAlign w:val="superscript"/>
              </w:rPr>
              <w:t>(5)</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1,010</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20"/>
                <w:szCs w:val="20"/>
                <w:color w:val="auto"/>
              </w:rPr>
            </w:pPr>
            <w:r>
              <w:rPr>
                <w:rFonts w:ascii="Arial" w:cs="Arial" w:eastAsia="Arial" w:hAnsi="Arial"/>
                <w:sz w:val="14"/>
                <w:szCs w:val="14"/>
                <w:color w:val="auto"/>
              </w:rPr>
              <w:t>Membership Units (39,000 units)</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12,129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12,155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4"/>
                <w:szCs w:val="14"/>
                <w:color w:val="auto"/>
                <w:w w:val="98"/>
              </w:rPr>
              <w:t xml:space="preserve">First Lien Debt (12.2% Cash, Due 12/18/22) </w:t>
            </w:r>
            <w:r>
              <w:rPr>
                <w:rFonts w:ascii="Arial" w:cs="Arial" w:eastAsia="Arial" w:hAnsi="Arial"/>
                <w:sz w:val="23"/>
                <w:szCs w:val="23"/>
                <w:color w:val="auto"/>
                <w:w w:val="98"/>
                <w:vertAlign w:val="superscript"/>
              </w:rPr>
              <w:t>(6)</w:t>
            </w: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Membership Units (20,092 units)</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13,128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82"/>
        </w:trPr>
        <w:tc>
          <w:tcPr>
            <w:tcW w:w="2940" w:type="dxa"/>
            <w:vAlign w:val="bottom"/>
          </w:tcPr>
          <w:p>
            <w:pPr>
              <w:spacing w:after="0"/>
              <w:rPr>
                <w:sz w:val="20"/>
                <w:szCs w:val="20"/>
                <w:color w:val="auto"/>
              </w:rPr>
            </w:pPr>
            <w:r>
              <w:rPr>
                <w:rFonts w:ascii="Arial" w:cs="Arial" w:eastAsia="Arial" w:hAnsi="Arial"/>
                <w:sz w:val="14"/>
                <w:szCs w:val="14"/>
                <w:color w:val="auto"/>
              </w:rPr>
              <w:t>First Lien Debt (10.5% Cash, 2.0% PIK, Due</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4"/>
                <w:szCs w:val="14"/>
                <w:color w:val="auto"/>
              </w:rPr>
              <w:t xml:space="preserve">6/11/20) </w:t>
            </w:r>
            <w:r>
              <w:rPr>
                <w:rFonts w:ascii="Arial" w:cs="Arial" w:eastAsia="Arial" w:hAnsi="Arial"/>
                <w:sz w:val="23"/>
                <w:szCs w:val="23"/>
                <w:color w:val="auto"/>
                <w:vertAlign w:val="superscript"/>
              </w:rPr>
              <w:t>(7)</w:t>
            </w:r>
          </w:p>
        </w:tc>
        <w:tc>
          <w:tcPr>
            <w:tcW w:w="3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9,114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9,091</w:t>
            </w:r>
          </w:p>
        </w:tc>
        <w:tc>
          <w:tcPr>
            <w:tcW w:w="2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6,731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-1743075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-1460500</wp:posOffset>
            </wp:positionV>
            <wp:extent cx="72466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-1245870</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-1040130</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-834390</wp:posOffset>
            </wp:positionV>
            <wp:extent cx="72466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-619760</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-422910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-216535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860" w:space="600"/>
            <w:col w:w="696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AmeriMark Direct, LLC</w:t>
            </w:r>
          </w:p>
        </w:tc>
        <w:tc>
          <w:tcPr>
            <w:tcW w:w="18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Consumer Products</w:t>
            </w:r>
          </w:p>
        </w:tc>
        <w:tc>
          <w:tcPr>
            <w:tcW w:w="3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First Lien Debt (12.8% Cash, Due 9/8/21)</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18,800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18,470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18,470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B&amp;W Quality Growers, LLC</w:t>
            </w:r>
          </w:p>
        </w:tc>
        <w:tc>
          <w:tcPr>
            <w:tcW w:w="18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Farming</w:t>
            </w:r>
          </w:p>
        </w:tc>
        <w:tc>
          <w:tcPr>
            <w:tcW w:w="3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Membership Unit Warrants (91,739 Units)</w:t>
            </w: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BigMouth, Inc.</w:t>
            </w:r>
          </w:p>
        </w:tc>
        <w:tc>
          <w:tcPr>
            <w:tcW w:w="18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Consumer Products</w:t>
            </w:r>
          </w:p>
        </w:tc>
        <w:tc>
          <w:tcPr>
            <w:tcW w:w="3280" w:type="dxa"/>
            <w:vAlign w:val="bottom"/>
            <w:shd w:val="clear" w:color="auto" w:fill="CCEEFF"/>
          </w:tcPr>
          <w:p>
            <w:pPr>
              <w:ind w:left="60"/>
              <w:spacing w:after="0" w:line="189" w:lineRule="exact"/>
              <w:rPr>
                <w:sz w:val="20"/>
                <w:szCs w:val="20"/>
                <w:color w:val="auto"/>
              </w:rPr>
            </w:pPr>
            <w:r>
              <w:rPr>
                <w:rFonts w:ascii="Arial" w:cs="Arial" w:eastAsia="Arial" w:hAnsi="Arial"/>
                <w:sz w:val="13"/>
                <w:szCs w:val="13"/>
                <w:color w:val="auto"/>
              </w:rPr>
              <w:t xml:space="preserve">First Lien Debt (14.0% Cash, Due 11/14/21) </w:t>
            </w:r>
            <w:r>
              <w:rPr>
                <w:rFonts w:ascii="Arial" w:cs="Arial" w:eastAsia="Arial" w:hAnsi="Arial"/>
                <w:sz w:val="21"/>
                <w:szCs w:val="21"/>
                <w:color w:val="auto"/>
                <w:vertAlign w:val="superscript"/>
              </w:rPr>
              <w:t>(6)</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9,442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9,442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880" w:type="dxa"/>
            <w:vAlign w:val="bottom"/>
            <w:shd w:val="clear" w:color="auto" w:fill="CCEEFF"/>
          </w:tcPr>
          <w:p>
            <w:pPr>
              <w:ind w:left="540"/>
              <w:spacing w:after="0" w:line="140" w:lineRule="exact"/>
              <w:rPr>
                <w:sz w:val="20"/>
                <w:szCs w:val="20"/>
                <w:color w:val="auto"/>
              </w:rPr>
            </w:pPr>
            <w:r>
              <w:rPr>
                <w:rFonts w:ascii="Arial" w:cs="Arial" w:eastAsia="Arial" w:hAnsi="Arial"/>
                <w:sz w:val="14"/>
                <w:szCs w:val="14"/>
                <w:color w:val="auto"/>
              </w:rPr>
              <w:t>Consumer Products</w:t>
            </w:r>
          </w:p>
        </w:tc>
        <w:tc>
          <w:tcPr>
            <w:tcW w:w="3280" w:type="dxa"/>
            <w:vAlign w:val="bottom"/>
            <w:shd w:val="clear" w:color="auto" w:fill="CCEEFF"/>
          </w:tcPr>
          <w:p>
            <w:pPr>
              <w:ind w:left="60"/>
              <w:spacing w:after="0" w:line="140" w:lineRule="exact"/>
              <w:rPr>
                <w:sz w:val="20"/>
                <w:szCs w:val="20"/>
                <w:color w:val="auto"/>
              </w:rPr>
            </w:pPr>
            <w:r>
              <w:rPr>
                <w:rFonts w:ascii="Arial" w:cs="Arial" w:eastAsia="Arial" w:hAnsi="Arial"/>
                <w:sz w:val="14"/>
                <w:szCs w:val="14"/>
                <w:color w:val="auto"/>
              </w:rPr>
              <w:t>Series A Preferred Stock (350,000 shares, 8.0%</w:t>
            </w: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280" w:type="dxa"/>
            <w:vAlign w:val="bottom"/>
            <w:shd w:val="clear" w:color="auto" w:fill="CCEEFF"/>
          </w:tcPr>
          <w:p>
            <w:pPr>
              <w:ind w:left="60"/>
              <w:spacing w:after="0" w:line="198"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2"/>
                <w:szCs w:val="22"/>
                <w:color w:val="auto"/>
                <w:vertAlign w:val="superscript"/>
              </w:rPr>
              <w:t>(5)</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88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Online Merchandise</w:t>
            </w:r>
          </w:p>
        </w:tc>
        <w:tc>
          <w:tcPr>
            <w:tcW w:w="3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Debt (9.6% Cash (1 month LIBOR +</w:t>
            </w: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Retailer</w:t>
            </w:r>
          </w:p>
        </w:tc>
        <w:tc>
          <w:tcPr>
            <w:tcW w:w="3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7.5%, 1.0% Floor), Due 11/7/20)</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188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Home Repair Parts</w:t>
            </w:r>
          </w:p>
        </w:tc>
        <w:tc>
          <w:tcPr>
            <w:tcW w:w="3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Manufacturer</w:t>
            </w:r>
          </w:p>
        </w:tc>
        <w:tc>
          <w:tcPr>
            <w:tcW w:w="3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Membership Units (14 units)</w:t>
            </w: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188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Restaurant</w:t>
            </w:r>
          </w:p>
        </w:tc>
        <w:tc>
          <w:tcPr>
            <w:tcW w:w="3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Second Lien Debt (12.1% Cash (1 month LIBOR +</w:t>
            </w: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3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10.0%, 1.0% Floor), Due 8/23/23)</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Cedar Ultimate Parent, LLC</w:t>
            </w:r>
          </w:p>
        </w:tc>
        <w:tc>
          <w:tcPr>
            <w:tcW w:w="18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Consumer Electronics</w:t>
            </w:r>
          </w:p>
        </w:tc>
        <w:tc>
          <w:tcPr>
            <w:tcW w:w="3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C Preferred Stock (4,759,250 units)</w:t>
            </w: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Cedar Ultimate Parent, LLC</w:t>
            </w:r>
          </w:p>
        </w:tc>
        <w:tc>
          <w:tcPr>
            <w:tcW w:w="18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Consumer Electronics</w:t>
            </w:r>
          </w:p>
        </w:tc>
        <w:tc>
          <w:tcPr>
            <w:tcW w:w="3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D Preferred Stock (16,562,190 units)</w:t>
            </w: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Cedar Ultimate Parent, LLC</w:t>
            </w:r>
          </w:p>
        </w:tc>
        <w:tc>
          <w:tcPr>
            <w:tcW w:w="188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6"/>
              </w:rPr>
              <w:t>Consumer Electronics</w:t>
            </w:r>
          </w:p>
        </w:tc>
        <w:tc>
          <w:tcPr>
            <w:tcW w:w="3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Series E Common Units (190,370 units)</w:t>
            </w: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Government Services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(10.6% Cash (1 month LIBOR + 8.5%,</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1.0% PIK, Due 9/14/22)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10,621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10,621</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Government 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(46,163 shares)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11,621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(9.0% Cash, 2.0% PIK, Due</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11/29/21)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18,342</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18,342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(15,750 shares)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19,917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Financial Services</w:t>
            </w:r>
          </w:p>
        </w:tc>
        <w:tc>
          <w:tcPr>
            <w:tcW w:w="33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(13.0% Cash (1 month LIBOR +</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11.0%, 0.5% Floor), Due 1/20/22) </w:t>
            </w:r>
            <w:r>
              <w:rPr>
                <w:rFonts w:ascii="Arial" w:cs="Arial" w:eastAsia="Arial" w:hAnsi="Arial"/>
                <w:sz w:val="22"/>
                <w:szCs w:val="22"/>
                <w:color w:val="auto"/>
                <w:vertAlign w:val="superscript"/>
              </w:rPr>
              <w:t>(8)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Class A Preferred Units (2,000,000 units) </w:t>
            </w:r>
            <w:r>
              <w:rPr>
                <w:rFonts w:ascii="Arial" w:cs="Arial" w:eastAsia="Arial" w:hAnsi="Arial"/>
                <w:sz w:val="21"/>
                <w:szCs w:val="21"/>
                <w:color w:val="auto"/>
                <w:vertAlign w:val="superscript"/>
              </w:rPr>
              <w:t>(8)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(8.1% Cash (3 month LIBOR + 5.8%,</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4/3/20)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6,326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6,243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(12.3% Cash (3 month LIBOR +</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1.0% Floor), Due 10/3/21)</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11,774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18,017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Installs,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Logistics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(9.1% Cash (1 month LIBOR + 7.0%,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 Floor), Due 6/20/23)</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Installs,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Logistics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(9.1% Cash (1 month LIBOR + 7.0%,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 Floor), Due 6/20/23)</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(9.0% Cash (1 month LIBOR + 7.0%,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32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1.0% Floor), Due 12/22/22)</w:t>
            </w:r>
            <w:r>
              <w:rPr>
                <w:rFonts w:ascii="Arial" w:cs="Arial" w:eastAsia="Arial" w:hAnsi="Arial"/>
                <w:sz w:val="23"/>
                <w:szCs w:val="23"/>
                <w:color w:val="auto"/>
                <w:vertAlign w:val="superscript"/>
              </w:rPr>
              <w:t>(9)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796"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Industry</w:t>
            </w:r>
          </w:p>
        </w:tc>
      </w:tr>
      <w:tr>
        <w:trPr>
          <w:trHeight w:val="272"/>
        </w:trPr>
        <w:tc>
          <w:tcPr>
            <w:tcW w:w="2560" w:type="dxa"/>
            <w:vAlign w:val="bottom"/>
          </w:tcPr>
          <w:p>
            <w:pPr>
              <w:spacing w:after="0"/>
              <w:rPr>
                <w:sz w:val="20"/>
                <w:szCs w:val="20"/>
                <w:color w:val="auto"/>
              </w:rPr>
            </w:pPr>
            <w:r>
              <w:rPr>
                <w:rFonts w:ascii="Arial" w:cs="Arial" w:eastAsia="Arial" w:hAnsi="Arial"/>
                <w:sz w:val="14"/>
                <w:szCs w:val="14"/>
                <w:color w:val="auto"/>
              </w:rPr>
              <w:t>MC Sign Lessor Corp.</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Advertising &amp;</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Marketing Services</w:t>
            </w:r>
          </w:p>
        </w:tc>
      </w:tr>
      <w:tr>
        <w:trPr>
          <w:trHeight w:val="689"/>
        </w:trPr>
        <w:tc>
          <w:tcPr>
            <w:tcW w:w="2560" w:type="dxa"/>
            <w:vAlign w:val="bottom"/>
          </w:tcPr>
          <w:p>
            <w:pPr>
              <w:spacing w:after="0"/>
              <w:rPr>
                <w:sz w:val="20"/>
                <w:szCs w:val="20"/>
                <w:color w:val="auto"/>
              </w:rPr>
            </w:pPr>
            <w:r>
              <w:rPr>
                <w:rFonts w:ascii="Arial" w:cs="Arial" w:eastAsia="Arial" w:hAnsi="Arial"/>
                <w:sz w:val="14"/>
                <w:szCs w:val="14"/>
                <w:color w:val="auto"/>
              </w:rPr>
              <w:t>Nth Degree,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Business Services</w:t>
            </w: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Nth Degree,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Business Services</w:t>
            </w:r>
          </w:p>
        </w:tc>
      </w:tr>
      <w:tr>
        <w:trPr>
          <w:trHeight w:val="655"/>
        </w:trPr>
        <w:tc>
          <w:tcPr>
            <w:tcW w:w="256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Healthcare</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Management</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3"/>
              </w:rPr>
              <w:t>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3320" w:type="dxa"/>
            <w:vAlign w:val="bottom"/>
            <w:gridSpan w:val="2"/>
          </w:tcPr>
          <w:p>
            <w:pPr>
              <w:spacing w:after="0"/>
              <w:rPr>
                <w:sz w:val="20"/>
                <w:szCs w:val="20"/>
                <w:color w:val="auto"/>
              </w:rPr>
            </w:pPr>
            <w:r>
              <w:rPr>
                <w:rFonts w:ascii="Arial" w:cs="Arial" w:eastAsia="Arial" w:hAnsi="Arial"/>
                <w:sz w:val="14"/>
                <w:szCs w:val="14"/>
                <w:color w:val="auto"/>
              </w:rPr>
              <w:t>First Lien Debt (9.0% Cash (1 month LIBOR + 7.0%,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20" w:type="dxa"/>
            <w:vAlign w:val="bottom"/>
            <w:gridSpan w:val="2"/>
          </w:tcPr>
          <w:p>
            <w:pPr>
              <w:spacing w:after="0" w:line="211" w:lineRule="exact"/>
              <w:rPr>
                <w:sz w:val="20"/>
                <w:szCs w:val="20"/>
                <w:color w:val="auto"/>
              </w:rPr>
            </w:pPr>
            <w:r>
              <w:rPr>
                <w:rFonts w:ascii="Arial" w:cs="Arial" w:eastAsia="Arial" w:hAnsi="Arial"/>
                <w:sz w:val="14"/>
                <w:szCs w:val="14"/>
                <w:color w:val="auto"/>
              </w:rPr>
              <w:t>1.0% Floor), Due 12/22/22)</w:t>
            </w:r>
            <w:r>
              <w:rPr>
                <w:rFonts w:ascii="Arial" w:cs="Arial" w:eastAsia="Arial" w:hAnsi="Arial"/>
                <w:sz w:val="23"/>
                <w:szCs w:val="23"/>
                <w:color w:val="auto"/>
                <w:vertAlign w:val="superscript"/>
              </w:rPr>
              <w:t>(10)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3,925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3,925</w:t>
            </w:r>
          </w:p>
        </w:tc>
        <w:tc>
          <w:tcPr>
            <w:tcW w:w="220" w:type="dxa"/>
            <w:vAlign w:val="bottom"/>
          </w:tcPr>
          <w:p>
            <w:pPr>
              <w:spacing w:after="0"/>
              <w:rPr>
                <w:sz w:val="18"/>
                <w:szCs w:val="18"/>
                <w:color w:val="auto"/>
              </w:rPr>
            </w:pPr>
          </w:p>
        </w:tc>
        <w:tc>
          <w:tcPr>
            <w:tcW w:w="220" w:type="dxa"/>
            <w:vAlign w:val="bottom"/>
          </w:tcPr>
          <w:p>
            <w:pPr>
              <w:jc w:val="right"/>
              <w:ind w:right="9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4,252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2"/>
        </w:trPr>
        <w:tc>
          <w:tcPr>
            <w:tcW w:w="3320" w:type="dxa"/>
            <w:vAlign w:val="bottom"/>
            <w:gridSpan w:val="2"/>
          </w:tcPr>
          <w:p>
            <w:pPr>
              <w:spacing w:after="0"/>
              <w:rPr>
                <w:sz w:val="20"/>
                <w:szCs w:val="20"/>
                <w:color w:val="auto"/>
              </w:rPr>
            </w:pPr>
            <w:r>
              <w:rPr>
                <w:rFonts w:ascii="Arial" w:cs="Arial" w:eastAsia="Arial" w:hAnsi="Arial"/>
                <w:sz w:val="14"/>
                <w:szCs w:val="14"/>
                <w:color w:val="auto"/>
              </w:rPr>
              <w:t>First Lien Debt (13.5% Cash (1 month LIBOR +</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11.5%, 1.0% Floor), 2.0% PIK, Due 12/14/20)</w:t>
            </w: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7,272</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7,272</w:t>
            </w: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7,272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36"/>
        </w:trPr>
        <w:tc>
          <w:tcPr>
            <w:tcW w:w="3320" w:type="dxa"/>
            <w:vAlign w:val="bottom"/>
            <w:gridSpan w:val="2"/>
          </w:tcPr>
          <w:p>
            <w:pPr>
              <w:spacing w:after="0"/>
              <w:rPr>
                <w:sz w:val="20"/>
                <w:szCs w:val="20"/>
                <w:color w:val="auto"/>
              </w:rPr>
            </w:pPr>
            <w:r>
              <w:rPr>
                <w:rFonts w:ascii="Arial" w:cs="Arial" w:eastAsia="Arial" w:hAnsi="Arial"/>
                <w:sz w:val="14"/>
                <w:szCs w:val="14"/>
                <w:color w:val="auto"/>
                <w:w w:val="98"/>
              </w:rPr>
              <w:t xml:space="preserve">Preferred Stock (2,400 Units, 10.0% PIK dividend) </w:t>
            </w:r>
            <w:r>
              <w:rPr>
                <w:rFonts w:ascii="Arial" w:cs="Arial" w:eastAsia="Arial" w:hAnsi="Arial"/>
                <w:sz w:val="23"/>
                <w:szCs w:val="23"/>
                <w:color w:val="auto"/>
                <w:w w:val="98"/>
                <w:vertAlign w:val="superscript"/>
              </w:rPr>
              <w:t>(5)</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13,188</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10,358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20,460</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20" w:type="dxa"/>
            <w:vAlign w:val="bottom"/>
            <w:gridSpan w:val="2"/>
          </w:tcPr>
          <w:p>
            <w:pPr>
              <w:spacing w:after="0"/>
              <w:rPr>
                <w:sz w:val="20"/>
                <w:szCs w:val="20"/>
                <w:color w:val="auto"/>
              </w:rPr>
            </w:pPr>
            <w:r>
              <w:rPr>
                <w:rFonts w:ascii="Arial" w:cs="Arial" w:eastAsia="Arial" w:hAnsi="Arial"/>
                <w:sz w:val="14"/>
                <w:szCs w:val="14"/>
                <w:color w:val="auto"/>
                <w:w w:val="99"/>
              </w:rPr>
              <w:t>First Lien Debt (12.0% Cash, 4.0% PIK, Due 7/17/19)</w:t>
            </w:r>
          </w:p>
        </w:tc>
        <w:tc>
          <w:tcPr>
            <w:tcW w:w="1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8,445</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8,445</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-1451610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-1125855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-920115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-636905</wp:posOffset>
            </wp:positionV>
            <wp:extent cx="72466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-405130</wp:posOffset>
            </wp:positionV>
            <wp:extent cx="72466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-199390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4060" w:space="120"/>
            <w:col w:w="72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8,414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8,445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Sur La Table, Inc.</w:t>
            </w: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First Lien Debt (12.0% Cash, Due 7/28/20)</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14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Household Product</w:t>
            </w:r>
          </w:p>
        </w:tc>
        <w:tc>
          <w:tcPr>
            <w:tcW w:w="36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Manufacturer</w:t>
            </w: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Series C Preferred Stock (379 shares)</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4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Information</w:t>
            </w:r>
          </w:p>
        </w:tc>
        <w:tc>
          <w:tcPr>
            <w:tcW w:w="36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Subordinated Debt (15.0% Cash (3 month LIBOR +</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14.0%, 1.0% Ceiling), 4.0% PIK Due 6/30/20)</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8,544</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Building Products</w:t>
            </w:r>
          </w:p>
        </w:tc>
        <w:tc>
          <w:tcPr>
            <w:tcW w:w="3600" w:type="dxa"/>
            <w:vAlign w:val="bottom"/>
            <w:shd w:val="clear" w:color="auto" w:fill="CCEEFF"/>
          </w:tcPr>
          <w:p>
            <w:pPr>
              <w:ind w:left="200"/>
              <w:spacing w:after="0" w:line="189" w:lineRule="exact"/>
              <w:rPr>
                <w:sz w:val="20"/>
                <w:szCs w:val="20"/>
                <w:color w:val="auto"/>
              </w:rPr>
            </w:pPr>
            <w:r>
              <w:rPr>
                <w:rFonts w:ascii="Arial" w:cs="Arial" w:eastAsia="Arial" w:hAnsi="Arial"/>
                <w:sz w:val="13"/>
                <w:szCs w:val="13"/>
                <w:color w:val="auto"/>
              </w:rPr>
              <w:t xml:space="preserve">First Lien Debt (12.3% Cash, Due 7/31/20) </w:t>
            </w:r>
            <w:r>
              <w:rPr>
                <w:rFonts w:ascii="Arial" w:cs="Arial" w:eastAsia="Arial" w:hAnsi="Arial"/>
                <w:sz w:val="21"/>
                <w:szCs w:val="21"/>
                <w:color w:val="auto"/>
                <w:vertAlign w:val="superscript"/>
              </w:rPr>
              <w:t>(6)</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10,500</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10,500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Building Products</w:t>
            </w: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Membership Units (39,860 units)</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12,769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23,269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4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Information</w:t>
            </w:r>
          </w:p>
        </w:tc>
        <w:tc>
          <w:tcPr>
            <w:tcW w:w="36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Subordinated Debt (11.5% Cash, Due 3/1/22)</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15,750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4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Information</w:t>
            </w:r>
          </w:p>
        </w:tc>
        <w:tc>
          <w:tcPr>
            <w:tcW w:w="36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Membership Units (600,000 units)</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16,588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40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United States</w:t>
            </w:r>
          </w:p>
        </w:tc>
        <w:tc>
          <w:tcPr>
            <w:tcW w:w="140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224,528</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246,899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Non-control/non-affiliated investments -</w:t>
            </w:r>
          </w:p>
        </w:tc>
        <w:tc>
          <w:tcPr>
            <w:tcW w:w="140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Brazil</w:t>
            </w: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Velum Global Credit Management, LLC</w:t>
            </w: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Financial Services</w:t>
            </w:r>
          </w:p>
        </w:tc>
        <w:tc>
          <w:tcPr>
            <w:tcW w:w="3600" w:type="dxa"/>
            <w:vAlign w:val="bottom"/>
            <w:shd w:val="clear" w:color="auto" w:fill="CCEEFF"/>
          </w:tcPr>
          <w:p>
            <w:pPr>
              <w:ind w:left="200"/>
              <w:spacing w:after="0" w:line="202" w:lineRule="exact"/>
              <w:rPr>
                <w:sz w:val="20"/>
                <w:szCs w:val="20"/>
                <w:color w:val="auto"/>
              </w:rPr>
            </w:pPr>
            <w:r>
              <w:rPr>
                <w:rFonts w:ascii="Arial" w:cs="Arial" w:eastAsia="Arial" w:hAnsi="Arial"/>
                <w:sz w:val="14"/>
                <w:szCs w:val="14"/>
                <w:color w:val="auto"/>
                <w:w w:val="99"/>
              </w:rPr>
              <w:t xml:space="preserve">First Lien Debt (15.0% PIK, Due 12/31/17) </w:t>
            </w:r>
            <w:r>
              <w:rPr>
                <w:rFonts w:ascii="Arial" w:cs="Arial" w:eastAsia="Arial" w:hAnsi="Arial"/>
                <w:sz w:val="23"/>
                <w:szCs w:val="23"/>
                <w:color w:val="auto"/>
                <w:w w:val="99"/>
                <w:vertAlign w:val="superscript"/>
              </w:rPr>
              <w:t>(7) (8) (11)</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13,230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40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Brazil</w:t>
            </w:r>
          </w:p>
        </w:tc>
        <w:tc>
          <w:tcPr>
            <w:tcW w:w="140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40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14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236,344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253,813</w:t>
            </w:r>
          </w:p>
        </w:tc>
        <w:tc>
          <w:tcPr>
            <w:tcW w:w="90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2"/>
                <w:szCs w:val="12"/>
                <w:color w:val="auto"/>
              </w:rPr>
              <w:t>115.7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- 54.1%</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Second Lien Debt (8.0% Cash, 4.0% PIK,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8/24/19) </w:t>
            </w:r>
            <w:r>
              <w:rPr>
                <w:rFonts w:ascii="Arial" w:cs="Arial" w:eastAsia="Arial" w:hAnsi="Arial"/>
                <w:sz w:val="23"/>
                <w:szCs w:val="23"/>
                <w:color w:val="auto"/>
                <w:vertAlign w:val="superscript"/>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16,165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16,165</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16,039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(2.2% fully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Warrants (37.8% fully diluted)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16,182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16,039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w w:val="96"/>
              </w:rPr>
              <w:t>First Lien Debt (12.0% Cash, 1.0% PIK, Due 3/23/21)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14,726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14,726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14,453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Class A (1,253,198 shares)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Class B (900,000 shares)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16,530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14,453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(13.0% Cash, Due 10/20/19) </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Preferred Membership Units (2.8% fully diluted, 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 Warrants (11.4% fully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7,407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16,907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Series A-1 Preferred Stock (1,998 shares, 8.0% PIK</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3,350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Series B-1 Common Stock (200,000 shares)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3,038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4,792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(13.0% Cash, Due 6/16/19) </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6,162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(8,182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Warrants (6,369 shares)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6,162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QSR Franchisor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(1,500,000 shares)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6,245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6,245</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(12.0% Cash, Due 1/31/19) </w:t>
            </w:r>
            <w:r>
              <w:rPr>
                <w:rFonts w:ascii="Arial" w:cs="Arial" w:eastAsia="Arial" w:hAnsi="Arial"/>
                <w:sz w:val="23"/>
                <w:szCs w:val="23"/>
                <w:color w:val="auto"/>
                <w:vertAlign w:val="superscript"/>
              </w:rPr>
              <w:t>(11)</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(6.0% Cash, Due 1/31/19) </w:t>
            </w:r>
            <w:r>
              <w:rPr>
                <w:rFonts w:ascii="Arial" w:cs="Arial" w:eastAsia="Arial" w:hAnsi="Arial"/>
                <w:sz w:val="23"/>
                <w:szCs w:val="23"/>
                <w:color w:val="auto"/>
                <w:vertAlign w:val="superscript"/>
              </w:rPr>
              <w:t>(11)</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Preferred Units (1,000 units, 6.0% PIK Dividend)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Membership Units (45 units)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Engineering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and Consulting</w:t>
            </w: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(15,068,000 shares)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Membership Units (11.3% ownership) </w:t>
            </w:r>
            <w:r>
              <w:rPr>
                <w:rFonts w:ascii="Arial" w:cs="Arial" w:eastAsia="Arial" w:hAnsi="Arial"/>
                <w:sz w:val="23"/>
                <w:szCs w:val="23"/>
                <w:color w:val="auto"/>
                <w:vertAlign w:val="superscript"/>
              </w:rPr>
              <w:t>(12)</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&amp; Lubricants</w:t>
            </w:r>
          </w:p>
        </w:tc>
        <w:tc>
          <w:tcPr>
            <w:tcW w:w="3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Building Products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(11.0% Cash (1 month LIBOR + 9.0%,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1/2/23)</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13,375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13,375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US Bath Group,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Building Products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(500,000 units)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13,875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33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(8.0% Cash (1 month LIBOR + 6.0%,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1.0% floor), Due 2/2/22) </w:t>
            </w:r>
            <w:r>
              <w:rPr>
                <w:rFonts w:ascii="Arial" w:cs="Arial" w:eastAsia="Arial" w:hAnsi="Arial"/>
                <w:sz w:val="22"/>
                <w:szCs w:val="22"/>
                <w:color w:val="auto"/>
                <w:vertAlign w:val="superscript"/>
              </w:rPr>
              <w:t>(13)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Services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(11.0% Cash (1 month LIBOR + 9.0%,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2/2/22)</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9,616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9,616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Oil &amp; Gas Services</w:t>
            </w: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A Units (5,680,688 Units)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6,260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11,155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Oil &amp; Gas 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B Units (2,076,298 Units)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18,616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(14)</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Digital Marketing</w:t>
            </w:r>
          </w:p>
        </w:tc>
        <w:tc>
          <w:tcPr>
            <w:tcW w:w="3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Sub Total Affiliate investments - United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98,046</w:t>
            </w:r>
          </w:p>
        </w:tc>
        <w:tc>
          <w:tcPr>
            <w:tcW w:w="200" w:type="dxa"/>
            <w:vAlign w:val="bottom"/>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118,664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54.1</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Portfolio Company, Country </w:t>
            </w:r>
            <w:r>
              <w:rPr>
                <w:rFonts w:ascii="Arial" w:cs="Arial" w:eastAsia="Arial" w:hAnsi="Arial"/>
                <w:sz w:val="23"/>
                <w:szCs w:val="23"/>
                <w:b w:val="1"/>
                <w:bCs w:val="1"/>
                <w:color w:val="auto"/>
                <w:w w:val="90"/>
                <w:vertAlign w:val="superscript"/>
              </w:rPr>
              <w:t>(1)</w:t>
            </w:r>
            <w:r>
              <w:rPr>
                <w:rFonts w:ascii="Arial" w:cs="Arial" w:eastAsia="Arial" w:hAnsi="Arial"/>
                <w:sz w:val="23"/>
                <w:szCs w:val="23"/>
                <w:b w:val="1"/>
                <w:bCs w:val="1"/>
                <w:u w:val="single" w:color="auto"/>
                <w:color w:val="auto"/>
                <w:w w:val="90"/>
                <w:vertAlign w:val="superscript"/>
              </w:rPr>
              <w:t>,</w:t>
            </w:r>
            <w:r>
              <w:rPr>
                <w:rFonts w:ascii="Arial" w:cs="Arial" w:eastAsia="Arial" w:hAnsi="Arial"/>
                <w:sz w:val="14"/>
                <w:szCs w:val="14"/>
                <w:b w:val="1"/>
                <w:bCs w:val="1"/>
                <w:color w:val="auto"/>
                <w:w w:val="90"/>
              </w:rPr>
              <w:t xml:space="preserve"> </w:t>
            </w:r>
            <w:r>
              <w:rPr>
                <w:rFonts w:ascii="Arial" w:cs="Arial" w:eastAsia="Arial" w:hAnsi="Arial"/>
                <w:sz w:val="23"/>
                <w:szCs w:val="23"/>
                <w:b w:val="1"/>
                <w:bCs w:val="1"/>
                <w:color w:val="auto"/>
                <w:w w:val="90"/>
                <w:vertAlign w:val="superscript"/>
              </w:rPr>
              <w:t>(2), (3), (4)</w:t>
            </w: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- 50.5%</w:t>
            </w: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tabs>
          <w:tab w:leader="none" w:pos="2660" w:val="left"/>
        </w:tabs>
        <w:rPr>
          <w:sz w:val="20"/>
          <w:szCs w:val="20"/>
          <w:color w:val="auto"/>
        </w:rPr>
      </w:pPr>
      <w:r>
        <w:rPr>
          <w:rFonts w:ascii="Arial" w:cs="Arial" w:eastAsia="Arial" w:hAnsi="Arial"/>
          <w:sz w:val="14"/>
          <w:szCs w:val="14"/>
          <w:color w:val="auto"/>
        </w:rPr>
        <w:t>CableOrganizer Acquisition, LLC</w:t>
      </w:r>
      <w:r>
        <w:rPr>
          <w:sz w:val="20"/>
          <w:szCs w:val="20"/>
          <w:color w:val="auto"/>
        </w:rPr>
        <w:tab/>
      </w:r>
      <w:r>
        <w:rPr>
          <w:rFonts w:ascii="Arial" w:cs="Arial" w:eastAsia="Arial" w:hAnsi="Arial"/>
          <w:sz w:val="13"/>
          <w:szCs w:val="13"/>
          <w:color w:val="auto"/>
        </w:rPr>
        <w:t>Computer Supply</w:t>
      </w:r>
    </w:p>
    <w:p>
      <w:pPr>
        <w:ind w:left="2680"/>
        <w:spacing w:after="0"/>
        <w:rPr>
          <w:sz w:val="20"/>
          <w:szCs w:val="20"/>
          <w:color w:val="auto"/>
        </w:rPr>
      </w:pPr>
      <w:r>
        <w:rPr>
          <w:rFonts w:ascii="Arial" w:cs="Arial" w:eastAsia="Arial" w:hAnsi="Arial"/>
          <w:sz w:val="14"/>
          <w:szCs w:val="14"/>
          <w:color w:val="auto"/>
        </w:rPr>
        <w:t>Retail</w:t>
      </w:r>
    </w:p>
    <w:p>
      <w:pPr>
        <w:spacing w:after="0" w:line="124"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CableOrganizer Acquisition, LLC</w:t>
      </w:r>
      <w:r>
        <w:rPr>
          <w:sz w:val="20"/>
          <w:szCs w:val="20"/>
          <w:color w:val="auto"/>
        </w:rPr>
        <w:tab/>
      </w:r>
      <w:r>
        <w:rPr>
          <w:rFonts w:ascii="Arial" w:cs="Arial" w:eastAsia="Arial" w:hAnsi="Arial"/>
          <w:sz w:val="13"/>
          <w:szCs w:val="13"/>
          <w:color w:val="auto"/>
        </w:rPr>
        <w:t>Computer Supply</w:t>
      </w:r>
    </w:p>
    <w:p>
      <w:pPr>
        <w:ind w:left="2680"/>
        <w:spacing w:after="0"/>
        <w:rPr>
          <w:sz w:val="20"/>
          <w:szCs w:val="20"/>
          <w:color w:val="auto"/>
        </w:rPr>
      </w:pPr>
      <w:r>
        <w:rPr>
          <w:rFonts w:ascii="Arial" w:cs="Arial" w:eastAsia="Arial" w:hAnsi="Arial"/>
          <w:sz w:val="14"/>
          <w:szCs w:val="14"/>
          <w:color w:val="auto"/>
        </w:rPr>
        <w:t>Retail</w:t>
      </w:r>
    </w:p>
    <w:p>
      <w:pPr>
        <w:spacing w:after="0" w:line="13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CableOrganizer Acquisition, LLC</w:t>
      </w:r>
      <w:r>
        <w:rPr>
          <w:sz w:val="20"/>
          <w:szCs w:val="20"/>
          <w:color w:val="auto"/>
        </w:rPr>
        <w:tab/>
      </w:r>
      <w:r>
        <w:rPr>
          <w:rFonts w:ascii="Arial" w:cs="Arial" w:eastAsia="Arial" w:hAnsi="Arial"/>
          <w:sz w:val="13"/>
          <w:szCs w:val="13"/>
          <w:color w:val="auto"/>
        </w:rPr>
        <w:t>Computer Supply</w:t>
      </w:r>
    </w:p>
    <w:p>
      <w:pPr>
        <w:ind w:left="2680"/>
        <w:spacing w:after="0"/>
        <w:rPr>
          <w:sz w:val="20"/>
          <w:szCs w:val="20"/>
          <w:color w:val="auto"/>
        </w:rPr>
      </w:pPr>
      <w:r>
        <w:rPr>
          <w:rFonts w:ascii="Arial" w:cs="Arial" w:eastAsia="Arial" w:hAnsi="Arial"/>
          <w:sz w:val="14"/>
          <w:szCs w:val="14"/>
          <w:color w:val="auto"/>
        </w:rPr>
        <w:t>Retail</w:t>
      </w:r>
    </w:p>
    <w:p>
      <w:pPr>
        <w:spacing w:after="0" w:line="124"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CableOrganizer Acquisition, LLC</w:t>
      </w:r>
      <w:r>
        <w:rPr>
          <w:sz w:val="20"/>
          <w:szCs w:val="20"/>
          <w:color w:val="auto"/>
        </w:rPr>
        <w:tab/>
      </w:r>
      <w:r>
        <w:rPr>
          <w:rFonts w:ascii="Arial" w:cs="Arial" w:eastAsia="Arial" w:hAnsi="Arial"/>
          <w:sz w:val="13"/>
          <w:szCs w:val="13"/>
          <w:color w:val="auto"/>
        </w:rPr>
        <w:t>Computer Supply</w:t>
      </w:r>
    </w:p>
    <w:p>
      <w:pPr>
        <w:ind w:left="2680"/>
        <w:spacing w:after="0"/>
        <w:rPr>
          <w:sz w:val="20"/>
          <w:szCs w:val="20"/>
          <w:color w:val="auto"/>
        </w:rPr>
      </w:pPr>
      <w:r>
        <w:rPr>
          <w:rFonts w:ascii="Arial" w:cs="Arial" w:eastAsia="Arial" w:hAnsi="Arial"/>
          <w:sz w:val="14"/>
          <w:szCs w:val="14"/>
          <w:color w:val="auto"/>
        </w:rPr>
        <w:t>Retail</w:t>
      </w:r>
    </w:p>
    <w:p>
      <w:pPr>
        <w:spacing w:after="0" w:line="124"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CableOrganizer Acquisition, LLC</w:t>
      </w:r>
      <w:r>
        <w:rPr>
          <w:sz w:val="20"/>
          <w:szCs w:val="20"/>
          <w:color w:val="auto"/>
        </w:rPr>
        <w:tab/>
      </w:r>
      <w:r>
        <w:rPr>
          <w:rFonts w:ascii="Arial" w:cs="Arial" w:eastAsia="Arial" w:hAnsi="Arial"/>
          <w:sz w:val="13"/>
          <w:szCs w:val="13"/>
          <w:color w:val="auto"/>
        </w:rPr>
        <w:t>Computer Supply</w:t>
      </w:r>
    </w:p>
    <w:p>
      <w:pPr>
        <w:ind w:left="2680"/>
        <w:spacing w:after="0"/>
        <w:rPr>
          <w:sz w:val="20"/>
          <w:szCs w:val="20"/>
          <w:color w:val="auto"/>
        </w:rPr>
      </w:pPr>
      <w:r>
        <w:rPr>
          <w:rFonts w:ascii="Arial" w:cs="Arial" w:eastAsia="Arial" w:hAnsi="Arial"/>
          <w:sz w:val="14"/>
          <w:szCs w:val="14"/>
          <w:color w:val="auto"/>
        </w:rPr>
        <w:t>Retail</w:t>
      </w:r>
    </w:p>
    <w:p>
      <w:pPr>
        <w:spacing w:after="0" w:line="200" w:lineRule="exact"/>
        <w:rPr>
          <w:sz w:val="20"/>
          <w:szCs w:val="20"/>
          <w:color w:val="auto"/>
        </w:rPr>
      </w:pPr>
    </w:p>
    <w:p>
      <w:pPr>
        <w:spacing w:after="0" w:line="275"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Eastport Holdings, LLC</w:t>
      </w:r>
      <w:r>
        <w:rPr>
          <w:sz w:val="20"/>
          <w:szCs w:val="20"/>
          <w:color w:val="auto"/>
        </w:rPr>
        <w:tab/>
      </w:r>
      <w:r>
        <w:rPr>
          <w:rFonts w:ascii="Arial" w:cs="Arial" w:eastAsia="Arial" w:hAnsi="Arial"/>
          <w:sz w:val="12"/>
          <w:szCs w:val="12"/>
          <w:color w:val="auto"/>
        </w:rPr>
        <w:t>Business Services</w:t>
      </w:r>
    </w:p>
    <w:p>
      <w:pPr>
        <w:spacing w:after="0" w:line="285"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Eastport Holdings, LLC</w:t>
      </w:r>
      <w:r>
        <w:rPr>
          <w:sz w:val="20"/>
          <w:szCs w:val="20"/>
          <w:color w:val="auto"/>
        </w:rPr>
        <w:tab/>
      </w:r>
      <w:r>
        <w:rPr>
          <w:rFonts w:ascii="Arial" w:cs="Arial" w:eastAsia="Arial" w:hAnsi="Arial"/>
          <w:sz w:val="12"/>
          <w:szCs w:val="12"/>
          <w:color w:val="auto"/>
        </w:rPr>
        <w:t>Business Services</w:t>
      </w:r>
    </w:p>
    <w:p>
      <w:pPr>
        <w:spacing w:after="0" w:line="200" w:lineRule="exact"/>
        <w:rPr>
          <w:sz w:val="20"/>
          <w:szCs w:val="20"/>
          <w:color w:val="auto"/>
        </w:rPr>
      </w:pPr>
    </w:p>
    <w:p>
      <w:pPr>
        <w:spacing w:after="0" w:line="328"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Kelle's Transport Service, LLC</w:t>
      </w:r>
      <w:r>
        <w:rPr>
          <w:sz w:val="20"/>
          <w:szCs w:val="20"/>
          <w:color w:val="auto"/>
        </w:rPr>
        <w:tab/>
      </w:r>
      <w:r>
        <w:rPr>
          <w:rFonts w:ascii="Arial" w:cs="Arial" w:eastAsia="Arial" w:hAnsi="Arial"/>
          <w:sz w:val="13"/>
          <w:szCs w:val="13"/>
          <w:color w:val="auto"/>
        </w:rPr>
        <w:t>Transportation</w:t>
      </w:r>
    </w:p>
    <w:p>
      <w:pPr>
        <w:spacing w:after="0" w:line="17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Kelle's Transport Service, LLC</w:t>
      </w:r>
      <w:r>
        <w:rPr>
          <w:sz w:val="20"/>
          <w:szCs w:val="20"/>
          <w:color w:val="auto"/>
        </w:rPr>
        <w:tab/>
      </w:r>
      <w:r>
        <w:rPr>
          <w:rFonts w:ascii="Arial" w:cs="Arial" w:eastAsia="Arial" w:hAnsi="Arial"/>
          <w:sz w:val="13"/>
          <w:szCs w:val="13"/>
          <w:color w:val="auto"/>
        </w:rPr>
        <w:t>Transportation</w:t>
      </w:r>
    </w:p>
    <w:p>
      <w:pPr>
        <w:spacing w:after="0" w:line="17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Kelle's Transport Service, LLC</w:t>
      </w:r>
      <w:r>
        <w:rPr>
          <w:sz w:val="20"/>
          <w:szCs w:val="20"/>
          <w:color w:val="auto"/>
        </w:rPr>
        <w:tab/>
      </w:r>
      <w:r>
        <w:rPr>
          <w:rFonts w:ascii="Arial" w:cs="Arial" w:eastAsia="Arial" w:hAnsi="Arial"/>
          <w:sz w:val="13"/>
          <w:szCs w:val="13"/>
          <w:color w:val="auto"/>
        </w:rPr>
        <w:t>Transportation</w:t>
      </w:r>
    </w:p>
    <w:p>
      <w:pPr>
        <w:spacing w:after="0" w:line="200" w:lineRule="exact"/>
        <w:rPr>
          <w:sz w:val="20"/>
          <w:szCs w:val="20"/>
          <w:color w:val="auto"/>
        </w:rPr>
      </w:pPr>
    </w:p>
    <w:p>
      <w:pPr>
        <w:spacing w:after="0" w:line="28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Micro Precision, LLC</w:t>
      </w:r>
      <w:r>
        <w:rPr>
          <w:sz w:val="20"/>
          <w:szCs w:val="20"/>
          <w:color w:val="auto"/>
        </w:rPr>
        <w:tab/>
      </w:r>
      <w:r>
        <w:rPr>
          <w:rFonts w:ascii="Arial" w:cs="Arial" w:eastAsia="Arial" w:hAnsi="Arial"/>
          <w:sz w:val="13"/>
          <w:szCs w:val="13"/>
          <w:color w:val="auto"/>
        </w:rPr>
        <w:t>Conglomerate</w:t>
      </w:r>
    </w:p>
    <w:p>
      <w:pPr>
        <w:spacing w:after="0" w:line="17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Micro Precision, LLC</w:t>
      </w:r>
      <w:r>
        <w:rPr>
          <w:sz w:val="20"/>
          <w:szCs w:val="20"/>
          <w:color w:val="auto"/>
        </w:rPr>
        <w:tab/>
      </w:r>
      <w:r>
        <w:rPr>
          <w:rFonts w:ascii="Arial" w:cs="Arial" w:eastAsia="Arial" w:hAnsi="Arial"/>
          <w:sz w:val="13"/>
          <w:szCs w:val="13"/>
          <w:color w:val="auto"/>
        </w:rPr>
        <w:t>Conglomerate</w:t>
      </w:r>
    </w:p>
    <w:p>
      <w:pPr>
        <w:spacing w:after="0" w:line="325"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Micro Precision, LLC</w:t>
      </w:r>
      <w:r>
        <w:rPr>
          <w:sz w:val="20"/>
          <w:szCs w:val="20"/>
          <w:color w:val="auto"/>
        </w:rPr>
        <w:tab/>
      </w:r>
      <w:r>
        <w:rPr>
          <w:rFonts w:ascii="Arial" w:cs="Arial" w:eastAsia="Arial" w:hAnsi="Arial"/>
          <w:sz w:val="13"/>
          <w:szCs w:val="13"/>
          <w:color w:val="auto"/>
        </w:rPr>
        <w:t>Conglomerate</w:t>
      </w:r>
    </w:p>
    <w:p>
      <w:pPr>
        <w:spacing w:after="0" w:line="200" w:lineRule="exact"/>
        <w:rPr>
          <w:sz w:val="20"/>
          <w:szCs w:val="20"/>
          <w:color w:val="auto"/>
        </w:rPr>
      </w:pPr>
    </w:p>
    <w:p>
      <w:pPr>
        <w:spacing w:after="0" w:line="28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Navis Holdings, Inc.</w:t>
      </w:r>
      <w:r>
        <w:rPr>
          <w:sz w:val="20"/>
          <w:szCs w:val="20"/>
          <w:color w:val="auto"/>
        </w:rPr>
        <w:tab/>
      </w:r>
      <w:r>
        <w:rPr>
          <w:rFonts w:ascii="Arial" w:cs="Arial" w:eastAsia="Arial" w:hAnsi="Arial"/>
          <w:sz w:val="13"/>
          <w:szCs w:val="13"/>
          <w:color w:val="auto"/>
        </w:rPr>
        <w:t>Textile Equipment</w:t>
      </w:r>
    </w:p>
    <w:p>
      <w:pPr>
        <w:ind w:left="2680"/>
        <w:spacing w:after="0"/>
        <w:rPr>
          <w:sz w:val="20"/>
          <w:szCs w:val="20"/>
          <w:color w:val="auto"/>
        </w:rPr>
      </w:pPr>
      <w:r>
        <w:rPr>
          <w:rFonts w:ascii="Arial" w:cs="Arial" w:eastAsia="Arial" w:hAnsi="Arial"/>
          <w:sz w:val="14"/>
          <w:szCs w:val="14"/>
          <w:color w:val="auto"/>
        </w:rPr>
        <w:t>Manufacturer</w:t>
      </w:r>
    </w:p>
    <w:p>
      <w:pPr>
        <w:spacing w:after="0" w:line="124"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Navis Holdings, Inc.</w:t>
      </w:r>
      <w:r>
        <w:rPr>
          <w:sz w:val="20"/>
          <w:szCs w:val="20"/>
          <w:color w:val="auto"/>
        </w:rPr>
        <w:tab/>
      </w:r>
      <w:r>
        <w:rPr>
          <w:rFonts w:ascii="Arial" w:cs="Arial" w:eastAsia="Arial" w:hAnsi="Arial"/>
          <w:sz w:val="13"/>
          <w:szCs w:val="13"/>
          <w:color w:val="auto"/>
        </w:rPr>
        <w:t>Textile Equipment</w:t>
      </w:r>
    </w:p>
    <w:p>
      <w:pPr>
        <w:ind w:left="2680"/>
        <w:spacing w:after="0"/>
        <w:rPr>
          <w:sz w:val="20"/>
          <w:szCs w:val="20"/>
          <w:color w:val="auto"/>
        </w:rPr>
      </w:pPr>
      <w:r>
        <w:rPr>
          <w:rFonts w:ascii="Arial" w:cs="Arial" w:eastAsia="Arial" w:hAnsi="Arial"/>
          <w:sz w:val="14"/>
          <w:szCs w:val="14"/>
          <w:color w:val="auto"/>
        </w:rPr>
        <w:t>Manufacturer</w:t>
      </w:r>
    </w:p>
    <w:p>
      <w:pPr>
        <w:spacing w:after="0" w:line="164"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Navis Holdings, Inc.</w:t>
      </w:r>
      <w:r>
        <w:rPr>
          <w:sz w:val="20"/>
          <w:szCs w:val="20"/>
          <w:color w:val="auto"/>
        </w:rPr>
        <w:tab/>
      </w:r>
      <w:r>
        <w:rPr>
          <w:rFonts w:ascii="Arial" w:cs="Arial" w:eastAsia="Arial" w:hAnsi="Arial"/>
          <w:sz w:val="13"/>
          <w:szCs w:val="13"/>
          <w:color w:val="auto"/>
        </w:rPr>
        <w:t>Textile Equipment</w:t>
      </w:r>
    </w:p>
    <w:p>
      <w:pPr>
        <w:ind w:left="2680"/>
        <w:spacing w:after="0"/>
        <w:rPr>
          <w:sz w:val="20"/>
          <w:szCs w:val="20"/>
          <w:color w:val="auto"/>
        </w:rPr>
      </w:pPr>
      <w:r>
        <w:rPr>
          <w:rFonts w:ascii="Arial" w:cs="Arial" w:eastAsia="Arial" w:hAnsi="Arial"/>
          <w:sz w:val="14"/>
          <w:szCs w:val="14"/>
          <w:color w:val="auto"/>
        </w:rPr>
        <w:t>Manufacturer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3"/>
        </w:trPr>
        <w:tc>
          <w:tcPr>
            <w:tcW w:w="3220" w:type="dxa"/>
            <w:vAlign w:val="bottom"/>
          </w:tcPr>
          <w:p>
            <w:pPr>
              <w:spacing w:after="0"/>
              <w:rPr>
                <w:sz w:val="20"/>
                <w:szCs w:val="20"/>
                <w:color w:val="auto"/>
              </w:rPr>
            </w:pPr>
            <w:r>
              <w:rPr>
                <w:rFonts w:ascii="Arial" w:cs="Arial" w:eastAsia="Arial" w:hAnsi="Arial"/>
                <w:sz w:val="14"/>
                <w:szCs w:val="14"/>
                <w:color w:val="auto"/>
              </w:rPr>
              <w:t xml:space="preserve">First Lien Debt (10.0% Cash, Due 6/30/19) </w:t>
            </w:r>
            <w:r>
              <w:rPr>
                <w:rFonts w:ascii="Arial" w:cs="Arial" w:eastAsia="Arial" w:hAnsi="Arial"/>
                <w:sz w:val="23"/>
                <w:szCs w:val="23"/>
                <w:color w:val="auto"/>
                <w:vertAlign w:val="superscript"/>
              </w:rPr>
              <w:t>(15)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1,708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1,708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1,708</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20"/>
                <w:szCs w:val="20"/>
                <w:color w:val="auto"/>
              </w:rPr>
            </w:pPr>
            <w:r>
              <w:rPr>
                <w:rFonts w:ascii="Arial" w:cs="Arial" w:eastAsia="Arial" w:hAnsi="Arial"/>
                <w:sz w:val="14"/>
                <w:szCs w:val="14"/>
                <w:color w:val="auto"/>
                <w:w w:val="96"/>
              </w:rPr>
              <w:t>First Lien Debt (12.0% Cash, 4.0% PIK, Due 6/30/19)</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20"/>
                <w:szCs w:val="20"/>
                <w:color w:val="auto"/>
              </w:rPr>
            </w:pPr>
            <w:r>
              <w:rPr>
                <w:rFonts w:ascii="Arial" w:cs="Arial" w:eastAsia="Arial" w:hAnsi="Arial"/>
                <w:sz w:val="12"/>
                <w:szCs w:val="12"/>
                <w:color w:val="auto"/>
              </w:rPr>
              <w:t>(11)</w:t>
            </w:r>
          </w:p>
        </w:tc>
        <w:tc>
          <w:tcPr>
            <w:tcW w:w="3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8,709</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8,709</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8,709</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446"/>
        </w:trPr>
        <w:tc>
          <w:tcPr>
            <w:tcW w:w="3220" w:type="dxa"/>
            <w:vAlign w:val="bottom"/>
          </w:tcPr>
          <w:p>
            <w:pPr>
              <w:spacing w:after="0"/>
              <w:rPr>
                <w:sz w:val="20"/>
                <w:szCs w:val="20"/>
                <w:color w:val="auto"/>
              </w:rPr>
            </w:pPr>
            <w:r>
              <w:rPr>
                <w:rFonts w:ascii="Arial" w:cs="Arial" w:eastAsia="Arial" w:hAnsi="Arial"/>
                <w:sz w:val="14"/>
                <w:szCs w:val="14"/>
                <w:color w:val="auto"/>
              </w:rPr>
              <w:t>Preferred Units (4,000,000 units)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2,354</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2,354</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446"/>
        </w:trPr>
        <w:tc>
          <w:tcPr>
            <w:tcW w:w="3220" w:type="dxa"/>
            <w:vAlign w:val="bottom"/>
          </w:tcPr>
          <w:p>
            <w:pPr>
              <w:spacing w:after="0"/>
              <w:rPr>
                <w:sz w:val="20"/>
                <w:szCs w:val="20"/>
                <w:color w:val="auto"/>
              </w:rPr>
            </w:pPr>
            <w:r>
              <w:rPr>
                <w:rFonts w:ascii="Arial" w:cs="Arial" w:eastAsia="Arial" w:hAnsi="Arial"/>
                <w:sz w:val="14"/>
                <w:szCs w:val="14"/>
                <w:color w:val="auto"/>
              </w:rPr>
              <w:t>Common Stock (21.3% fully diluted)</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1,394</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44"/>
        </w:trPr>
        <w:tc>
          <w:tcPr>
            <w:tcW w:w="3220" w:type="dxa"/>
            <w:vAlign w:val="bottom"/>
          </w:tcPr>
          <w:p>
            <w:pPr>
              <w:spacing w:after="0"/>
              <w:rPr>
                <w:sz w:val="20"/>
                <w:szCs w:val="20"/>
                <w:color w:val="auto"/>
              </w:rPr>
            </w:pPr>
            <w:r>
              <w:rPr>
                <w:rFonts w:ascii="Arial" w:cs="Arial" w:eastAsia="Arial" w:hAnsi="Arial"/>
                <w:sz w:val="14"/>
                <w:szCs w:val="14"/>
                <w:color w:val="auto"/>
              </w:rPr>
              <w:t>Common Stock Warrants (10.0% fully diluted )</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14,165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12,771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2"/>
        </w:trPr>
        <w:tc>
          <w:tcPr>
            <w:tcW w:w="3220" w:type="dxa"/>
            <w:vAlign w:val="bottom"/>
          </w:tcPr>
          <w:p>
            <w:pPr>
              <w:spacing w:after="0"/>
              <w:rPr>
                <w:sz w:val="20"/>
                <w:szCs w:val="20"/>
                <w:color w:val="auto"/>
              </w:rPr>
            </w:pPr>
            <w:r>
              <w:rPr>
                <w:rFonts w:ascii="Arial" w:cs="Arial" w:eastAsia="Arial" w:hAnsi="Arial"/>
                <w:sz w:val="14"/>
                <w:szCs w:val="14"/>
                <w:color w:val="auto"/>
              </w:rPr>
              <w:t>Subordinated Debt (15.3% Cash (3 month LIBOR +</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13.0%, 0.5% Floor), Due 4/29/20)</w:t>
            </w:r>
          </w:p>
        </w:tc>
        <w:tc>
          <w:tcPr>
            <w:tcW w:w="3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16,500</w:t>
            </w: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15,115</w:t>
            </w: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36"/>
        </w:trPr>
        <w:tc>
          <w:tcPr>
            <w:tcW w:w="3220" w:type="dxa"/>
            <w:vAlign w:val="bottom"/>
          </w:tcPr>
          <w:p>
            <w:pPr>
              <w:spacing w:after="0"/>
              <w:rPr>
                <w:sz w:val="20"/>
                <w:szCs w:val="20"/>
                <w:color w:val="auto"/>
              </w:rPr>
            </w:pPr>
            <w:r>
              <w:rPr>
                <w:rFonts w:ascii="Arial" w:cs="Arial" w:eastAsia="Arial" w:hAnsi="Arial"/>
                <w:sz w:val="14"/>
                <w:szCs w:val="14"/>
                <w:color w:val="auto"/>
              </w:rPr>
              <w:t xml:space="preserve">Membership Units (33.3% ownership) </w:t>
            </w:r>
            <w:r>
              <w:rPr>
                <w:rFonts w:ascii="Arial" w:cs="Arial" w:eastAsia="Arial" w:hAnsi="Arial"/>
                <w:sz w:val="23"/>
                <w:szCs w:val="23"/>
                <w:color w:val="auto"/>
                <w:vertAlign w:val="superscript"/>
              </w:rPr>
              <w:t>(16)</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4,733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26,449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19,848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42,949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(4.0% Cash, Due 2/15/20) </w:t>
            </w:r>
            <w:r>
              <w:rPr>
                <w:rFonts w:ascii="Arial" w:cs="Arial" w:eastAsia="Arial" w:hAnsi="Arial"/>
                <w:sz w:val="23"/>
                <w:szCs w:val="23"/>
                <w:color w:val="auto"/>
                <w:vertAlign w:val="superscript"/>
              </w:rPr>
              <w:t>(17)</w:t>
            </w: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3,300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3,300</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38"/>
        </w:trPr>
        <w:tc>
          <w:tcPr>
            <w:tcW w:w="3220" w:type="dxa"/>
            <w:vAlign w:val="bottom"/>
          </w:tcPr>
          <w:p>
            <w:pPr>
              <w:spacing w:after="0"/>
              <w:rPr>
                <w:sz w:val="20"/>
                <w:szCs w:val="20"/>
                <w:color w:val="auto"/>
              </w:rPr>
            </w:pPr>
            <w:r>
              <w:rPr>
                <w:rFonts w:ascii="Arial" w:cs="Arial" w:eastAsia="Arial" w:hAnsi="Arial"/>
                <w:sz w:val="14"/>
                <w:szCs w:val="14"/>
                <w:color w:val="auto"/>
              </w:rPr>
              <w:t xml:space="preserve">First Lien Debt (2.2% Cash, Due 2/15/20) </w:t>
            </w:r>
            <w:r>
              <w:rPr>
                <w:rFonts w:ascii="Arial" w:cs="Arial" w:eastAsia="Arial" w:hAnsi="Arial"/>
                <w:sz w:val="23"/>
                <w:szCs w:val="23"/>
                <w:color w:val="auto"/>
                <w:vertAlign w:val="superscript"/>
              </w:rPr>
              <w:t>(11)</w:t>
            </w: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13,674</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13,668</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20"/>
                <w:szCs w:val="20"/>
                <w:color w:val="auto"/>
              </w:rPr>
            </w:pPr>
            <w:r>
              <w:rPr>
                <w:rFonts w:ascii="Arial" w:cs="Arial" w:eastAsia="Arial" w:hAnsi="Arial"/>
                <w:sz w:val="14"/>
                <w:szCs w:val="14"/>
                <w:color w:val="auto"/>
              </w:rPr>
              <w:t>Membership Units (27.5% fully diluted)</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16,968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color w:val="auto"/>
                <w:w w:val="99"/>
              </w:rPr>
              <w:t xml:space="preserve">Subordinated Debt (10.0% Cash, Due 9/15/18) </w:t>
            </w:r>
            <w:r>
              <w:rPr>
                <w:rFonts w:ascii="Arial" w:cs="Arial" w:eastAsia="Arial" w:hAnsi="Arial"/>
                <w:sz w:val="23"/>
                <w:szCs w:val="23"/>
                <w:color w:val="auto"/>
                <w:w w:val="99"/>
                <w:vertAlign w:val="superscript"/>
              </w:rPr>
              <w:t>(11)</w:t>
            </w: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20"/>
                <w:szCs w:val="20"/>
                <w:color w:val="auto"/>
              </w:rPr>
            </w:pPr>
            <w:r>
              <w:rPr>
                <w:rFonts w:ascii="Arial" w:cs="Arial" w:eastAsia="Arial" w:hAnsi="Arial"/>
                <w:sz w:val="14"/>
                <w:szCs w:val="14"/>
                <w:color w:val="auto"/>
              </w:rPr>
              <w:t>Subordinated Debt (14.0% Cash, 4.0% PIK, Due</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4"/>
                <w:szCs w:val="14"/>
                <w:color w:val="auto"/>
              </w:rPr>
              <w:t xml:space="preserve">9/15/18) </w:t>
            </w:r>
            <w:r>
              <w:rPr>
                <w:rFonts w:ascii="Arial" w:cs="Arial" w:eastAsia="Arial" w:hAnsi="Arial"/>
                <w:sz w:val="23"/>
                <w:szCs w:val="23"/>
                <w:color w:val="auto"/>
                <w:vertAlign w:val="superscript"/>
              </w:rPr>
              <w:t>(11)</w:t>
            </w: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4,238</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4,238</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4,238</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20"/>
                <w:szCs w:val="20"/>
                <w:color w:val="auto"/>
              </w:rPr>
            </w:pPr>
            <w:r>
              <w:rPr>
                <w:rFonts w:ascii="Arial" w:cs="Arial" w:eastAsia="Arial" w:hAnsi="Arial"/>
                <w:sz w:val="14"/>
                <w:szCs w:val="14"/>
                <w:color w:val="auto"/>
              </w:rPr>
              <w:t>Series A Preferred Units (47 units)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7,729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(15.0% Cash, Due 10/30/20) </w:t>
            </w:r>
            <w:r>
              <w:rPr>
                <w:rFonts w:ascii="Arial" w:cs="Arial" w:eastAsia="Arial" w:hAnsi="Arial"/>
                <w:sz w:val="23"/>
                <w:szCs w:val="23"/>
                <w:color w:val="auto"/>
                <w:vertAlign w:val="superscript"/>
              </w:rPr>
              <w:t>(11)</w:t>
            </w: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7,500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7,500</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20"/>
                <w:szCs w:val="20"/>
                <w:color w:val="auto"/>
              </w:rPr>
            </w:pPr>
            <w:r>
              <w:rPr>
                <w:rFonts w:ascii="Arial" w:cs="Arial" w:eastAsia="Arial" w:hAnsi="Arial"/>
                <w:sz w:val="14"/>
                <w:szCs w:val="14"/>
                <w:color w:val="auto"/>
                <w:w w:val="99"/>
              </w:rPr>
              <w:t>Class A Preferred Stock (1,000 shares, 10.0% Cash</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44"/>
        </w:trPr>
        <w:tc>
          <w:tcPr>
            <w:tcW w:w="3220" w:type="dxa"/>
            <w:vAlign w:val="bottom"/>
          </w:tcPr>
          <w:p>
            <w:pPr>
              <w:spacing w:after="0"/>
              <w:rPr>
                <w:sz w:val="20"/>
                <w:szCs w:val="20"/>
                <w:color w:val="auto"/>
              </w:rPr>
            </w:pPr>
            <w:r>
              <w:rPr>
                <w:rFonts w:ascii="Arial" w:cs="Arial" w:eastAsia="Arial" w:hAnsi="Arial"/>
                <w:sz w:val="14"/>
                <w:szCs w:val="14"/>
                <w:color w:val="auto"/>
              </w:rPr>
              <w:t>Common Stock (300,000 shares)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5,309</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8,501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13,809</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-5144770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-4861560</wp:posOffset>
            </wp:positionV>
            <wp:extent cx="724662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-4570095</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-4287520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-4004310</wp:posOffset>
            </wp:positionV>
            <wp:extent cx="72466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-3703955</wp:posOffset>
            </wp:positionV>
            <wp:extent cx="72466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-3498215</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-3215005</wp:posOffset>
            </wp:positionV>
            <wp:extent cx="72466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-2983865</wp:posOffset>
            </wp:positionV>
            <wp:extent cx="72466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-2778125</wp:posOffset>
            </wp:positionV>
            <wp:extent cx="724662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-2563495</wp:posOffset>
            </wp:positionV>
            <wp:extent cx="72466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-2348865</wp:posOffset>
            </wp:positionV>
            <wp:extent cx="72466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-2143125</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-1937385</wp:posOffset>
            </wp:positionV>
            <wp:extent cx="724662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-1723390</wp:posOffset>
            </wp:positionV>
            <wp:extent cx="72466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-1414145</wp:posOffset>
            </wp:positionV>
            <wp:extent cx="72466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-1208405</wp:posOffset>
            </wp:positionV>
            <wp:extent cx="72466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-1002665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-719455</wp:posOffset>
            </wp:positionV>
            <wp:extent cx="72466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-410845</wp:posOffset>
            </wp:positionV>
            <wp:extent cx="72466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-111125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440"/>
            <w:col w:w="7240"/>
          </w:cols>
          <w:pgMar w:left="240" w:top="796"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Portfolio Company, Country </w:t>
            </w:r>
            <w:r>
              <w:rPr>
                <w:rFonts w:ascii="Arial" w:cs="Arial" w:eastAsia="Arial" w:hAnsi="Arial"/>
                <w:sz w:val="23"/>
                <w:szCs w:val="23"/>
                <w:b w:val="1"/>
                <w:bCs w:val="1"/>
                <w:color w:val="auto"/>
                <w:w w:val="90"/>
                <w:vertAlign w:val="superscript"/>
              </w:rPr>
              <w:t>(1)</w:t>
            </w:r>
            <w:r>
              <w:rPr>
                <w:rFonts w:ascii="Arial" w:cs="Arial" w:eastAsia="Arial" w:hAnsi="Arial"/>
                <w:sz w:val="23"/>
                <w:szCs w:val="23"/>
                <w:b w:val="1"/>
                <w:bCs w:val="1"/>
                <w:u w:val="single" w:color="auto"/>
                <w:color w:val="auto"/>
                <w:w w:val="90"/>
                <w:vertAlign w:val="superscript"/>
              </w:rPr>
              <w:t>,</w:t>
            </w:r>
            <w:r>
              <w:rPr>
                <w:rFonts w:ascii="Arial" w:cs="Arial" w:eastAsia="Arial" w:hAnsi="Arial"/>
                <w:sz w:val="14"/>
                <w:szCs w:val="14"/>
                <w:b w:val="1"/>
                <w:bCs w:val="1"/>
                <w:color w:val="auto"/>
                <w:w w:val="90"/>
              </w:rPr>
              <w:t xml:space="preserve"> </w:t>
            </w:r>
            <w:r>
              <w:rPr>
                <w:rFonts w:ascii="Arial" w:cs="Arial" w:eastAsia="Arial" w:hAnsi="Arial"/>
                <w:sz w:val="23"/>
                <w:szCs w:val="23"/>
                <w:b w:val="1"/>
                <w:bCs w:val="1"/>
                <w:color w:val="auto"/>
                <w:w w:val="90"/>
                <w:vertAlign w:val="superscript"/>
              </w:rPr>
              <w:t>(2), (3), (4)</w:t>
            </w:r>
          </w:p>
        </w:tc>
        <w:tc>
          <w:tcPr>
            <w:tcW w:w="13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33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Fuel Transportation</w:t>
            </w:r>
          </w:p>
        </w:tc>
        <w:tc>
          <w:tcPr>
            <w:tcW w:w="340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 xml:space="preserve">First Lien Debt (18.0% Cash, Due 12/19/18) </w:t>
            </w:r>
            <w:r>
              <w:rPr>
                <w:rFonts w:ascii="Arial" w:cs="Arial" w:eastAsia="Arial" w:hAnsi="Arial"/>
                <w:sz w:val="23"/>
                <w:szCs w:val="23"/>
                <w:color w:val="auto"/>
                <w:vertAlign w:val="superscript"/>
              </w:rPr>
              <w:t>(7) (11)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3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15,525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11,020</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12,134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Fuel Transportation</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Series A Preferred Stock (32,782 shares)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Fuel Transportation</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Series B Preferred Stock (23,648 shares)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Fuel Transportation</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Common Stock (33,058 shares)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12,134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340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First Lien Debt (9.0% Cash (1 month LIBOR + 7.0%,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Personal Digital</w:t>
            </w:r>
          </w:p>
        </w:tc>
        <w:tc>
          <w:tcPr>
            <w:tcW w:w="340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1.0% floor, 2.0% ceiling), Due 12/31/22) </w:t>
            </w:r>
            <w:r>
              <w:rPr>
                <w:rFonts w:ascii="Arial" w:cs="Arial" w:eastAsia="Arial" w:hAnsi="Arial"/>
                <w:sz w:val="20"/>
                <w:szCs w:val="20"/>
                <w:color w:val="auto"/>
                <w:vertAlign w:val="superscript"/>
              </w:rPr>
              <w:t>(18)</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34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(9.0% Cash (1 month LIBOR + 7.0%,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 floor, 5.0% ceiling), Due 12/31/22)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Preferred Units (4,350,000 Units)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2,092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Membership Units (150,000 Units)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8,092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Control investments - United</w:t>
            </w: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92,357</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110,784</w:t>
            </w:r>
          </w:p>
        </w:tc>
        <w:tc>
          <w:tcPr>
            <w:tcW w:w="9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color w:val="auto"/>
              </w:rPr>
              <w:t>50.5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- 220.3%</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426,747</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483,261</w:t>
            </w: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b w:val="1"/>
                <w:bCs w:val="1"/>
                <w:color w:val="auto"/>
              </w:rPr>
              <w:t>220.3</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(3.1)%</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United States</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34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Derivatives - United States</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DERIVATIVES - (3.1)%</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(6,815</w:t>
            </w:r>
            <w:r>
              <w:rPr>
                <w:rFonts w:ascii="Arial" w:cs="Arial" w:eastAsia="Arial" w:hAnsi="Arial"/>
                <w:sz w:val="20"/>
                <w:szCs w:val="20"/>
                <w:b w:val="1"/>
                <w:bCs w:val="1"/>
                <w:color w:val="auto"/>
                <w:vertAlign w:val="superscript"/>
              </w:rPr>
              <w:t>)</w:t>
            </w:r>
          </w:p>
        </w:tc>
        <w:tc>
          <w:tcPr>
            <w:tcW w:w="9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b w:val="1"/>
                <w:bCs w:val="1"/>
                <w:color w:val="auto"/>
              </w:rPr>
              <w:t>(3.1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Percentages are based on net assets of $219,317 as of June 30,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right="80" w:firstLine="8"/>
        <w:spacing w:after="0" w:line="25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June 30, 2018, 4.9%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$0.2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$0.3 million unfunded commitment.</w:t>
      </w:r>
    </w:p>
    <w:p>
      <w:pPr>
        <w:spacing w:after="0" w:line="9" w:lineRule="exact"/>
        <w:rPr>
          <w:rFonts w:ascii="Arial" w:cs="Arial" w:eastAsia="Arial" w:hAnsi="Arial"/>
          <w:sz w:val="18"/>
          <w:szCs w:val="18"/>
          <w:color w:val="auto"/>
        </w:rPr>
      </w:pPr>
    </w:p>
    <w:p>
      <w:pPr>
        <w:ind w:right="460" w:firstLine="8"/>
        <w:spacing w:after="0" w:line="250" w:lineRule="auto"/>
        <w:tabs>
          <w:tab w:leader="none" w:pos="34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June 30, 2018, the fair value of the written call option is approximately $6.8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$1.4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$3.8 million unfunded commitment.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221"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1420"/>
          </w:cols>
          <w:pgMar w:left="240" w:top="796"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Industry</w:t>
            </w:r>
          </w:p>
        </w:tc>
      </w:tr>
      <w:tr>
        <w:trPr>
          <w:trHeight w:val="268"/>
        </w:trPr>
        <w:tc>
          <w:tcPr>
            <w:tcW w:w="2560" w:type="dxa"/>
            <w:vAlign w:val="bottom"/>
          </w:tcPr>
          <w:p>
            <w:pPr>
              <w:spacing w:after="0"/>
              <w:rPr>
                <w:sz w:val="20"/>
                <w:szCs w:val="20"/>
                <w:color w:val="auto"/>
              </w:rPr>
            </w:pPr>
            <w:r>
              <w:rPr>
                <w:rFonts w:ascii="Arial" w:cs="Arial" w:eastAsia="Arial" w:hAnsi="Arial"/>
                <w:sz w:val="14"/>
                <w:szCs w:val="14"/>
                <w:b w:val="1"/>
                <w:bCs w:val="1"/>
                <w:color w:val="auto"/>
                <w:w w:val="95"/>
              </w:rPr>
              <w:t>Non-control/non-affiliated investments -</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130.0%</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9"/>
        </w:trPr>
        <w:tc>
          <w:tcPr>
            <w:tcW w:w="2560" w:type="dxa"/>
            <w:vAlign w:val="bottom"/>
          </w:tcPr>
          <w:p>
            <w:pPr>
              <w:spacing w:after="0"/>
              <w:rPr>
                <w:sz w:val="20"/>
                <w:szCs w:val="20"/>
                <w:color w:val="auto"/>
              </w:rPr>
            </w:pPr>
            <w:r>
              <w:rPr>
                <w:rFonts w:ascii="Arial" w:cs="Arial" w:eastAsia="Arial" w:hAnsi="Arial"/>
                <w:sz w:val="14"/>
                <w:szCs w:val="14"/>
                <w:b w:val="1"/>
                <w:bCs w:val="1"/>
                <w:color w:val="auto"/>
                <w:w w:val="95"/>
              </w:rPr>
              <w:t>Non-control/non-affiliated investments -</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IT Consulting</w:t>
            </w: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IT Consulting</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IT Consulting</w:t>
            </w:r>
          </w:p>
        </w:tc>
      </w:tr>
      <w:tr>
        <w:trPr>
          <w:trHeight w:val="648"/>
        </w:trPr>
        <w:tc>
          <w:tcPr>
            <w:tcW w:w="25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Healthcare</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Healthcare</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7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94615</wp:posOffset>
            </wp:positionV>
            <wp:extent cx="72466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377190</wp:posOffset>
            </wp:positionV>
            <wp:extent cx="72466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20"/>
                <w:szCs w:val="20"/>
                <w:color w:val="auto"/>
              </w:rPr>
            </w:pPr>
            <w:r>
              <w:rPr>
                <w:rFonts w:ascii="Arial" w:cs="Arial" w:eastAsia="Arial" w:hAnsi="Arial"/>
                <w:sz w:val="14"/>
                <w:szCs w:val="14"/>
                <w:color w:val="auto"/>
              </w:rPr>
              <w:t>First Lien Debt (10.38% Cash (1 month LIBOR +</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20"/>
                <w:szCs w:val="20"/>
                <w:color w:val="auto"/>
              </w:rPr>
            </w:pPr>
            <w:r>
              <w:rPr>
                <w:rFonts w:ascii="Arial" w:cs="Arial" w:eastAsia="Arial" w:hAnsi="Arial"/>
                <w:sz w:val="14"/>
                <w:szCs w:val="14"/>
                <w:color w:val="auto"/>
              </w:rPr>
              <w:t>9.0%, 1% Floor), Due 12/4/22)</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11,250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11,250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11,250</w:t>
            </w:r>
          </w:p>
        </w:tc>
        <w:tc>
          <w:tcPr>
            <w:tcW w:w="2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38"/>
        </w:trPr>
        <w:tc>
          <w:tcPr>
            <w:tcW w:w="3100" w:type="dxa"/>
            <w:vAlign w:val="bottom"/>
          </w:tcPr>
          <w:p>
            <w:pPr>
              <w:spacing w:after="0"/>
              <w:rPr>
                <w:sz w:val="20"/>
                <w:szCs w:val="20"/>
                <w:color w:val="auto"/>
              </w:rPr>
            </w:pPr>
            <w:r>
              <w:rPr>
                <w:rFonts w:ascii="Arial" w:cs="Arial" w:eastAsia="Arial" w:hAnsi="Arial"/>
                <w:sz w:val="14"/>
                <w:szCs w:val="14"/>
                <w:color w:val="auto"/>
              </w:rPr>
              <w:t xml:space="preserve">Preferred Units (965,250 units, 8% PIK) </w:t>
            </w:r>
            <w:r>
              <w:rPr>
                <w:rFonts w:ascii="Arial" w:cs="Arial" w:eastAsia="Arial" w:hAnsi="Arial"/>
                <w:sz w:val="23"/>
                <w:szCs w:val="23"/>
                <w:color w:val="auto"/>
                <w:vertAlign w:val="superscript"/>
              </w:rPr>
              <w:t>(5)</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Arial" w:cs="Arial" w:eastAsia="Arial" w:hAnsi="Arial"/>
                <w:sz w:val="14"/>
                <w:szCs w:val="14"/>
                <w:color w:val="auto"/>
              </w:rPr>
              <w:t>Membership Units (39,000 units)</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(11.74% Cash, Due 12/18/22) </w:t>
            </w:r>
            <w:r>
              <w:rPr>
                <w:rFonts w:ascii="Arial" w:cs="Arial" w:eastAsia="Arial" w:hAnsi="Arial"/>
                <w:sz w:val="23"/>
                <w:szCs w:val="23"/>
                <w:color w:val="auto"/>
                <w:vertAlign w:val="superscript"/>
              </w:rPr>
              <w:t>(6)</w:t>
            </w: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20"/>
                <w:szCs w:val="20"/>
                <w:color w:val="auto"/>
              </w:rPr>
            </w:pPr>
            <w:r>
              <w:rPr>
                <w:rFonts w:ascii="Arial" w:cs="Arial" w:eastAsia="Arial" w:hAnsi="Arial"/>
                <w:sz w:val="14"/>
                <w:szCs w:val="14"/>
                <w:color w:val="auto"/>
              </w:rPr>
              <w:t>Membership Units (20,092 units)</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-1228725</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-945515</wp:posOffset>
            </wp:positionV>
            <wp:extent cx="724662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-731520</wp:posOffset>
            </wp:positionV>
            <wp:extent cx="72466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-525780</wp:posOffset>
            </wp:positionV>
            <wp:extent cx="724662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-319405</wp:posOffset>
            </wp:positionV>
            <wp:extent cx="72466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-105410</wp:posOffset>
            </wp:positionV>
            <wp:extent cx="724662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4060" w:space="120"/>
            <w:col w:w="72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American Clinical Solutions, LLC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Healthcare</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 Debt (10.5% Cash, 1% PIK, Due 6/11/20)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9,068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17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Replacement Window</w:t>
            </w:r>
          </w:p>
        </w:tc>
        <w:tc>
          <w:tcPr>
            <w:tcW w:w="352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 xml:space="preserve">First Lien Debt (10% PIK, Due 1/1/19) </w:t>
            </w:r>
            <w:r>
              <w:rPr>
                <w:rFonts w:ascii="Arial" w:cs="Arial" w:eastAsia="Arial" w:hAnsi="Arial"/>
                <w:sz w:val="23"/>
                <w:szCs w:val="23"/>
                <w:color w:val="auto"/>
                <w:vertAlign w:val="superscript"/>
              </w:rPr>
              <w:t>(7)(8)</w:t>
            </w: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Manufacturer</w:t>
            </w:r>
          </w:p>
        </w:tc>
        <w:tc>
          <w:tcPr>
            <w:tcW w:w="352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8,287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17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Replacement Window</w:t>
            </w:r>
          </w:p>
        </w:tc>
        <w:tc>
          <w:tcPr>
            <w:tcW w:w="3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Manufacturer</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Warrants (10% fully diluted)</w:t>
            </w:r>
          </w:p>
        </w:tc>
        <w:tc>
          <w:tcPr>
            <w:tcW w:w="9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AmeriMark Direct, LLC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Consumer Products</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 Debt (12.75% Cash, Due 9/8/21)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19,100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B&amp;W Quality Growers, LLC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Farming</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Membership Unit Warrants (91,739 Units)</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BigMouth, Inc.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Consumer Products</w:t>
            </w:r>
          </w:p>
        </w:tc>
        <w:tc>
          <w:tcPr>
            <w:tcW w:w="3520" w:type="dxa"/>
            <w:vAlign w:val="bottom"/>
            <w:shd w:val="clear" w:color="auto" w:fill="CCEEFF"/>
          </w:tcPr>
          <w:p>
            <w:pPr>
              <w:ind w:left="100"/>
              <w:spacing w:after="0" w:line="189" w:lineRule="exact"/>
              <w:rPr>
                <w:sz w:val="20"/>
                <w:szCs w:val="20"/>
                <w:color w:val="auto"/>
              </w:rPr>
            </w:pPr>
            <w:r>
              <w:rPr>
                <w:rFonts w:ascii="Arial" w:cs="Arial" w:eastAsia="Arial" w:hAnsi="Arial"/>
                <w:sz w:val="13"/>
                <w:szCs w:val="13"/>
                <w:color w:val="auto"/>
              </w:rPr>
              <w:t xml:space="preserve">First Lien Debt (13.3% Cash, Due 11/14/21) </w:t>
            </w:r>
            <w:r>
              <w:rPr>
                <w:rFonts w:ascii="Arial" w:cs="Arial" w:eastAsia="Arial" w:hAnsi="Arial"/>
                <w:sz w:val="21"/>
                <w:szCs w:val="21"/>
                <w:color w:val="auto"/>
                <w:vertAlign w:val="superscript"/>
              </w:rPr>
              <w:t>(6)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9,790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BigMouth, Inc.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Consumer Products</w:t>
            </w:r>
          </w:p>
        </w:tc>
        <w:tc>
          <w:tcPr>
            <w:tcW w:w="3520" w:type="dxa"/>
            <w:vAlign w:val="bottom"/>
            <w:shd w:val="clear" w:color="auto" w:fill="CCEEFF"/>
          </w:tcPr>
          <w:p>
            <w:pPr>
              <w:ind w:left="100"/>
              <w:spacing w:after="0" w:line="202" w:lineRule="exact"/>
              <w:rPr>
                <w:sz w:val="20"/>
                <w:szCs w:val="20"/>
                <w:color w:val="auto"/>
              </w:rPr>
            </w:pPr>
            <w:r>
              <w:rPr>
                <w:rFonts w:ascii="Arial" w:cs="Arial" w:eastAsia="Arial" w:hAnsi="Arial"/>
                <w:sz w:val="14"/>
                <w:szCs w:val="14"/>
                <w:color w:val="auto"/>
                <w:w w:val="99"/>
              </w:rPr>
              <w:t xml:space="preserve">Series A Preferred Stock (350,000 shares, 8% PIK) </w:t>
            </w:r>
            <w:r>
              <w:rPr>
                <w:rFonts w:ascii="Arial" w:cs="Arial" w:eastAsia="Arial" w:hAnsi="Arial"/>
                <w:sz w:val="23"/>
                <w:szCs w:val="23"/>
                <w:color w:val="auto"/>
                <w:w w:val="99"/>
                <w:vertAlign w:val="superscript"/>
              </w:rPr>
              <w:t>(5)</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Online Merchandise</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First Lien Debt (9.07% Cash (1 month LIBOR + 7.5%,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 Floor), Due 11/7/20)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4,029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3,965</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Bowling Products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(8% Cash (1 month LIBOR + 6%, 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Floor), Due 5/22/20)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Bowling Products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(16.25%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14.25%, 2% Floor), Due 5/22/20)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Home Repair Parts</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(14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Restaurant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Second Lien Debt (11.57%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 1% Floor), Due 8/23/23)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Caregiver Services,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In-Home Healthcare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(293,186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Caregiver Services,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In-Home Healthcare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Common Stock Warrants (655,908 units) </w:t>
            </w:r>
            <w:r>
              <w:rPr>
                <w:rFonts w:ascii="Arial" w:cs="Arial" w:eastAsia="Arial" w:hAnsi="Arial"/>
                <w:sz w:val="23"/>
                <w:szCs w:val="23"/>
                <w:color w:val="auto"/>
                <w:vertAlign w:val="superscript"/>
              </w:rPr>
              <w:t>(9)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Cedar Electronics Holding Corp.</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Consumer Electronics</w:t>
            </w: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Subordinated Debt (12% Cash, Due 12/26/20)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21,550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21,550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Government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5"/>
              </w:rPr>
              <w:t>First Lien Debt (9.88% Cash (1 month LIBOR + 8.5%,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 Floor), 1% PIK, Due 9/14/22) </w:t>
            </w:r>
            <w:r>
              <w:rPr>
                <w:rFonts w:ascii="Arial" w:cs="Arial" w:eastAsia="Arial" w:hAnsi="Arial"/>
                <w:sz w:val="22"/>
                <w:szCs w:val="22"/>
                <w:color w:val="auto"/>
                <w:vertAlign w:val="superscript"/>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9,116</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9,116</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Government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(46,163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10,116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w w:val="95"/>
              </w:rPr>
              <w:t>Subordinated Debt (9% Cash, 2% PIK, Due 11/29/21)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18,159</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(15,750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19,734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Financial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First Lien Debt (12.38% Cash (1 month LIBOR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11%, 0.50% Floor) Due 1/20/22) </w:t>
            </w:r>
            <w:r>
              <w:rPr>
                <w:rFonts w:ascii="Arial" w:cs="Arial" w:eastAsia="Arial" w:hAnsi="Arial"/>
                <w:sz w:val="22"/>
                <w:szCs w:val="22"/>
                <w:color w:val="auto"/>
                <w:vertAlign w:val="superscript"/>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Class A Preferred Units (2,000,000 units) </w:t>
            </w:r>
            <w:r>
              <w:rPr>
                <w:rFonts w:ascii="Arial" w:cs="Arial" w:eastAsia="Arial" w:hAnsi="Arial"/>
                <w:sz w:val="23"/>
                <w:szCs w:val="23"/>
                <w:color w:val="auto"/>
                <w:vertAlign w:val="superscript"/>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(7.44% Cash (3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5.75%, 1% Floor), Due 4/3/20)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6,589</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Second Lien Debt (11.69% Cash (3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 1% Floor), Due 10/3/21)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11,740</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18,329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(8.38% Cash (1 month LIBOR + 7%,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 Floor), 1% PIK, Due 12/14/20)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(12.88%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11.5%, 1% Floor), 2% PIK, Due 12/14/20)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w w:val="98"/>
              </w:rPr>
              <w:t xml:space="preserve">Preferred Stock (2,400 Units, 10% PIK dividend) </w:t>
            </w:r>
            <w:r>
              <w:rPr>
                <w:rFonts w:ascii="Arial" w:cs="Arial" w:eastAsia="Arial" w:hAnsi="Arial"/>
                <w:sz w:val="23"/>
                <w:szCs w:val="23"/>
                <w:color w:val="auto"/>
                <w:w w:val="98"/>
                <w:vertAlign w:val="superscript"/>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2,938</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18,971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Management</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First Lien Debt (12% Cash, 4% PIK, Due 7/17/19)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Refrigeration / HVAC</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First Lien Debt (10% Cash, 4% PIK, Due 12/27/22)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Refrigeration / HVAC</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Class A Units (1,283,824 units, 4% Cash dividend,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11% PIK dividend)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Refrigeration / HVAC</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Class B Units (257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8,736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Sur La Table,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First Lien Debt (12% Cash, Due 7/28/20)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Household Product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Series C Preferred Stock (379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Vintage Stock,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Specialty Retail</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(13.86%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12.5%, 0.5% floor), 3% PIK, Due 11/3/21)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20,713</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20,713</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(15% Cash (3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14%, 1% Ceiling), 4% PIK Due 6/30/20)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260" w:type="dxa"/>
            <w:vAlign w:val="bottom"/>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tabs>
          <w:tab w:leader="none" w:pos="2660" w:val="left"/>
        </w:tabs>
        <w:rPr>
          <w:sz w:val="20"/>
          <w:szCs w:val="20"/>
          <w:color w:val="auto"/>
        </w:rPr>
      </w:pPr>
      <w:r>
        <w:rPr>
          <w:rFonts w:ascii="Arial" w:cs="Arial" w:eastAsia="Arial" w:hAnsi="Arial"/>
          <w:sz w:val="14"/>
          <w:szCs w:val="14"/>
          <w:color w:val="auto"/>
        </w:rPr>
        <w:t>Western Windows Systems, LLC</w:t>
      </w:r>
      <w:r>
        <w:rPr>
          <w:sz w:val="20"/>
          <w:szCs w:val="20"/>
          <w:color w:val="auto"/>
        </w:rPr>
        <w:tab/>
      </w:r>
      <w:r>
        <w:rPr>
          <w:rFonts w:ascii="Arial" w:cs="Arial" w:eastAsia="Arial" w:hAnsi="Arial"/>
          <w:sz w:val="13"/>
          <w:szCs w:val="13"/>
          <w:color w:val="auto"/>
        </w:rPr>
        <w:t>Building Products</w:t>
      </w:r>
    </w:p>
    <w:p>
      <w:pPr>
        <w:spacing w:after="0" w:line="17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Western Windows Systems, LLC</w:t>
      </w:r>
      <w:r>
        <w:rPr>
          <w:sz w:val="20"/>
          <w:szCs w:val="20"/>
          <w:color w:val="auto"/>
        </w:rPr>
        <w:tab/>
      </w:r>
      <w:r>
        <w:rPr>
          <w:rFonts w:ascii="Arial" w:cs="Arial" w:eastAsia="Arial" w:hAnsi="Arial"/>
          <w:sz w:val="13"/>
          <w:szCs w:val="13"/>
          <w:color w:val="auto"/>
        </w:rPr>
        <w:t>Building Products</w:t>
      </w:r>
    </w:p>
    <w:p>
      <w:pPr>
        <w:spacing w:after="0" w:line="200" w:lineRule="exact"/>
        <w:rPr>
          <w:sz w:val="20"/>
          <w:szCs w:val="20"/>
          <w:color w:val="auto"/>
        </w:rPr>
      </w:pPr>
    </w:p>
    <w:p>
      <w:pPr>
        <w:spacing w:after="0" w:line="28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Xirgo Technologies, LLC</w:t>
      </w:r>
      <w:r>
        <w:rPr>
          <w:sz w:val="20"/>
          <w:szCs w:val="20"/>
          <w:color w:val="auto"/>
        </w:rPr>
        <w:tab/>
      </w:r>
      <w:r>
        <w:rPr>
          <w:rFonts w:ascii="Arial" w:cs="Arial" w:eastAsia="Arial" w:hAnsi="Arial"/>
          <w:sz w:val="13"/>
          <w:szCs w:val="13"/>
          <w:color w:val="auto"/>
        </w:rPr>
        <w:t>Information</w:t>
      </w:r>
    </w:p>
    <w:p>
      <w:pPr>
        <w:ind w:left="2680"/>
        <w:spacing w:after="0"/>
        <w:rPr>
          <w:sz w:val="20"/>
          <w:szCs w:val="20"/>
          <w:color w:val="auto"/>
        </w:rPr>
      </w:pPr>
      <w:r>
        <w:rPr>
          <w:rFonts w:ascii="Arial" w:cs="Arial" w:eastAsia="Arial" w:hAnsi="Arial"/>
          <w:sz w:val="14"/>
          <w:szCs w:val="14"/>
          <w:color w:val="auto"/>
        </w:rPr>
        <w:t>Technology</w:t>
      </w:r>
    </w:p>
    <w:p>
      <w:pPr>
        <w:spacing w:after="0" w:line="124"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Xirgo Technologies, LLC</w:t>
      </w:r>
      <w:r>
        <w:rPr>
          <w:sz w:val="20"/>
          <w:szCs w:val="20"/>
          <w:color w:val="auto"/>
        </w:rPr>
        <w:tab/>
      </w:r>
      <w:r>
        <w:rPr>
          <w:rFonts w:ascii="Arial" w:cs="Arial" w:eastAsia="Arial" w:hAnsi="Arial"/>
          <w:sz w:val="13"/>
          <w:szCs w:val="13"/>
          <w:color w:val="auto"/>
        </w:rPr>
        <w:t>Information</w:t>
      </w:r>
    </w:p>
    <w:p>
      <w:pPr>
        <w:ind w:left="2680"/>
        <w:spacing w:after="0"/>
        <w:rPr>
          <w:sz w:val="20"/>
          <w:szCs w:val="20"/>
          <w:color w:val="auto"/>
        </w:rPr>
      </w:pPr>
      <w:r>
        <w:rPr>
          <w:rFonts w:ascii="Arial" w:cs="Arial" w:eastAsia="Arial" w:hAnsi="Arial"/>
          <w:sz w:val="14"/>
          <w:szCs w:val="14"/>
          <w:color w:val="auto"/>
        </w:rPr>
        <w:t>Technology</w:t>
      </w:r>
    </w:p>
    <w:p>
      <w:pPr>
        <w:spacing w:after="0" w:line="200" w:lineRule="exact"/>
        <w:rPr>
          <w:sz w:val="20"/>
          <w:szCs w:val="20"/>
          <w:color w:val="auto"/>
        </w:rPr>
      </w:pPr>
    </w:p>
    <w:p>
      <w:pPr>
        <w:spacing w:after="0" w:line="271" w:lineRule="exact"/>
        <w:rPr>
          <w:sz w:val="20"/>
          <w:szCs w:val="20"/>
          <w:color w:val="auto"/>
        </w:rPr>
      </w:pPr>
    </w:p>
    <w:p>
      <w:pPr>
        <w:ind w:right="1500"/>
        <w:spacing w:after="0" w:line="297" w:lineRule="auto"/>
        <w:rPr>
          <w:sz w:val="20"/>
          <w:szCs w:val="20"/>
          <w:color w:val="auto"/>
        </w:rPr>
      </w:pPr>
      <w:r>
        <w:rPr>
          <w:rFonts w:ascii="Arial" w:cs="Arial" w:eastAsia="Arial" w:hAnsi="Arial"/>
          <w:sz w:val="13"/>
          <w:szCs w:val="13"/>
          <w:b w:val="1"/>
          <w:bCs w:val="1"/>
          <w:color w:val="auto"/>
        </w:rPr>
        <w:t>Sub Total Non-control/non-affiliated investments - United States</w:t>
      </w:r>
    </w:p>
    <w:p>
      <w:pPr>
        <w:spacing w:after="0" w:line="103" w:lineRule="exact"/>
        <w:rPr>
          <w:sz w:val="20"/>
          <w:szCs w:val="20"/>
          <w:color w:val="auto"/>
        </w:rPr>
      </w:pPr>
    </w:p>
    <w:p>
      <w:pPr>
        <w:ind w:right="1280"/>
        <w:spacing w:after="0" w:line="259" w:lineRule="auto"/>
        <w:rPr>
          <w:sz w:val="20"/>
          <w:szCs w:val="20"/>
          <w:color w:val="auto"/>
        </w:rPr>
      </w:pPr>
      <w:r>
        <w:rPr>
          <w:rFonts w:ascii="Arial" w:cs="Arial" w:eastAsia="Arial" w:hAnsi="Arial"/>
          <w:sz w:val="14"/>
          <w:szCs w:val="14"/>
          <w:b w:val="1"/>
          <w:bCs w:val="1"/>
          <w:color w:val="auto"/>
        </w:rPr>
        <w:t>Non-control/non-affiliated investments - Brazil</w:t>
      </w:r>
    </w:p>
    <w:p>
      <w:pPr>
        <w:spacing w:after="0" w:line="102"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Velum Global Credit Management, LLC</w:t>
      </w:r>
      <w:r>
        <w:rPr>
          <w:sz w:val="20"/>
          <w:szCs w:val="20"/>
          <w:color w:val="auto"/>
        </w:rPr>
        <w:tab/>
      </w:r>
      <w:r>
        <w:rPr>
          <w:rFonts w:ascii="Arial" w:cs="Arial" w:eastAsia="Arial" w:hAnsi="Arial"/>
          <w:sz w:val="13"/>
          <w:szCs w:val="13"/>
          <w:color w:val="auto"/>
        </w:rPr>
        <w:t>Financial Services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500"/>
        <w:spacing w:after="0" w:line="259" w:lineRule="auto"/>
        <w:rPr>
          <w:sz w:val="20"/>
          <w:szCs w:val="20"/>
          <w:color w:val="auto"/>
        </w:rPr>
      </w:pPr>
      <w:r>
        <w:rPr>
          <w:rFonts w:ascii="Arial" w:cs="Arial" w:eastAsia="Arial" w:hAnsi="Arial"/>
          <w:sz w:val="14"/>
          <w:szCs w:val="14"/>
          <w:b w:val="1"/>
          <w:bCs w:val="1"/>
          <w:color w:val="auto"/>
        </w:rPr>
        <w:t>Sub Total Non-control/non-affiliated investments - Brazil</w:t>
      </w:r>
    </w:p>
    <w:p>
      <w:pPr>
        <w:spacing w:after="0" w:line="125" w:lineRule="exact"/>
        <w:rPr>
          <w:sz w:val="20"/>
          <w:szCs w:val="20"/>
          <w:color w:val="auto"/>
        </w:rPr>
      </w:pPr>
    </w:p>
    <w:p>
      <w:pPr>
        <w:ind w:right="1500"/>
        <w:spacing w:after="0" w:line="259" w:lineRule="auto"/>
        <w:rPr>
          <w:sz w:val="20"/>
          <w:szCs w:val="20"/>
          <w:color w:val="auto"/>
        </w:rPr>
      </w:pPr>
      <w:r>
        <w:rPr>
          <w:rFonts w:ascii="Arial" w:cs="Arial" w:eastAsia="Arial" w:hAnsi="Arial"/>
          <w:sz w:val="14"/>
          <w:szCs w:val="14"/>
          <w:b w:val="1"/>
          <w:bCs w:val="1"/>
          <w:color w:val="auto"/>
        </w:rPr>
        <w:t>Sub Total Non-control/non-affiliated investments</w:t>
      </w:r>
    </w:p>
    <w:p>
      <w:pPr>
        <w:spacing w:after="0" w:line="166" w:lineRule="exact"/>
        <w:rPr>
          <w:sz w:val="20"/>
          <w:szCs w:val="20"/>
          <w:color w:val="auto"/>
        </w:rPr>
      </w:pPr>
    </w:p>
    <w:p>
      <w:pPr>
        <w:ind w:right="1520"/>
        <w:spacing w:after="0" w:line="489" w:lineRule="auto"/>
        <w:rPr>
          <w:sz w:val="20"/>
          <w:szCs w:val="20"/>
          <w:color w:val="auto"/>
        </w:rPr>
      </w:pPr>
      <w:r>
        <w:rPr>
          <w:rFonts w:ascii="Arial" w:cs="Arial" w:eastAsia="Arial" w:hAnsi="Arial"/>
          <w:sz w:val="13"/>
          <w:szCs w:val="13"/>
          <w:b w:val="1"/>
          <w:bCs w:val="1"/>
          <w:color w:val="auto"/>
        </w:rPr>
        <w:t>Affiliate investments - 46.8% Affiliate investments - United States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3"/>
        </w:trPr>
        <w:tc>
          <w:tcPr>
            <w:tcW w:w="3340" w:type="dxa"/>
            <w:vAlign w:val="bottom"/>
          </w:tcPr>
          <w:p>
            <w:pPr>
              <w:spacing w:after="0"/>
              <w:rPr>
                <w:sz w:val="20"/>
                <w:szCs w:val="20"/>
                <w:color w:val="auto"/>
              </w:rPr>
            </w:pPr>
            <w:r>
              <w:rPr>
                <w:rFonts w:ascii="Arial" w:cs="Arial" w:eastAsia="Arial" w:hAnsi="Arial"/>
                <w:sz w:val="14"/>
                <w:szCs w:val="14"/>
                <w:color w:val="auto"/>
              </w:rPr>
              <w:t xml:space="preserve">First Lien Debt (11.9% Cash, Due 7/31/20) </w:t>
            </w:r>
            <w:r>
              <w:rPr>
                <w:rFonts w:ascii="Arial" w:cs="Arial" w:eastAsia="Arial" w:hAnsi="Arial"/>
                <w:sz w:val="23"/>
                <w:szCs w:val="23"/>
                <w:color w:val="auto"/>
                <w:vertAlign w:val="superscript"/>
              </w:rPr>
              <w:t>(6)</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10,500</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195"/>
        </w:trPr>
        <w:tc>
          <w:tcPr>
            <w:tcW w:w="3340" w:type="dxa"/>
            <w:vAlign w:val="bottom"/>
          </w:tcPr>
          <w:p>
            <w:pPr>
              <w:spacing w:after="0"/>
              <w:rPr>
                <w:sz w:val="20"/>
                <w:szCs w:val="20"/>
                <w:color w:val="auto"/>
              </w:rPr>
            </w:pPr>
            <w:r>
              <w:rPr>
                <w:rFonts w:ascii="Arial" w:cs="Arial" w:eastAsia="Arial" w:hAnsi="Arial"/>
                <w:sz w:val="14"/>
                <w:szCs w:val="14"/>
                <w:color w:val="auto"/>
              </w:rPr>
              <w:t>Membership Units (39,860 units)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7,379</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13,500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17,879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3340" w:type="dxa"/>
            <w:vAlign w:val="bottom"/>
          </w:tcPr>
          <w:p>
            <w:pPr>
              <w:spacing w:after="0"/>
              <w:rPr>
                <w:sz w:val="20"/>
                <w:szCs w:val="20"/>
                <w:color w:val="auto"/>
              </w:rPr>
            </w:pPr>
            <w:r>
              <w:rPr>
                <w:rFonts w:ascii="Arial" w:cs="Arial" w:eastAsia="Arial" w:hAnsi="Arial"/>
                <w:sz w:val="14"/>
                <w:szCs w:val="14"/>
                <w:color w:val="auto"/>
              </w:rPr>
              <w:t>Subordinated Debt (11.5% Cash, Due 3/1/22)</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15,750</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w:t>
            </w:r>
          </w:p>
        </w:tc>
      </w:tr>
      <w:tr>
        <w:trPr>
          <w:trHeight w:val="444"/>
        </w:trPr>
        <w:tc>
          <w:tcPr>
            <w:tcW w:w="3340" w:type="dxa"/>
            <w:vAlign w:val="bottom"/>
          </w:tcPr>
          <w:p>
            <w:pPr>
              <w:spacing w:after="0"/>
              <w:rPr>
                <w:sz w:val="20"/>
                <w:szCs w:val="20"/>
                <w:color w:val="auto"/>
              </w:rPr>
            </w:pPr>
            <w:r>
              <w:rPr>
                <w:rFonts w:ascii="Arial" w:cs="Arial" w:eastAsia="Arial" w:hAnsi="Arial"/>
                <w:sz w:val="14"/>
                <w:szCs w:val="14"/>
                <w:color w:val="auto"/>
              </w:rPr>
              <w:t>Membership Units (600,000 units)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16,387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286,316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280,359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126.4%</w:t>
            </w:r>
          </w:p>
        </w:tc>
      </w:tr>
      <w:tr>
        <w:trPr>
          <w:trHeight w:val="768"/>
        </w:trPr>
        <w:tc>
          <w:tcPr>
            <w:tcW w:w="3340" w:type="dxa"/>
            <w:vAlign w:val="bottom"/>
          </w:tcPr>
          <w:p>
            <w:pPr>
              <w:spacing w:after="0"/>
              <w:rPr>
                <w:sz w:val="20"/>
                <w:szCs w:val="20"/>
                <w:color w:val="auto"/>
              </w:rPr>
            </w:pPr>
            <w:r>
              <w:rPr>
                <w:rFonts w:ascii="Arial" w:cs="Arial" w:eastAsia="Arial" w:hAnsi="Arial"/>
                <w:sz w:val="14"/>
                <w:szCs w:val="14"/>
                <w:color w:val="auto"/>
              </w:rPr>
              <w:t xml:space="preserve">First Lien Debt (15% PIK, Due 12/31/17) </w:t>
            </w:r>
            <w:r>
              <w:rPr>
                <w:rFonts w:ascii="Arial" w:cs="Arial" w:eastAsia="Arial" w:hAnsi="Arial"/>
                <w:sz w:val="23"/>
                <w:szCs w:val="23"/>
                <w:color w:val="auto"/>
                <w:vertAlign w:val="superscript"/>
              </w:rPr>
              <w:t>(7) (8) (11)</w:t>
            </w:r>
          </w:p>
        </w:tc>
        <w:tc>
          <w:tcPr>
            <w:tcW w:w="10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4"/>
        </w:trPr>
        <w:tc>
          <w:tcPr>
            <w:tcW w:w="3340" w:type="dxa"/>
            <w:vAlign w:val="bottom"/>
          </w:tcPr>
          <w:p>
            <w:pPr>
              <w:spacing w:after="0"/>
              <w:rPr>
                <w:sz w:val="20"/>
                <w:szCs w:val="20"/>
                <w:color w:val="auto"/>
              </w:rPr>
            </w:pPr>
            <w:r>
              <w:rPr>
                <w:rFonts w:ascii="Arial" w:cs="Arial" w:eastAsia="Arial" w:hAnsi="Arial"/>
                <w:sz w:val="12"/>
                <w:szCs w:val="12"/>
                <w:color w:val="auto"/>
              </w:rPr>
              <w:t>(12)</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12,275</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11,816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8,015</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8,015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8,015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334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298,132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288,374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130.0</w:t>
            </w:r>
            <w:r>
              <w:rPr>
                <w:rFonts w:ascii="Arial" w:cs="Arial" w:eastAsia="Arial" w:hAnsi="Arial"/>
                <w:sz w:val="28"/>
                <w:szCs w:val="28"/>
                <w:color w:val="auto"/>
                <w:vertAlign w:val="superscript"/>
              </w:rPr>
              <w:t>%</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-3069590</wp:posOffset>
            </wp:positionV>
            <wp:extent cx="724662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-2854960</wp:posOffset>
            </wp:positionV>
            <wp:extent cx="72466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-2649220</wp:posOffset>
            </wp:positionV>
            <wp:extent cx="724662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-2443480</wp:posOffset>
            </wp:positionV>
            <wp:extent cx="72466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-2160270</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-1860550</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-1654810</wp:posOffset>
            </wp:positionV>
            <wp:extent cx="724662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-1354455</wp:posOffset>
            </wp:positionV>
            <wp:extent cx="72466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-1071245</wp:posOffset>
            </wp:positionV>
            <wp:extent cx="7246620"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-736600</wp:posOffset>
            </wp:positionV>
            <wp:extent cx="72466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-530860</wp:posOffset>
            </wp:positionV>
            <wp:extent cx="724662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-231140</wp:posOffset>
            </wp:positionV>
            <wp:extent cx="72466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94615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283210</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736" w:lineRule="exact"/>
        <w:rPr>
          <w:sz w:val="20"/>
          <w:szCs w:val="20"/>
          <w:color w:val="auto"/>
        </w:rPr>
      </w:pPr>
    </w:p>
    <w:p>
      <w:pPr>
        <w:sectPr>
          <w:pgSz w:w="11900" w:h="16838" w:orient="portrait"/>
          <w:cols w:equalWidth="0" w:num="2">
            <w:col w:w="3740" w:space="440"/>
            <w:col w:w="72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AAE Acquisition, LLC</w:t>
            </w:r>
          </w:p>
        </w:tc>
        <w:tc>
          <w:tcPr>
            <w:tcW w:w="202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rPr>
              <w:t>Industrial Equipment</w:t>
            </w:r>
          </w:p>
        </w:tc>
        <w:tc>
          <w:tcPr>
            <w:tcW w:w="3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4"/>
              </w:rPr>
              <w:t xml:space="preserve">Second Lien Debt (8% Cash, 4% PIK, Due 8/24/19) </w:t>
            </w:r>
            <w:r>
              <w:rPr>
                <w:rFonts w:ascii="Arial" w:cs="Arial" w:eastAsia="Arial" w:hAnsi="Arial"/>
                <w:sz w:val="23"/>
                <w:szCs w:val="23"/>
                <w:color w:val="auto"/>
                <w:w w:val="94"/>
                <w:vertAlign w:val="superscript"/>
              </w:rPr>
              <w:t>(8)</w:t>
            </w: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Rental</w:t>
            </w:r>
          </w:p>
        </w:tc>
        <w:tc>
          <w:tcPr>
            <w:tcW w:w="340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15,846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15,846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020" w:type="dxa"/>
            <w:vAlign w:val="bottom"/>
            <w:shd w:val="clear" w:color="auto" w:fill="CCEEFF"/>
          </w:tcPr>
          <w:p>
            <w:pPr>
              <w:ind w:left="660"/>
              <w:spacing w:after="0" w:line="130" w:lineRule="exact"/>
              <w:rPr>
                <w:sz w:val="20"/>
                <w:szCs w:val="20"/>
                <w:color w:val="auto"/>
              </w:rPr>
            </w:pPr>
            <w:r>
              <w:rPr>
                <w:rFonts w:ascii="Arial" w:cs="Arial" w:eastAsia="Arial" w:hAnsi="Arial"/>
                <w:sz w:val="14"/>
                <w:szCs w:val="14"/>
                <w:color w:val="auto"/>
              </w:rPr>
              <w:t>Industrial Equipment</w:t>
            </w:r>
          </w:p>
        </w:tc>
        <w:tc>
          <w:tcPr>
            <w:tcW w:w="3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Rental</w:t>
            </w:r>
          </w:p>
        </w:tc>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Membership Units (2.19% fully diluted)</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020" w:type="dxa"/>
            <w:vAlign w:val="bottom"/>
            <w:shd w:val="clear" w:color="auto" w:fill="CCEEFF"/>
          </w:tcPr>
          <w:p>
            <w:pPr>
              <w:ind w:left="660"/>
              <w:spacing w:after="0" w:line="130" w:lineRule="exact"/>
              <w:rPr>
                <w:sz w:val="20"/>
                <w:szCs w:val="20"/>
                <w:color w:val="auto"/>
              </w:rPr>
            </w:pPr>
            <w:r>
              <w:rPr>
                <w:rFonts w:ascii="Arial" w:cs="Arial" w:eastAsia="Arial" w:hAnsi="Arial"/>
                <w:sz w:val="14"/>
                <w:szCs w:val="14"/>
                <w:color w:val="auto"/>
              </w:rPr>
              <w:t>Industrial Equipment</w:t>
            </w:r>
          </w:p>
        </w:tc>
        <w:tc>
          <w:tcPr>
            <w:tcW w:w="3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2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Rental</w:t>
            </w:r>
          </w:p>
        </w:tc>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 (37.78% fully diluted)</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(14% Cash, Due 8/9/19) </w:t>
            </w:r>
            <w:r>
              <w:rPr>
                <w:rFonts w:ascii="Arial" w:cs="Arial" w:eastAsia="Arial" w:hAnsi="Arial"/>
                <w:sz w:val="23"/>
                <w:szCs w:val="23"/>
                <w:color w:val="auto"/>
                <w:vertAlign w:val="superscript"/>
              </w:rPr>
              <w:t>(13)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vMerge w:val="continue"/>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(12% Cash, Due 8/9/19) </w:t>
            </w:r>
            <w:r>
              <w:rPr>
                <w:rFonts w:ascii="Arial" w:cs="Arial" w:eastAsia="Arial" w:hAnsi="Arial"/>
                <w:sz w:val="23"/>
                <w:szCs w:val="23"/>
                <w:color w:val="auto"/>
                <w:vertAlign w:val="superscript"/>
              </w:rPr>
              <w:t>(13)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(1,253,198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10,332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9,285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 Cash, Due 10/20/19) </w:t>
            </w:r>
            <w:r>
              <w:rPr>
                <w:rFonts w:ascii="Arial" w:cs="Arial" w:eastAsia="Arial" w:hAnsi="Arial"/>
                <w:sz w:val="21"/>
                <w:szCs w:val="21"/>
                <w:color w:val="auto"/>
                <w:vertAlign w:val="superscript"/>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Preferred Membership Units (2.78% fully diluted, 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 Warrants (11.38%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8,248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17,748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A-1 Preferred Stock (1,998 shares, 8% PIK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Series B-1 Common Stock (200,000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Subordinated Debt (6% Cash, 7% PIK, Due 6/16/19)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(8,182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Warrants (6,369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QSR Franchisor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(1,500,000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7,650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7,650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(12% Cash, Due 1/31/19)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(6% Cash, Due 1/31/19)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Preferred Units (1,000 units, 6% PIK dividend)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Membership Units (45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4,713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 Display &amp;</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Membership Units (2,000,000 units) </w:t>
            </w:r>
            <w:r>
              <w:rPr>
                <w:rFonts w:ascii="Arial" w:cs="Arial" w:eastAsia="Arial" w:hAnsi="Arial"/>
                <w:sz w:val="23"/>
                <w:szCs w:val="23"/>
                <w:color w:val="auto"/>
                <w:vertAlign w:val="superscript"/>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Security Services</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Engineering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and Consulting</w:t>
            </w: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(15,068,000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8,528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8,528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Membership Units (11.3% ownership) </w:t>
            </w:r>
            <w:r>
              <w:rPr>
                <w:rFonts w:ascii="Arial" w:cs="Arial" w:eastAsia="Arial" w:hAnsi="Arial"/>
                <w:sz w:val="23"/>
                <w:szCs w:val="23"/>
                <w:color w:val="auto"/>
                <w:vertAlign w:val="superscript"/>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&amp; Lubricants</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 Inc.  Dental Practice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Common Stock (1,200,000 shares) </w:t>
            </w:r>
            <w:r>
              <w:rPr>
                <w:rFonts w:ascii="Arial" w:cs="Arial" w:eastAsia="Arial" w:hAnsi="Arial"/>
                <w:sz w:val="23"/>
                <w:szCs w:val="23"/>
                <w:color w:val="auto"/>
                <w:vertAlign w:val="superscript"/>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Management</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First Lien Debt (7.35% Cash (1 month LIBOR + 6%,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 floor), Due 2/2/22) </w:t>
            </w:r>
            <w:r>
              <w:rPr>
                <w:rFonts w:ascii="Arial" w:cs="Arial" w:eastAsia="Arial" w:hAnsi="Arial"/>
                <w:sz w:val="22"/>
                <w:szCs w:val="22"/>
                <w:color w:val="auto"/>
                <w:vertAlign w:val="superscript"/>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(12.35% PIK (1 month LIBOR + 11%,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 floor), Due 2/2/22)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Units (5,680,688 Units)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6,259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Class B Units (2,076,298 Units)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18,515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Digital Marketing</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Sub Total Affiliate investments - United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77,336</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103,957</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46.8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- 48.5%</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First Lien Debt (12% Cash, 4% PIK, Due 5/24/18)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(21.3%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Warrants (10% fully diluted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1420"/>
          </w:cols>
          <w:pgMar w:left="240" w:top="796"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Industry</w:t>
            </w:r>
          </w:p>
        </w:tc>
      </w:tr>
      <w:tr>
        <w:trPr>
          <w:trHeight w:val="306"/>
        </w:trPr>
        <w:tc>
          <w:tcPr>
            <w:tcW w:w="2560" w:type="dxa"/>
            <w:vAlign w:val="bottom"/>
          </w:tcPr>
          <w:p>
            <w:pPr>
              <w:spacing w:after="0"/>
              <w:rPr>
                <w:sz w:val="20"/>
                <w:szCs w:val="20"/>
                <w:color w:val="auto"/>
              </w:rPr>
            </w:pPr>
            <w:r>
              <w:rPr>
                <w:rFonts w:ascii="Arial" w:cs="Arial" w:eastAsia="Arial" w:hAnsi="Arial"/>
                <w:sz w:val="14"/>
                <w:szCs w:val="14"/>
                <w:color w:val="auto"/>
              </w:rPr>
              <w:t>Eastport Holdings,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Business Services</w:t>
            </w: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Eastport Holdings,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Business Services</w:t>
            </w:r>
          </w:p>
        </w:tc>
      </w:tr>
      <w:tr>
        <w:trPr>
          <w:trHeight w:val="689"/>
        </w:trPr>
        <w:tc>
          <w:tcPr>
            <w:tcW w:w="256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r>
      <w:tr>
        <w:trPr>
          <w:trHeight w:val="648"/>
        </w:trPr>
        <w:tc>
          <w:tcPr>
            <w:tcW w:w="2560" w:type="dxa"/>
            <w:vAlign w:val="bottom"/>
          </w:tcPr>
          <w:p>
            <w:pPr>
              <w:spacing w:after="0"/>
              <w:rPr>
                <w:sz w:val="20"/>
                <w:szCs w:val="20"/>
                <w:color w:val="auto"/>
              </w:rPr>
            </w:pPr>
            <w:r>
              <w:rPr>
                <w:rFonts w:ascii="Arial" w:cs="Arial" w:eastAsia="Arial" w:hAnsi="Arial"/>
                <w:sz w:val="14"/>
                <w:szCs w:val="14"/>
                <w:color w:val="auto"/>
              </w:rPr>
              <w:t>Micro Precision,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Conglomerate</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Micro Precision,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Conglomerate</w:t>
            </w:r>
          </w:p>
        </w:tc>
      </w:tr>
      <w:tr>
        <w:trPr>
          <w:trHeight w:val="459"/>
        </w:trPr>
        <w:tc>
          <w:tcPr>
            <w:tcW w:w="2560" w:type="dxa"/>
            <w:vAlign w:val="bottom"/>
          </w:tcPr>
          <w:p>
            <w:pPr>
              <w:spacing w:after="0"/>
              <w:rPr>
                <w:sz w:val="20"/>
                <w:szCs w:val="20"/>
                <w:color w:val="auto"/>
              </w:rPr>
            </w:pPr>
            <w:r>
              <w:rPr>
                <w:rFonts w:ascii="Arial" w:cs="Arial" w:eastAsia="Arial" w:hAnsi="Arial"/>
                <w:sz w:val="14"/>
                <w:szCs w:val="14"/>
                <w:color w:val="auto"/>
              </w:rPr>
              <w:t>Micro Precision,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Conglomerate</w:t>
            </w:r>
          </w:p>
        </w:tc>
      </w:tr>
      <w:tr>
        <w:trPr>
          <w:trHeight w:val="615"/>
        </w:trPr>
        <w:tc>
          <w:tcPr>
            <w:tcW w:w="2560" w:type="dxa"/>
            <w:vAlign w:val="bottom"/>
          </w:tcPr>
          <w:p>
            <w:pPr>
              <w:spacing w:after="0"/>
              <w:rPr>
                <w:sz w:val="20"/>
                <w:szCs w:val="20"/>
                <w:color w:val="auto"/>
              </w:rPr>
            </w:pPr>
            <w:r>
              <w:rPr>
                <w:rFonts w:ascii="Arial" w:cs="Arial" w:eastAsia="Arial" w:hAnsi="Arial"/>
                <w:sz w:val="14"/>
                <w:szCs w:val="14"/>
                <w:color w:val="auto"/>
              </w:rPr>
              <w:t>Navis Holdings,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Textile Equipment</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Manufacturer</w:t>
            </w:r>
          </w:p>
        </w:tc>
      </w:tr>
      <w:tr>
        <w:trPr>
          <w:trHeight w:val="263"/>
        </w:trPr>
        <w:tc>
          <w:tcPr>
            <w:tcW w:w="2560" w:type="dxa"/>
            <w:vAlign w:val="bottom"/>
          </w:tcPr>
          <w:p>
            <w:pPr>
              <w:spacing w:after="0"/>
              <w:rPr>
                <w:sz w:val="20"/>
                <w:szCs w:val="20"/>
                <w:color w:val="auto"/>
              </w:rPr>
            </w:pPr>
            <w:r>
              <w:rPr>
                <w:rFonts w:ascii="Arial" w:cs="Arial" w:eastAsia="Arial" w:hAnsi="Arial"/>
                <w:sz w:val="14"/>
                <w:szCs w:val="14"/>
                <w:color w:val="auto"/>
              </w:rPr>
              <w:t>Navis Holdings,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Textile Equipment</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Manufacturer</w:t>
            </w:r>
          </w:p>
        </w:tc>
      </w:tr>
      <w:tr>
        <w:trPr>
          <w:trHeight w:val="304"/>
        </w:trPr>
        <w:tc>
          <w:tcPr>
            <w:tcW w:w="2560" w:type="dxa"/>
            <w:vAlign w:val="bottom"/>
          </w:tcPr>
          <w:p>
            <w:pPr>
              <w:spacing w:after="0"/>
              <w:rPr>
                <w:sz w:val="20"/>
                <w:szCs w:val="20"/>
                <w:color w:val="auto"/>
              </w:rPr>
            </w:pPr>
            <w:r>
              <w:rPr>
                <w:rFonts w:ascii="Arial" w:cs="Arial" w:eastAsia="Arial" w:hAnsi="Arial"/>
                <w:sz w:val="14"/>
                <w:szCs w:val="14"/>
                <w:color w:val="auto"/>
              </w:rPr>
              <w:t>Navis Holdings,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Textile Equipment</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Manufacturer</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72"/>
        </w:trPr>
        <w:tc>
          <w:tcPr>
            <w:tcW w:w="32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7"/>
              </w:rPr>
              <w:t>Subordinated Debt (14.49% Cash (3 month LIBOR +</w:t>
            </w: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13%, 0.5% Floor), Due 4/29/20)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14,738</w:t>
            </w:r>
          </w:p>
        </w:tc>
        <w:tc>
          <w:tcPr>
            <w:tcW w:w="220" w:type="dxa"/>
            <w:vAlign w:val="bottom"/>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0"/>
                <w:szCs w:val="20"/>
                <w:color w:val="auto"/>
              </w:rPr>
            </w:pPr>
            <w:r>
              <w:rPr>
                <w:rFonts w:ascii="Arial" w:cs="Arial" w:eastAsia="Arial" w:hAnsi="Arial"/>
                <w:sz w:val="14"/>
                <w:szCs w:val="14"/>
                <w:color w:val="auto"/>
              </w:rPr>
              <w:t xml:space="preserve">Membership Units (33.3% ownership) </w:t>
            </w:r>
            <w:r>
              <w:rPr>
                <w:rFonts w:ascii="Arial" w:cs="Arial" w:eastAsia="Arial" w:hAnsi="Arial"/>
                <w:sz w:val="23"/>
                <w:szCs w:val="23"/>
                <w:color w:val="auto"/>
                <w:vertAlign w:val="superscript"/>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4,733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26,449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19,471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42,949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(4% Cash, Due 2/15/20) </w:t>
            </w:r>
            <w:r>
              <w:rPr>
                <w:rFonts w:ascii="Arial" w:cs="Arial" w:eastAsia="Arial" w:hAnsi="Arial"/>
                <w:sz w:val="23"/>
                <w:szCs w:val="23"/>
                <w:color w:val="auto"/>
                <w:vertAlign w:val="superscript"/>
              </w:rPr>
              <w:t>(17)</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338"/>
        </w:trPr>
        <w:tc>
          <w:tcPr>
            <w:tcW w:w="3200" w:type="dxa"/>
            <w:vAlign w:val="bottom"/>
          </w:tcPr>
          <w:p>
            <w:pPr>
              <w:spacing w:after="0"/>
              <w:rPr>
                <w:sz w:val="20"/>
                <w:szCs w:val="20"/>
                <w:color w:val="auto"/>
              </w:rPr>
            </w:pPr>
            <w:r>
              <w:rPr>
                <w:rFonts w:ascii="Arial" w:cs="Arial" w:eastAsia="Arial" w:hAnsi="Arial"/>
                <w:sz w:val="14"/>
                <w:szCs w:val="14"/>
                <w:color w:val="auto"/>
              </w:rPr>
              <w:t xml:space="preserve">First Lien Debt (1.46% Cash, Due 2/15/20) </w:t>
            </w:r>
            <w:r>
              <w:rPr>
                <w:rFonts w:ascii="Arial" w:cs="Arial" w:eastAsia="Arial" w:hAnsi="Arial"/>
                <w:sz w:val="23"/>
                <w:szCs w:val="23"/>
                <w:color w:val="auto"/>
                <w:vertAlign w:val="superscript"/>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13,674</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13,669</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9,560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Membership Units (27.5% fully diluted)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15,669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11,560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 xml:space="preserve">Subordinated Debt (10% Cash, Due 9/15/18) </w:t>
            </w:r>
            <w:r>
              <w:rPr>
                <w:rFonts w:ascii="Arial" w:cs="Arial" w:eastAsia="Arial" w:hAnsi="Arial"/>
                <w:sz w:val="23"/>
                <w:szCs w:val="23"/>
                <w:color w:val="auto"/>
                <w:vertAlign w:val="superscript"/>
              </w:rPr>
              <w:t>(8)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1,862</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20"/>
                <w:szCs w:val="20"/>
                <w:color w:val="auto"/>
              </w:rPr>
            </w:pPr>
            <w:r>
              <w:rPr>
                <w:rFonts w:ascii="Arial" w:cs="Arial" w:eastAsia="Arial" w:hAnsi="Arial"/>
                <w:sz w:val="14"/>
                <w:szCs w:val="14"/>
                <w:color w:val="auto"/>
                <w:w w:val="95"/>
              </w:rPr>
              <w:t>Subordinated Debt (14% Cash, 4% PIK, Due 9/15/18)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Arial" w:cs="Arial" w:eastAsia="Arial" w:hAnsi="Arial"/>
                <w:sz w:val="14"/>
                <w:szCs w:val="14"/>
                <w:color w:val="auto"/>
              </w:rPr>
              <w:t>Series A Preferred Units (47 units)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7,645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(15% Cash, Due 10/30/20) </w:t>
            </w:r>
            <w:r>
              <w:rPr>
                <w:rFonts w:ascii="Arial" w:cs="Arial" w:eastAsia="Arial" w:hAnsi="Arial"/>
                <w:sz w:val="23"/>
                <w:szCs w:val="23"/>
                <w:color w:val="auto"/>
                <w:vertAlign w:val="superscript"/>
              </w:rPr>
              <w:t>(8)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20"/>
                <w:szCs w:val="20"/>
                <w:color w:val="auto"/>
              </w:rPr>
            </w:pPr>
            <w:r>
              <w:rPr>
                <w:rFonts w:ascii="Arial" w:cs="Arial" w:eastAsia="Arial" w:hAnsi="Arial"/>
                <w:sz w:val="14"/>
                <w:szCs w:val="14"/>
                <w:color w:val="auto"/>
              </w:rPr>
              <w:t>Class A Preferred Stock (1,000 shares, 10% Cash</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44"/>
        </w:trPr>
        <w:tc>
          <w:tcPr>
            <w:tcW w:w="3200" w:type="dxa"/>
            <w:vAlign w:val="bottom"/>
          </w:tcPr>
          <w:p>
            <w:pPr>
              <w:spacing w:after="0"/>
              <w:rPr>
                <w:sz w:val="20"/>
                <w:szCs w:val="20"/>
                <w:color w:val="auto"/>
              </w:rPr>
            </w:pPr>
            <w:r>
              <w:rPr>
                <w:rFonts w:ascii="Arial" w:cs="Arial" w:eastAsia="Arial" w:hAnsi="Arial"/>
                <w:sz w:val="14"/>
                <w:szCs w:val="14"/>
                <w:color w:val="auto"/>
              </w:rPr>
              <w:t>Common Stock (300,000 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12,505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-3481070</wp:posOffset>
            </wp:positionV>
            <wp:extent cx="72466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-3197860</wp:posOffset>
            </wp:positionV>
            <wp:extent cx="72466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-2966720</wp:posOffset>
            </wp:positionV>
            <wp:extent cx="72466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-2760980</wp:posOffset>
            </wp:positionV>
            <wp:extent cx="724662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-2546350</wp:posOffset>
            </wp:positionV>
            <wp:extent cx="72466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-2331720</wp:posOffset>
            </wp:positionV>
            <wp:extent cx="72466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-2125980</wp:posOffset>
            </wp:positionV>
            <wp:extent cx="724662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-1920240</wp:posOffset>
            </wp:positionV>
            <wp:extent cx="724662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-1706245</wp:posOffset>
            </wp:positionV>
            <wp:extent cx="724662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-1414145</wp:posOffset>
            </wp:positionV>
            <wp:extent cx="72466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-1208405</wp:posOffset>
            </wp:positionV>
            <wp:extent cx="724662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-1002665</wp:posOffset>
            </wp:positionV>
            <wp:extent cx="72466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-719455</wp:posOffset>
            </wp:positionV>
            <wp:extent cx="724662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-410845</wp:posOffset>
            </wp:positionV>
            <wp:extent cx="7246620" cy="197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-111125</wp:posOffset>
            </wp:positionV>
            <wp:extent cx="724662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4060" w:space="120"/>
            <w:col w:w="72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8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Fuel Transportation</w:t>
            </w:r>
          </w:p>
        </w:tc>
        <w:tc>
          <w:tcPr>
            <w:tcW w:w="354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 xml:space="preserve">Subordinated Debt (18% Cash, Due 12/19/18) </w:t>
            </w:r>
            <w:r>
              <w:rPr>
                <w:rFonts w:ascii="Arial" w:cs="Arial" w:eastAsia="Arial" w:hAnsi="Arial"/>
                <w:sz w:val="23"/>
                <w:szCs w:val="23"/>
                <w:color w:val="auto"/>
                <w:vertAlign w:val="superscript"/>
              </w:rPr>
              <w:t>(7) (8)</w:t>
            </w:r>
          </w:p>
        </w:tc>
        <w:tc>
          <w:tcPr>
            <w:tcW w:w="9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Services</w:t>
            </w:r>
          </w:p>
        </w:tc>
        <w:tc>
          <w:tcPr>
            <w:tcW w:w="3540" w:type="dxa"/>
            <w:vAlign w:val="bottom"/>
            <w:vMerge w:val="continue"/>
            <w:shd w:val="clear" w:color="auto" w:fill="CCEEFF"/>
          </w:tcPr>
          <w:p>
            <w:pPr>
              <w:spacing w:after="0"/>
              <w:rPr>
                <w:sz w:val="14"/>
                <w:szCs w:val="14"/>
                <w:color w:val="auto"/>
              </w:rPr>
            </w:pP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14,072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Fuel Transportation</w:t>
            </w:r>
          </w:p>
        </w:tc>
        <w:tc>
          <w:tcPr>
            <w:tcW w:w="35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Services</w:t>
            </w:r>
          </w:p>
        </w:tc>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Series A Preferred Stock (32,782 shares)</w:t>
            </w:r>
          </w:p>
        </w:tc>
        <w:tc>
          <w:tcPr>
            <w:tcW w:w="9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Fuel Transportation</w:t>
            </w:r>
          </w:p>
        </w:tc>
        <w:tc>
          <w:tcPr>
            <w:tcW w:w="35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Services</w:t>
            </w:r>
          </w:p>
        </w:tc>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Series B Preferred Stock (23,648 shares)</w:t>
            </w:r>
          </w:p>
        </w:tc>
        <w:tc>
          <w:tcPr>
            <w:tcW w:w="9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Fuel Transportation</w:t>
            </w:r>
          </w:p>
        </w:tc>
        <w:tc>
          <w:tcPr>
            <w:tcW w:w="35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Services</w:t>
            </w:r>
          </w:p>
        </w:tc>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(33,058 shares)</w:t>
            </w: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16,696</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Portfolio Company, Country </w:t>
            </w:r>
            <w:r>
              <w:rPr>
                <w:rFonts w:ascii="Arial" w:cs="Arial" w:eastAsia="Arial" w:hAnsi="Arial"/>
                <w:sz w:val="23"/>
                <w:szCs w:val="23"/>
                <w:b w:val="1"/>
                <w:bCs w:val="1"/>
                <w:color w:val="auto"/>
                <w:w w:val="90"/>
                <w:vertAlign w:val="superscript"/>
              </w:rPr>
              <w:t>(1)</w:t>
            </w:r>
            <w:r>
              <w:rPr>
                <w:rFonts w:ascii="Arial" w:cs="Arial" w:eastAsia="Arial" w:hAnsi="Arial"/>
                <w:sz w:val="23"/>
                <w:szCs w:val="23"/>
                <w:b w:val="1"/>
                <w:bCs w:val="1"/>
                <w:u w:val="single" w:color="auto"/>
                <w:color w:val="auto"/>
                <w:w w:val="90"/>
                <w:vertAlign w:val="superscript"/>
              </w:rPr>
              <w:t>,</w:t>
            </w:r>
            <w:r>
              <w:rPr>
                <w:rFonts w:ascii="Arial" w:cs="Arial" w:eastAsia="Arial" w:hAnsi="Arial"/>
                <w:sz w:val="14"/>
                <w:szCs w:val="14"/>
                <w:b w:val="1"/>
                <w:bCs w:val="1"/>
                <w:color w:val="auto"/>
                <w:w w:val="90"/>
              </w:rPr>
              <w:t xml:space="preserve"> </w:t>
            </w:r>
            <w:r>
              <w:rPr>
                <w:rFonts w:ascii="Arial" w:cs="Arial" w:eastAsia="Arial" w:hAnsi="Arial"/>
                <w:sz w:val="23"/>
                <w:szCs w:val="23"/>
                <w:b w:val="1"/>
                <w:bCs w:val="1"/>
                <w:color w:val="auto"/>
                <w:w w:val="90"/>
                <w:vertAlign w:val="superscript"/>
              </w:rPr>
              <w:t>(2), (3), (4)</w:t>
            </w:r>
          </w:p>
        </w:tc>
        <w:tc>
          <w:tcPr>
            <w:tcW w:w="13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33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340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First Lien Debt (8.56% Cash (1 month LIBOR + 7%,</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Personal Digital</w:t>
            </w:r>
          </w:p>
        </w:tc>
        <w:tc>
          <w:tcPr>
            <w:tcW w:w="340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1% floor, 2% ceiling), Due 12/31/22) </w:t>
            </w:r>
            <w:r>
              <w:rPr>
                <w:rFonts w:ascii="Arial" w:cs="Arial" w:eastAsia="Arial" w:hAnsi="Arial"/>
                <w:sz w:val="20"/>
                <w:szCs w:val="20"/>
                <w:color w:val="auto"/>
                <w:vertAlign w:val="superscript"/>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1,860</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34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(8.56% Cash (1 month LIBOR + 7%,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 floor, 5% ceiling), Due 12/31/22)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Preferred Units (4,350,000 Units)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Membership Units (150,000 Units)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8,810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8,810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Control investments - United</w:t>
            </w: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89,559</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107,608</w:t>
            </w:r>
          </w:p>
        </w:tc>
        <w:tc>
          <w:tcPr>
            <w:tcW w:w="9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color w:val="auto"/>
              </w:rPr>
              <w:t>48.5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- 225.3%</w:t>
            </w:r>
          </w:p>
        </w:tc>
        <w:tc>
          <w:tcPr>
            <w:tcW w:w="146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465,027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499,939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225.3</w:t>
            </w:r>
            <w:r>
              <w:rPr>
                <w:rFonts w:ascii="Arial" w:cs="Arial" w:eastAsia="Arial" w:hAnsi="Arial"/>
                <w:sz w:val="28"/>
                <w:szCs w:val="2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(3.1)%</w:t>
            </w:r>
          </w:p>
        </w:tc>
        <w:tc>
          <w:tcPr>
            <w:tcW w:w="1460" w:type="dxa"/>
            <w:vAlign w:val="bottom"/>
            <w:shd w:val="clear" w:color="auto" w:fill="CCEEFF"/>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United States</w:t>
            </w:r>
          </w:p>
        </w:tc>
        <w:tc>
          <w:tcPr>
            <w:tcW w:w="1460" w:type="dxa"/>
            <w:vAlign w:val="bottom"/>
            <w:shd w:val="clear" w:color="auto" w:fill="CCEEFF"/>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Business Services</w:t>
            </w:r>
          </w:p>
        </w:tc>
        <w:tc>
          <w:tcPr>
            <w:tcW w:w="4520" w:type="dxa"/>
            <w:vAlign w:val="bottom"/>
            <w:shd w:val="clear" w:color="auto" w:fill="CCEEFF"/>
          </w:tcPr>
          <w:p>
            <w:pPr>
              <w:ind w:left="22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9"/>
              </w:rPr>
              <w:t>Sub Total Derivatives - United States</w:t>
            </w:r>
          </w:p>
        </w:tc>
        <w:tc>
          <w:tcPr>
            <w:tcW w:w="146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DERIVATIVES - (3.1)%</w:t>
            </w:r>
          </w:p>
        </w:tc>
        <w:tc>
          <w:tcPr>
            <w:tcW w:w="146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(6,815</w:t>
            </w:r>
            <w:r>
              <w:rPr>
                <w:rFonts w:ascii="Arial" w:cs="Arial" w:eastAsia="Arial" w:hAnsi="Arial"/>
                <w:sz w:val="20"/>
                <w:szCs w:val="20"/>
                <w:b w:val="1"/>
                <w:bCs w:val="1"/>
                <w:color w:val="auto"/>
                <w:vertAlign w:val="superscript"/>
              </w:rPr>
              <w:t>)</w:t>
            </w:r>
          </w:p>
        </w:tc>
        <w:tc>
          <w:tcPr>
            <w:tcW w:w="9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b w:val="1"/>
                <w:bCs w:val="1"/>
                <w:color w:val="auto"/>
              </w:rPr>
              <w:t>(3.1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Percentages are based on net assets of $221,887 as of December 31,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has an excercisable put option.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$2.0 million unfunded commitment.</w:t>
      </w:r>
    </w:p>
    <w:p>
      <w:pPr>
        <w:spacing w:after="0" w:line="9" w:lineRule="exact"/>
        <w:rPr>
          <w:rFonts w:ascii="Arial" w:cs="Arial" w:eastAsia="Arial" w:hAnsi="Arial"/>
          <w:sz w:val="18"/>
          <w:szCs w:val="18"/>
          <w:color w:val="auto"/>
        </w:rPr>
      </w:pPr>
    </w:p>
    <w:p>
      <w:pPr>
        <w:ind w:right="100" w:firstLine="8"/>
        <w:spacing w:after="0" w:line="250" w:lineRule="auto"/>
        <w:tabs>
          <w:tab w:leader="none" w:pos="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2017, 5.0% of the Company's total assets were non-qualifying assets.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headquartered in Brazil.</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the stated rate, the Company is charging 3% default interest on the investment.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9" w:lineRule="exact"/>
        <w:rPr>
          <w:rFonts w:ascii="Arial" w:cs="Arial" w:eastAsia="Arial" w:hAnsi="Arial"/>
          <w:sz w:val="18"/>
          <w:szCs w:val="18"/>
          <w:color w:val="auto"/>
        </w:rPr>
      </w:pPr>
    </w:p>
    <w:p>
      <w:pPr>
        <w:ind w:right="300" w:firstLine="8"/>
        <w:spacing w:after="0" w:line="250" w:lineRule="auto"/>
        <w:tabs>
          <w:tab w:leader="none" w:pos="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December 31, 2017, the fair value of the written call option is approximately $6.8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$3.1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fourth quarter of 2017, Florida Sidecar transferred all of its assets to the Company and was legally dissolved as a standalone partnership.</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2018 and December 31,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2017, filed with the U.S. Securities and Exchange Commission (“SEC”) on February 27,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2018, the Company had outstanding unfunded commitments related to debt investments in existing portfolio companies of $3.8 million (Portrait Studio, LLC), $1.4 million (Kelle’s Transport Service, LLC), $0.7 million (MC Sign Lessor Corp), $0.7 million (U.S. Well Services, LLC) and $0.3 million (CableOrganizer Acquisition, LLC). As of December 31, 2017, the Company had outstanding unfunded commitments related to debt investments in existing portfolio companies of $3.1 million (Portrait Studio, LLC), $2.0 million (CIS Secure Computing, Inc.), $1.0 million (Kelle’s Transport Service, LLC), and $0.7 million (U.S. Well Services, LLC).</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addition to unfunded commitments related to debt investments, the Company also has extended a guaranty on behalf of one of its portfolio companies, whereby the Company has guaranteed $1.9 million of obligations of Kelle’s Transport Service, LLC. As of June 30, 2018, we have not been required to make payments on this or any previous guaranties, and we consider the credit risks to be remote and the fair value of this guaranty to be immaterial.</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w:t>
      </w:r>
      <w:r>
        <w:rPr>
          <w:rFonts w:ascii="Arial" w:cs="Arial" w:eastAsia="Arial" w:hAnsi="Arial"/>
          <w:sz w:val="16"/>
          <w:szCs w:val="16"/>
          <w:i w:val="1"/>
          <w:iCs w:val="1"/>
          <w:color w:val="auto"/>
        </w:rPr>
        <w:t>inter alia</w:t>
      </w:r>
      <w:r>
        <w:rPr>
          <w:rFonts w:ascii="Arial" w:cs="Arial" w:eastAsia="Arial" w:hAnsi="Arial"/>
          <w:sz w:val="16"/>
          <w:szCs w:val="16"/>
          <w:color w:val="auto"/>
        </w:rPr>
        <w:t>,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The time for the defendants in the Paskowitz Action to respond to the amended complaint has not yet expired. While the Company intends to vigorously defend itself in this litigation, the outcome of these legal proceedings cannot be predicted with certainty.</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June 30, 2018 and December 31, 2017.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U.S. federal income tax purposes, as of June 30, 2018, the aggregate net unrealized appreciation for all securities was $56.5 million. As of June 30, 2018, gross unrealized appreciation was $85.1 million and gross unrealized depreciation was $28.6 million. The aggregate cost of securities for U.S. federal income tax purposes was $426.7 million as of June 30, 2018. For U.S. federal income tax purposes, as of December 31, 2017, the aggregate net unrealized appreciation for all securities was $34.9 million. As of December 31, 2017, gross unrealized appreciation was $81.4 million and gross unrealized depreciation was $46.5 million. The aggregate cost of securities for U.S. federal income tax purposes was $465.0 million as of December 31, 2017.</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June 30, 2018 and December 31, 2017, the Company recorded a net deferred tax asset of $6 thousand and net deferred tax liability of $1.3 million, respectively. For the three months ended June 30, 2018, the Company recorded a tax benefit of $1.3 million. For the six months ended June 30, 2018, the Company recorded a tax benefit of $1.3 million. For the three and six months ended June 30, 2017, no tax provision was recorded.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$25.2 million, $24.5 million, and $25.1 million during the tax years ended August 31, 2017, 2016 and 2015, respectively.</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2018 and December 31, 2017, there were no uncertain tax positions.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years ended August 31, 2017, 2016 and 2015 remain subject to examination by U.S. federal, state, and local tax authorities. No interest expense or penalties have been assessed for the three and six months ended June 30, 2018 and June 30, 2017. If the Company was required to recognize interest and penalties, if any, related to unrecognized tax benefits this would be recognized as income tax expense in the consolidated statements of operations.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amend its tax year end from August 31 to December 31 and will file a tax return for the four months ended December 31, 2017. The election to change the tax year end is not expected to have a material impact on the Company’s consolidated statements of operations, the Company’s tax status as a RIC, or the nature of distributions paid to our stockholders.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Act and may change, possibly materially, as we complete our analysis and receive additional clarification and implementation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2016, the SEC adopted new rules and amended existing rules (together, “final rules”) intended to modernize the reporting and disclosure of information by registered investment companies. In part, the final rules amend Regulation S-X and require standardized, enhanced disclosures about derivatives in investment company financial statements, as well as other amendments. The compliance date for the amendments to Regulation S-X was August 1, 2017. Management has adopted the amendments to Regulation S-X and included required disclosures in the Company’s consolidated financial statements and related disclosures.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2014, the FASB issued Accounting Standards Update 2014-09, Revenue from Contracts with Customers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significantly enhances comparability of revenue recognition practices across entities, industries, jurisdictions and capital markets. Additionally, the guidance requires improved disclosures as to the nature, amount, timing and uncertainty of revenue that is recognized. The new guidance became effective for the annual reporting period beginning January 1, 2018, including interim periods within that reporting period. The Company completed its assessment in evaluating the potential impact on its consolidated financial statements and based on its assessment, determined that its financial contracts are excluded from the scope of ASU 2014-09. As a result of the scope exception for financial contracts, the Company’s management has determined that there will be no material changes to the recognition timing and classification of revenues and expenses; additionally, the Company’s management determined that the adoption of ASU 2014-09 does not have a significant impact on its consolidated financial statement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June 30, 2018, our portfolio consisted of investments in 43 portfolio companies with a fair value of approximately $483.3 million.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June 30, 2018, 13.4% of the fair value of our first lien loans consisted of last-out loans. As of December 31, 2017,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2018, the Company made approximately $11.2 million of investments and had approximately $32.3 million in repayments and sales resulting in net repayments and sales of approximately $21.1 million for the period. During the three months ended June 30, 2017, the Company made approximately $6.5 million of investments and had approximately $49.3 million in repayments and sales resulting in net repayments and sales of approximately $42.8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2018, the Company made approximately $39.0 million of investments and had approximately $53.7 million in repayments and sales resulting in net repayments and sales of approximately $14.7 million for the period. During the six months ended June 30, 2017, the Company made approximately $28.2 million of investments and had approximately $82.3 million in repayments and sales resulting in net repayments and sales of approximately $54.1 million for the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both"/>
        <w:ind w:firstLine="648"/>
        <w:spacing w:after="0" w:line="253" w:lineRule="auto"/>
        <w:rPr>
          <w:sz w:val="20"/>
          <w:szCs w:val="20"/>
          <w:color w:val="auto"/>
        </w:rPr>
      </w:pPr>
      <w:r>
        <w:rPr>
          <w:rFonts w:ascii="Arial" w:cs="Arial" w:eastAsia="Arial" w:hAnsi="Arial"/>
          <w:sz w:val="18"/>
          <w:szCs w:val="18"/>
          <w:color w:val="auto"/>
        </w:rPr>
        <w:t>During the three and six months ended June 30, 2018, the Company funded $4.2 million and $5.2 million, respectively, of previously committed capital to existing portfolio companies. During the three and six months ended June 30, 2018, the Company funded $7.0 million and $33.8 million, respectively, of investments in portfolio companies for which it was not previously committed to fund. During the three and six months ended June 30, 2017, the Company funded $0.3 million and $1.5 million, respectively, of previously committed capital to existing portfolio companies. During the three and six months ended June 30, 2017, the Company funded $6.2 million and $26.7 million, respectively,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and six months ended June 30, 2018, and June 30, 2017, the Company did not lead any syndicates and did not assist any portfolio companies in obtaining indirect financing.</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the Company’s consolidated statements of assets and liabilities, was approximately $6.8 million and $6.8 million as of June 30, 2018, and December 31, 2017, respectively.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June 30, 2018, was determined to be insignificant. The Written Call Option is classified as a Level 3 financial instrument.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June 30, 2018,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245,846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32,831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57,862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125,316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25.9</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2017,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32,465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55,180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122,271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24.5</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both"/>
        <w:ind w:firstLine="648"/>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June 30, 2018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245,846</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31,781</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80,318</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125,316</w:t>
            </w:r>
          </w:p>
        </w:tc>
        <w:tc>
          <w:tcPr>
            <w:tcW w:w="120" w:type="dxa"/>
            <w:vAlign w:val="bottom"/>
            <w:tcBorders>
              <w:bottom w:val="single" w:sz="8" w:color="CCEEFF"/>
            </w:tcBorders>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483,261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June 30, 2018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4"/>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2017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Lien Debt</w:t>
            </w: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19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12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17,494</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(20,806)</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3,312</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(51,472)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(53,656)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38,176</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38,976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(20,592)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(26,477)</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17,480</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21,602</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six months ended June 30, 2018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Written</w:t>
            </w: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Call Option</w:t>
            </w: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6,701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(18,948)</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(35,290)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(16,092)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20,867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28,249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9,534</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(11,583)</w:t>
            </w:r>
          </w:p>
        </w:tc>
        <w:tc>
          <w:tcPr>
            <w:tcW w:w="1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(8,495)</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5,492</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(14,659)</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six months ended June 30, 2017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ind w:left="1900"/>
              <w:spacing w:after="0"/>
              <w:rPr>
                <w:sz w:val="20"/>
                <w:szCs w:val="20"/>
                <w:color w:val="auto"/>
              </w:rPr>
            </w:pPr>
            <w:r>
              <w:rPr>
                <w:rFonts w:ascii="Arial" w:cs="Arial" w:eastAsia="Arial" w:hAnsi="Arial"/>
                <w:sz w:val="18"/>
                <w:szCs w:val="18"/>
                <w:b w:val="1"/>
                <w:bCs w:val="1"/>
                <w:color w:val="auto"/>
                <w:w w:val="99"/>
              </w:rPr>
              <w:t>Written Call Option</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7"/>
              </w:rPr>
              <w:t>(2,736)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w w:val="91"/>
              </w:rPr>
              <w:t>(2,412)</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2017</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(5,148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net change in unrealized appreciation (depreciation) on investments held as of June 30, 2018 and June 30, 2017, was $(0.4) million and $(5.9) million, respectively, and is included in net unrealized appreciation (depreciation) on investments in the consolidated statements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and (liabilities) as of June 30, 2018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Fair Value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ind w:left="7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(in millions)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ind w:left="70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2160" w:type="dxa"/>
            <w:vAlign w:val="bottom"/>
          </w:tcPr>
          <w:p>
            <w:pPr>
              <w:ind w:left="60"/>
              <w:spacing w:after="0"/>
              <w:rPr>
                <w:sz w:val="20"/>
                <w:szCs w:val="20"/>
                <w:color w:val="auto"/>
              </w:rPr>
            </w:pPr>
            <w:r>
              <w:rPr>
                <w:rFonts w:ascii="Arial" w:cs="Arial" w:eastAsia="Arial" w:hAnsi="Arial"/>
                <w:sz w:val="18"/>
                <w:szCs w:val="18"/>
                <w:b w:val="1"/>
                <w:bCs w:val="1"/>
                <w:color w:val="auto"/>
                <w:w w:val="90"/>
              </w:rPr>
              <w:t>Range (Weighted Average)</w:t>
            </w:r>
          </w:p>
        </w:tc>
      </w:tr>
      <w:tr>
        <w:trPr>
          <w:trHeight w:val="195"/>
        </w:trPr>
        <w:tc>
          <w:tcPr>
            <w:tcW w:w="1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4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0"/>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182.9</w:t>
            </w:r>
          </w:p>
        </w:tc>
        <w:tc>
          <w:tcPr>
            <w:tcW w:w="2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9.1% – 16.0% (12.6%)</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1.2x – 7.2x (3.5x)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$1.8 million – $112.7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($25.1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62.9</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5.5x – 6.5x (6.0x)</w:t>
            </w:r>
          </w:p>
        </w:tc>
      </w:tr>
      <w:tr>
        <w:trPr>
          <w:trHeight w:val="217"/>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$0.7 million – $2.9 million</w:t>
            </w:r>
          </w:p>
        </w:tc>
      </w:tr>
      <w:tr>
        <w:trPr>
          <w:trHeight w:val="215"/>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($1.7 million)</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tcPr>
          <w:p>
            <w:pPr>
              <w:spacing w:after="0"/>
              <w:rPr>
                <w:sz w:val="20"/>
                <w:szCs w:val="20"/>
                <w:color w:val="auto"/>
              </w:rPr>
            </w:pPr>
            <w:r>
              <w:rPr>
                <w:rFonts w:ascii="Arial" w:cs="Arial" w:eastAsia="Arial" w:hAnsi="Arial"/>
                <w:sz w:val="18"/>
                <w:szCs w:val="18"/>
                <w:color w:val="auto"/>
              </w:rPr>
              <w:t>0.2x – 1.1x (0.4x)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tcPr>
          <w:p>
            <w:pPr>
              <w:spacing w:after="0"/>
              <w:rPr>
                <w:sz w:val="20"/>
                <w:szCs w:val="20"/>
                <w:color w:val="auto"/>
              </w:rPr>
            </w:pPr>
            <w:r>
              <w:rPr>
                <w:rFonts w:ascii="Arial" w:cs="Arial" w:eastAsia="Arial" w:hAnsi="Arial"/>
                <w:sz w:val="18"/>
                <w:szCs w:val="18"/>
                <w:color w:val="auto"/>
              </w:rPr>
              <w:t>$12.2 million – $161.3</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million ($84.7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31.8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12.5% – 18.1% (15.0%)</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4.9x – 6.8x (5.9x)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$7.5 million – $77.0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($40.5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56.3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11.5% – 19.0% (14.2%)</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tcPr>
          <w:p>
            <w:pPr>
              <w:spacing w:after="0"/>
              <w:rPr>
                <w:sz w:val="20"/>
                <w:szCs w:val="20"/>
                <w:color w:val="auto"/>
              </w:rPr>
            </w:pPr>
            <w:r>
              <w:rPr>
                <w:rFonts w:ascii="Arial" w:cs="Arial" w:eastAsia="Arial" w:hAnsi="Arial"/>
                <w:sz w:val="18"/>
                <w:szCs w:val="18"/>
                <w:color w:val="auto"/>
              </w:rPr>
              <w:t>3.3x – 8.4x (5.7x)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$1.8 million – $15.4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($10.6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24.0</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6.0x – 6.0x (6.0x)</w:t>
            </w:r>
          </w:p>
        </w:tc>
      </w:tr>
      <w:tr>
        <w:trPr>
          <w:trHeight w:val="217"/>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$1.8 million – $2.8 million</w:t>
            </w:r>
          </w:p>
        </w:tc>
      </w:tr>
      <w:tr>
        <w:trPr>
          <w:trHeight w:val="215"/>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($2.7 million)</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0.5x – 0.5x (0.5x)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$545.9 million – $545.9</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million ($545.9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Equity and warrants</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125.3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3.3x – 15.5x (8.1x)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w w:val="96"/>
              </w:rPr>
              <w:t>$0.7 million – $110.7 million</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($26.5 million)</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tcPr>
          <w:p>
            <w:pPr>
              <w:spacing w:after="0"/>
              <w:rPr>
                <w:sz w:val="20"/>
                <w:szCs w:val="20"/>
                <w:color w:val="auto"/>
              </w:rPr>
            </w:pPr>
            <w:r>
              <w:rPr>
                <w:rFonts w:ascii="Arial" w:cs="Arial" w:eastAsia="Arial" w:hAnsi="Arial"/>
                <w:sz w:val="18"/>
                <w:szCs w:val="18"/>
                <w:color w:val="auto"/>
              </w:rPr>
              <w:t>0.5x – 0.5x (0.5x)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tcPr>
          <w:p>
            <w:pPr>
              <w:spacing w:after="0"/>
              <w:rPr>
                <w:sz w:val="20"/>
                <w:szCs w:val="20"/>
                <w:color w:val="auto"/>
              </w:rPr>
            </w:pPr>
            <w:r>
              <w:rPr>
                <w:rFonts w:ascii="Arial" w:cs="Arial" w:eastAsia="Arial" w:hAnsi="Arial"/>
                <w:sz w:val="18"/>
                <w:szCs w:val="18"/>
                <w:color w:val="auto"/>
              </w:rPr>
              <w:t>$156.1 million – $545.9</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million ($447.7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 Option</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Revenue Multiple</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0.5x – 0.5x (0.5x)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$545.9 million – $545.9</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million ($545.9 million)</w:t>
            </w:r>
          </w:p>
        </w:tc>
      </w:tr>
      <w:tr>
        <w:trPr>
          <w:trHeight w:val="432"/>
        </w:trPr>
        <w:tc>
          <w:tcPr>
            <w:tcW w:w="9260" w:type="dxa"/>
            <w:vAlign w:val="bottom"/>
            <w:gridSpan w:val="9"/>
          </w:tcPr>
          <w:p>
            <w:pPr>
              <w:ind w:left="300"/>
              <w:spacing w:after="0"/>
              <w:rPr>
                <w:sz w:val="20"/>
                <w:szCs w:val="20"/>
                <w:color w:val="auto"/>
              </w:rPr>
            </w:pPr>
            <w:r>
              <w:rPr>
                <w:rFonts w:ascii="Arial" w:cs="Arial" w:eastAsia="Arial" w:hAnsi="Arial"/>
                <w:sz w:val="18"/>
                <w:szCs w:val="18"/>
                <w:color w:val="auto"/>
              </w:rPr>
              <w:t>(1) $1.0 million in subordinated debt and $6.9 million in first lien debt were valued using the asset approach.</w:t>
            </w:r>
          </w:p>
        </w:tc>
        <w:tc>
          <w:tcPr>
            <w:tcW w:w="2160" w:type="dxa"/>
            <w:vAlign w:val="bottom"/>
          </w:tcPr>
          <w:p>
            <w:pPr>
              <w:spacing w:after="0"/>
              <w:rPr>
                <w:sz w:val="24"/>
                <w:szCs w:val="24"/>
                <w:color w:val="auto"/>
              </w:rPr>
            </w:pPr>
          </w:p>
        </w:tc>
      </w:tr>
      <w:tr>
        <w:trPr>
          <w:trHeight w:val="418"/>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w w:val="94"/>
              </w:rPr>
              <w:t>The valuation techniques and significant unobservable inputs used in recurring Level 3 fair value measurements of assets and (liabilities) as of</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December 31, 2017 were as follows: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4"/>
        </w:trPr>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Fair Value</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ind w:left="7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(in millions)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ind w:left="70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2160" w:type="dxa"/>
            <w:vAlign w:val="bottom"/>
          </w:tcPr>
          <w:p>
            <w:pPr>
              <w:ind w:left="60"/>
              <w:spacing w:after="0"/>
              <w:rPr>
                <w:sz w:val="20"/>
                <w:szCs w:val="20"/>
                <w:color w:val="auto"/>
              </w:rPr>
            </w:pPr>
            <w:r>
              <w:rPr>
                <w:rFonts w:ascii="Arial" w:cs="Arial" w:eastAsia="Arial" w:hAnsi="Arial"/>
                <w:sz w:val="18"/>
                <w:szCs w:val="18"/>
                <w:b w:val="1"/>
                <w:bCs w:val="1"/>
                <w:color w:val="auto"/>
                <w:w w:val="90"/>
              </w:rPr>
              <w:t>Range (Weighted Average)</w:t>
            </w:r>
          </w:p>
        </w:tc>
      </w:tr>
      <w:tr>
        <w:trPr>
          <w:trHeight w:val="195"/>
        </w:trPr>
        <w:tc>
          <w:tcPr>
            <w:tcW w:w="1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4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0"/>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211.2</w:t>
            </w:r>
          </w:p>
        </w:tc>
        <w:tc>
          <w:tcPr>
            <w:tcW w:w="2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8.6% – 21.2% (13.5%)</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1.7x – 7.0x (3.6x)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$1.8 million – $131.2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($21.1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4.0x – 7.0x (5.5x)</w:t>
            </w:r>
          </w:p>
        </w:tc>
      </w:tr>
      <w:tr>
        <w:trPr>
          <w:trHeight w:val="217"/>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$2.1 million – $3.1 million</w:t>
            </w:r>
          </w:p>
        </w:tc>
      </w:tr>
      <w:tr>
        <w:trPr>
          <w:trHeight w:val="230"/>
        </w:trPr>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($2.6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30.8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11.6% – 17.6% (14.4%)</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4.9x – 7.0x (6.0x)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$7.3 million – $78.5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($41.1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64.4</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11.5% – 19.0% (14.2%)</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tcPr>
          <w:p>
            <w:pPr>
              <w:spacing w:after="0"/>
              <w:rPr>
                <w:sz w:val="20"/>
                <w:szCs w:val="20"/>
                <w:color w:val="auto"/>
              </w:rPr>
            </w:pPr>
            <w:r>
              <w:rPr>
                <w:rFonts w:ascii="Arial" w:cs="Arial" w:eastAsia="Arial" w:hAnsi="Arial"/>
                <w:sz w:val="18"/>
                <w:szCs w:val="18"/>
                <w:color w:val="auto"/>
              </w:rPr>
              <w:t>3.2x – 8.1x (5.6x)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3.2 million – $15.1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($9.7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39.0</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6.0x – 7.5x (7.2x)</w:t>
            </w:r>
          </w:p>
        </w:tc>
      </w:tr>
      <w:tr>
        <w:trPr>
          <w:trHeight w:val="217"/>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$1.8 million – $30.1 million</w:t>
            </w:r>
          </w:p>
        </w:tc>
      </w:tr>
      <w:tr>
        <w:trPr>
          <w:trHeight w:val="215"/>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($21.2 million)</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0.2x – 0.2x (0.2x)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$150.7 million – $150.7</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million ($150.7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Equity and warrants</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122.3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3.5x – 14.5x (7.9x)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$1.8 million – $77.6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($24.3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 Option</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7.25x – 7.25x (7.25x)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$30.1 million – $30.1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($30.1 million)</w:t>
            </w:r>
          </w:p>
        </w:tc>
      </w:tr>
    </w:tbl>
    <w:p>
      <w:pPr>
        <w:sectPr>
          <w:pgSz w:w="11900" w:h="16838" w:orient="portrait"/>
          <w:cols w:equalWidth="0" w:num="1">
            <w:col w:w="11420"/>
          </w:cols>
          <w:pgMar w:left="240" w:top="800" w:right="239" w:bottom="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(1) $1.0 million in subordinated debt and $1.9 million in first lien debt were valued using the asset approach.</w:t>
      </w:r>
    </w:p>
    <w:p>
      <w:pPr>
        <w:sectPr>
          <w:pgSz w:w="11900" w:h="16838" w:orient="portrait"/>
          <w:cols w:equalWidth="0" w:num="1">
            <w:col w:w="9919"/>
          </w:cols>
          <w:pgMar w:left="540" w:top="34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29210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19"/>
          </w:cols>
          <w:pgMar w:left="540" w:top="341" w:right="1440" w:bottom="1440" w:gutter="0" w:footer="0" w:header="0"/>
          <w:type w:val="continuous"/>
        </w:sectPr>
      </w:pPr>
    </w:p>
    <w:bookmarkStart w:id="35" w:name="page36"/>
    <w:bookmarkEnd w:id="35"/>
    <w:p>
      <w:pPr>
        <w:jc w:val="both"/>
        <w:ind w:firstLine="707"/>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2018, the Company had investments in portfolio companies designated as affiliates under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Fees 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Dividends</w:t>
            </w:r>
          </w:p>
        </w:tc>
        <w:tc>
          <w:tcPr>
            <w:tcW w:w="14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6"/>
                <w:szCs w:val="16"/>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Type of Investment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Credited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Reductions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7"/>
              </w:rPr>
              <w:t xml:space="preserve">Income </w:t>
            </w:r>
            <w:r>
              <w:rPr>
                <w:rFonts w:ascii="Arial" w:cs="Arial" w:eastAsia="Arial" w:hAnsi="Arial"/>
                <w:sz w:val="20"/>
                <w:szCs w:val="20"/>
                <w:b w:val="1"/>
                <w:bCs w:val="1"/>
                <w:color w:val="auto"/>
                <w:w w:val="97"/>
                <w:vertAlign w:val="superscript"/>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5"/>
                <w:szCs w:val="15"/>
                <w:color w:val="auto"/>
              </w:rPr>
            </w:pPr>
          </w:p>
        </w:tc>
        <w:tc>
          <w:tcPr>
            <w:tcW w:w="8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68"/>
              <w:spacing w:after="0"/>
              <w:rPr>
                <w:sz w:val="20"/>
                <w:szCs w:val="20"/>
                <w:color w:val="auto"/>
              </w:rPr>
            </w:pPr>
            <w:r>
              <w:rPr>
                <w:rFonts w:ascii="Arial" w:cs="Arial" w:eastAsia="Arial" w:hAnsi="Arial"/>
                <w:sz w:val="12"/>
                <w:szCs w:val="12"/>
                <w:b w:val="1"/>
                <w:bCs w:val="1"/>
                <w:color w:val="auto"/>
                <w:w w:val="95"/>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Gain/(Loss)</w:t>
            </w:r>
          </w:p>
        </w:tc>
        <w:tc>
          <w:tcPr>
            <w:tcW w:w="8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Affiliate investments</w:t>
            </w: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Second Lien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(8.0% Cash, 4.0% PIK,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Due 8/24/19)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16,165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(2.2%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Warrants (37.8% fully</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(12.0%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1.0% PIK,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3/23/21)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14,726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8/9/19)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8/9/19)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Class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A (1,253,198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Class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B (900,000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(1,000,000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Chef'n Corporation</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(13.0%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10/20/19)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Preferred Membership</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Units (2.8% fully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xml:space="preserve">City Gear, LLC </w:t>
            </w:r>
            <w:r>
              <w:rPr>
                <w:rFonts w:ascii="Arial" w:cs="Arial" w:eastAsia="Arial" w:hAnsi="Arial"/>
                <w:sz w:val="23"/>
                <w:szCs w:val="23"/>
                <w:color w:val="auto"/>
                <w:vertAlign w:val="superscript"/>
              </w:rPr>
              <w:t>(5)</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9.0% Cash</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Dividend)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(11.4% fully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17,748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A-1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w w:val="99"/>
              </w:rPr>
              <w:t xml:space="preserve">GA Communications, Inc. </w:t>
            </w:r>
            <w:r>
              <w:rPr>
                <w:rFonts w:ascii="Arial" w:cs="Arial" w:eastAsia="Arial" w:hAnsi="Arial"/>
                <w:sz w:val="23"/>
                <w:szCs w:val="23"/>
                <w:color w:val="auto"/>
                <w:w w:val="99"/>
                <w:vertAlign w:val="superscript"/>
              </w:rPr>
              <w:t>(5)</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(1,998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8.0% PIK Dividend)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Common</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3"/>
              </w:rPr>
              <w:t>Stock (200,000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(13.0%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6/16/19)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6,406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Common Stock (8,182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0"/>
              </w:rPr>
              <w:t>Warrants (6,369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(1,500,000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(12.0%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1/31/19)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(6.0%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1/31/19)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vMerge w:val="continue"/>
          </w:tcPr>
          <w:p>
            <w:pPr>
              <w:spacing w:after="0"/>
              <w:rPr>
                <w:sz w:val="22"/>
                <w:szCs w:val="22"/>
                <w:color w:val="auto"/>
              </w:rPr>
            </w:pPr>
          </w:p>
        </w:tc>
        <w:tc>
          <w:tcPr>
            <w:tcW w:w="1820" w:type="dxa"/>
            <w:vAlign w:val="bottom"/>
            <w:gridSpan w:val="3"/>
            <w:shd w:val="clear" w:color="auto" w:fill="CCEEFF"/>
          </w:tcPr>
          <w:p>
            <w:pPr>
              <w:spacing w:after="0" w:line="259" w:lineRule="exact"/>
              <w:rPr>
                <w:sz w:val="20"/>
                <w:szCs w:val="20"/>
                <w:color w:val="auto"/>
              </w:rPr>
            </w:pPr>
            <w:r>
              <w:rPr>
                <w:rFonts w:ascii="Arial" w:cs="Arial" w:eastAsia="Arial" w:hAnsi="Arial"/>
                <w:sz w:val="14"/>
                <w:szCs w:val="14"/>
                <w:color w:val="auto"/>
              </w:rPr>
              <w:t xml:space="preserve">MMI Holdings, LLC </w:t>
            </w:r>
            <w:r>
              <w:rPr>
                <w:rFonts w:ascii="Arial" w:cs="Arial" w:eastAsia="Arial" w:hAnsi="Arial"/>
                <w:sz w:val="23"/>
                <w:szCs w:val="23"/>
                <w:color w:val="auto"/>
                <w:vertAlign w:val="superscript"/>
              </w:rPr>
              <w:t>(5)</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8"/>
              </w:rPr>
              <w:t>Preferred Units (1,000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bl>
    <w:p>
      <w:pPr>
        <w:sectPr>
          <w:pgSz w:w="11900" w:h="16900" w:orient="portrait"/>
          <w:cols w:equalWidth="0" w:num="1">
            <w:col w:w="11420"/>
          </w:cols>
          <w:pgMar w:left="240" w:top="796" w:right="239" w:bottom="0" w:gutter="0" w:footer="0" w:header="0"/>
        </w:sectPr>
      </w:pPr>
    </w:p>
    <w:bookmarkStart w:id="37" w:name="page38"/>
    <w:bookmarkEnd w:id="37"/>
    <w:p>
      <w:pPr>
        <w:ind w:left="1840"/>
        <w:spacing w:after="0"/>
        <w:rPr>
          <w:sz w:val="20"/>
          <w:szCs w:val="20"/>
          <w:color w:val="auto"/>
        </w:rPr>
      </w:pPr>
      <w:r>
        <w:rPr>
          <w:rFonts w:ascii="Arial" w:cs="Arial" w:eastAsia="Arial" w:hAnsi="Arial"/>
          <w:sz w:val="14"/>
          <w:szCs w:val="14"/>
          <w:color w:val="auto"/>
        </w:rPr>
        <w:t>units, 6.0% PIK</w:t>
      </w:r>
    </w:p>
    <w:p>
      <w:pPr>
        <w:ind w:left="1840"/>
        <w:spacing w:after="0"/>
        <w:rPr>
          <w:sz w:val="20"/>
          <w:szCs w:val="20"/>
          <w:color w:val="auto"/>
        </w:rPr>
      </w:pPr>
      <w:r>
        <w:rPr>
          <w:rFonts w:ascii="Arial" w:cs="Arial" w:eastAsia="Arial" w:hAnsi="Arial"/>
          <w:sz w:val="14"/>
          <w:szCs w:val="14"/>
          <w:color w:val="auto"/>
        </w:rPr>
        <w:t>Dividend)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Common Membership</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4"/>
                <w:szCs w:val="14"/>
                <w:color w:val="auto"/>
              </w:rPr>
              <w:t>MMI Holdings, LLC</w:t>
            </w:r>
          </w:p>
        </w:tc>
        <w:tc>
          <w:tcPr>
            <w:tcW w:w="1720" w:type="dxa"/>
            <w:vAlign w:val="bottom"/>
          </w:tcPr>
          <w:p>
            <w:pPr>
              <w:ind w:left="100"/>
              <w:spacing w:after="0"/>
              <w:rPr>
                <w:sz w:val="20"/>
                <w:szCs w:val="20"/>
                <w:color w:val="auto"/>
              </w:rPr>
            </w:pPr>
            <w:r>
              <w:rPr>
                <w:rFonts w:ascii="Arial" w:cs="Arial" w:eastAsia="Arial" w:hAnsi="Arial"/>
                <w:sz w:val="14"/>
                <w:szCs w:val="14"/>
                <w:color w:val="auto"/>
              </w:rPr>
              <w:t>Units (45 units)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272"/>
        </w:trPr>
        <w:tc>
          <w:tcPr>
            <w:tcW w:w="1740" w:type="dxa"/>
            <w:vAlign w:val="bottom"/>
          </w:tcPr>
          <w:p>
            <w:pPr>
              <w:spacing w:after="0"/>
              <w:rPr>
                <w:sz w:val="23"/>
                <w:szCs w:val="23"/>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Membership Units</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4"/>
                <w:szCs w:val="14"/>
                <w:color w:val="auto"/>
              </w:rPr>
              <w:t>MTI Holdings, LLC</w:t>
            </w:r>
          </w:p>
        </w:tc>
        <w:tc>
          <w:tcPr>
            <w:tcW w:w="1720" w:type="dxa"/>
            <w:vAlign w:val="bottom"/>
          </w:tcPr>
          <w:p>
            <w:pPr>
              <w:ind w:left="100"/>
              <w:spacing w:after="0"/>
              <w:rPr>
                <w:sz w:val="20"/>
                <w:szCs w:val="20"/>
                <w:color w:val="auto"/>
              </w:rPr>
            </w:pPr>
            <w:r>
              <w:rPr>
                <w:rFonts w:ascii="Arial" w:cs="Arial" w:eastAsia="Arial" w:hAnsi="Arial"/>
                <w:sz w:val="14"/>
                <w:szCs w:val="14"/>
                <w:color w:val="auto"/>
              </w:rPr>
              <w:t>(2,000,000 units)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72"/>
        </w:trPr>
        <w:tc>
          <w:tcPr>
            <w:tcW w:w="1740" w:type="dxa"/>
            <w:vAlign w:val="bottom"/>
          </w:tcPr>
          <w:p>
            <w:pPr>
              <w:spacing w:after="0"/>
              <w:rPr>
                <w:sz w:val="20"/>
                <w:szCs w:val="20"/>
                <w:color w:val="auto"/>
              </w:rPr>
            </w:pPr>
            <w:r>
              <w:rPr>
                <w:rFonts w:ascii="Arial" w:cs="Arial" w:eastAsia="Arial" w:hAnsi="Arial"/>
                <w:sz w:val="14"/>
                <w:szCs w:val="14"/>
                <w:color w:val="auto"/>
              </w:rPr>
              <w:t>Sierra Hamilton Holdings</w:t>
            </w:r>
          </w:p>
        </w:tc>
        <w:tc>
          <w:tcPr>
            <w:tcW w:w="172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4"/>
                <w:szCs w:val="14"/>
                <w:color w:val="auto"/>
              </w:rPr>
              <w:t>Corporation</w:t>
            </w:r>
          </w:p>
        </w:tc>
        <w:tc>
          <w:tcPr>
            <w:tcW w:w="1720" w:type="dxa"/>
            <w:vAlign w:val="bottom"/>
          </w:tcPr>
          <w:p>
            <w:pPr>
              <w:ind w:left="100"/>
              <w:spacing w:after="0"/>
              <w:rPr>
                <w:sz w:val="20"/>
                <w:szCs w:val="20"/>
                <w:color w:val="auto"/>
              </w:rPr>
            </w:pPr>
            <w:r>
              <w:rPr>
                <w:rFonts w:ascii="Arial" w:cs="Arial" w:eastAsia="Arial" w:hAnsi="Arial"/>
                <w:sz w:val="14"/>
                <w:szCs w:val="14"/>
                <w:color w:val="auto"/>
              </w:rPr>
              <w:t>(15,068,000 shares)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72"/>
        </w:trPr>
        <w:tc>
          <w:tcPr>
            <w:tcW w:w="1740" w:type="dxa"/>
            <w:vAlign w:val="bottom"/>
          </w:tcPr>
          <w:p>
            <w:pPr>
              <w:spacing w:after="0"/>
              <w:rPr>
                <w:sz w:val="23"/>
                <w:szCs w:val="23"/>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Membership Units</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4"/>
                <w:szCs w:val="14"/>
                <w:color w:val="auto"/>
                <w:w w:val="99"/>
              </w:rPr>
              <w:t>Source Capital Penray, LLC</w:t>
            </w:r>
          </w:p>
        </w:tc>
        <w:tc>
          <w:tcPr>
            <w:tcW w:w="1720" w:type="dxa"/>
            <w:vAlign w:val="bottom"/>
          </w:tcPr>
          <w:p>
            <w:pPr>
              <w:ind w:left="100"/>
              <w:spacing w:after="0"/>
              <w:rPr>
                <w:sz w:val="20"/>
                <w:szCs w:val="20"/>
                <w:color w:val="auto"/>
              </w:rPr>
            </w:pPr>
            <w:r>
              <w:rPr>
                <w:rFonts w:ascii="Arial" w:cs="Arial" w:eastAsia="Arial" w:hAnsi="Arial"/>
                <w:sz w:val="14"/>
                <w:szCs w:val="14"/>
                <w:color w:val="auto"/>
              </w:rPr>
              <w:t>(11.3% ownership)</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72"/>
        </w:trPr>
        <w:tc>
          <w:tcPr>
            <w:tcW w:w="1740" w:type="dxa"/>
            <w:vAlign w:val="bottom"/>
          </w:tcPr>
          <w:p>
            <w:pPr>
              <w:spacing w:after="0"/>
              <w:rPr>
                <w:sz w:val="20"/>
                <w:szCs w:val="20"/>
                <w:color w:val="auto"/>
              </w:rPr>
            </w:pPr>
            <w:r>
              <w:rPr>
                <w:rFonts w:ascii="Arial" w:cs="Arial" w:eastAsia="Arial" w:hAnsi="Arial"/>
                <w:sz w:val="14"/>
                <w:szCs w:val="14"/>
                <w:color w:val="auto"/>
              </w:rPr>
              <w:t>STX Healthcare</w:t>
            </w:r>
          </w:p>
        </w:tc>
        <w:tc>
          <w:tcPr>
            <w:tcW w:w="172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4"/>
                <w:szCs w:val="14"/>
                <w:color w:val="auto"/>
              </w:rPr>
              <w:t>Management Services, Inc.</w:t>
            </w:r>
          </w:p>
        </w:tc>
        <w:tc>
          <w:tcPr>
            <w:tcW w:w="1720" w:type="dxa"/>
            <w:vAlign w:val="bottom"/>
          </w:tcPr>
          <w:p>
            <w:pPr>
              <w:ind w:left="100"/>
              <w:spacing w:after="0"/>
              <w:rPr>
                <w:sz w:val="20"/>
                <w:szCs w:val="20"/>
                <w:color w:val="auto"/>
              </w:rPr>
            </w:pPr>
            <w:r>
              <w:rPr>
                <w:rFonts w:ascii="Arial" w:cs="Arial" w:eastAsia="Arial" w:hAnsi="Arial"/>
                <w:sz w:val="14"/>
                <w:szCs w:val="14"/>
                <w:color w:val="auto"/>
              </w:rPr>
              <w:t>(1,200,000 shares)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72"/>
        </w:trPr>
        <w:tc>
          <w:tcPr>
            <w:tcW w:w="1740" w:type="dxa"/>
            <w:vAlign w:val="bottom"/>
          </w:tcPr>
          <w:p>
            <w:pPr>
              <w:spacing w:after="0"/>
              <w:rPr>
                <w:sz w:val="23"/>
                <w:szCs w:val="23"/>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First Lien Debt (11.0%</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49"/>
        </w:trPr>
        <w:tc>
          <w:tcPr>
            <w:tcW w:w="174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Cash (1 month LIBOR</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+ 9.0%, 1.0% Floor),</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US Bath Group, LLC</w:t>
            </w:r>
          </w:p>
        </w:tc>
        <w:tc>
          <w:tcPr>
            <w:tcW w:w="1720" w:type="dxa"/>
            <w:vAlign w:val="bottom"/>
          </w:tcPr>
          <w:p>
            <w:pPr>
              <w:ind w:left="100"/>
              <w:spacing w:after="0"/>
              <w:rPr>
                <w:sz w:val="20"/>
                <w:szCs w:val="20"/>
                <w:color w:val="auto"/>
              </w:rPr>
            </w:pPr>
            <w:r>
              <w:rPr>
                <w:rFonts w:ascii="Arial" w:cs="Arial" w:eastAsia="Arial" w:hAnsi="Arial"/>
                <w:sz w:val="14"/>
                <w:szCs w:val="14"/>
                <w:color w:val="auto"/>
              </w:rPr>
              <w:t>Due 1/2/23)</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13,375</w:t>
            </w:r>
          </w:p>
        </w:tc>
        <w:tc>
          <w:tcPr>
            <w:tcW w:w="800" w:type="dxa"/>
            <w:vAlign w:val="bottom"/>
          </w:tcPr>
          <w:p>
            <w:pPr>
              <w:jc w:val="right"/>
              <w:spacing w:after="0"/>
              <w:rPr>
                <w:sz w:val="20"/>
                <w:szCs w:val="20"/>
                <w:color w:val="auto"/>
              </w:rPr>
            </w:pPr>
            <w:r>
              <w:rPr>
                <w:rFonts w:ascii="Arial" w:cs="Arial" w:eastAsia="Arial" w:hAnsi="Arial"/>
                <w:sz w:val="14"/>
                <w:szCs w:val="14"/>
                <w:color w:val="auto"/>
              </w:rPr>
              <w:t>1,049</w:t>
            </w:r>
          </w:p>
        </w:tc>
      </w:tr>
      <w:tr>
        <w:trPr>
          <w:trHeight w:val="263"/>
        </w:trPr>
        <w:tc>
          <w:tcPr>
            <w:tcW w:w="174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Membership Units</w:t>
            </w: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4"/>
                <w:szCs w:val="14"/>
                <w:color w:val="auto"/>
              </w:rPr>
              <w:t>US Bath Group, LLC</w:t>
            </w:r>
          </w:p>
        </w:tc>
        <w:tc>
          <w:tcPr>
            <w:tcW w:w="1720" w:type="dxa"/>
            <w:vAlign w:val="bottom"/>
          </w:tcPr>
          <w:p>
            <w:pPr>
              <w:ind w:left="100"/>
              <w:spacing w:after="0"/>
              <w:rPr>
                <w:sz w:val="20"/>
                <w:szCs w:val="20"/>
                <w:color w:val="auto"/>
              </w:rPr>
            </w:pPr>
            <w:r>
              <w:rPr>
                <w:rFonts w:ascii="Arial" w:cs="Arial" w:eastAsia="Arial" w:hAnsi="Arial"/>
                <w:sz w:val="14"/>
                <w:szCs w:val="14"/>
                <w:color w:val="auto"/>
              </w:rPr>
              <w:t>(500,000 units)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w:t>
            </w:r>
          </w:p>
        </w:tc>
      </w:tr>
      <w:tr>
        <w:trPr>
          <w:trHeight w:val="272"/>
        </w:trPr>
        <w:tc>
          <w:tcPr>
            <w:tcW w:w="1740" w:type="dxa"/>
            <w:vAlign w:val="bottom"/>
          </w:tcPr>
          <w:p>
            <w:pPr>
              <w:spacing w:after="0"/>
              <w:rPr>
                <w:sz w:val="23"/>
                <w:szCs w:val="23"/>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First Lien Debt (8.0%</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49"/>
        </w:trPr>
        <w:tc>
          <w:tcPr>
            <w:tcW w:w="174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Cash (1 month LIBOR</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+ 6.0%, 1.0% floor),</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U.S. Well Services, LLC</w:t>
            </w:r>
          </w:p>
        </w:tc>
        <w:tc>
          <w:tcPr>
            <w:tcW w:w="1720" w:type="dxa"/>
            <w:vAlign w:val="bottom"/>
          </w:tcPr>
          <w:p>
            <w:pPr>
              <w:ind w:left="100"/>
              <w:spacing w:after="0"/>
              <w:rPr>
                <w:sz w:val="20"/>
                <w:szCs w:val="20"/>
                <w:color w:val="auto"/>
              </w:rPr>
            </w:pPr>
            <w:r>
              <w:rPr>
                <w:rFonts w:ascii="Arial" w:cs="Arial" w:eastAsia="Arial" w:hAnsi="Arial"/>
                <w:sz w:val="14"/>
                <w:szCs w:val="14"/>
                <w:color w:val="auto"/>
              </w:rPr>
              <w:t>Due 2/2/22)</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2,299</w:t>
            </w:r>
          </w:p>
        </w:tc>
        <w:tc>
          <w:tcPr>
            <w:tcW w:w="8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63"/>
        </w:trPr>
        <w:tc>
          <w:tcPr>
            <w:tcW w:w="174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First Lien Debt (11.0%</w:t>
            </w: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49"/>
        </w:trPr>
        <w:tc>
          <w:tcPr>
            <w:tcW w:w="174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Cash (1 month LIBOR</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+ 9.0%, 1.0% floor),</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U.S. Well Services, LLC</w:t>
            </w:r>
          </w:p>
        </w:tc>
        <w:tc>
          <w:tcPr>
            <w:tcW w:w="1720" w:type="dxa"/>
            <w:vAlign w:val="bottom"/>
          </w:tcPr>
          <w:p>
            <w:pPr>
              <w:ind w:left="100"/>
              <w:spacing w:after="0"/>
              <w:rPr>
                <w:sz w:val="20"/>
                <w:szCs w:val="20"/>
                <w:color w:val="auto"/>
              </w:rPr>
            </w:pPr>
            <w:r>
              <w:rPr>
                <w:rFonts w:ascii="Arial" w:cs="Arial" w:eastAsia="Arial" w:hAnsi="Arial"/>
                <w:sz w:val="14"/>
                <w:szCs w:val="14"/>
                <w:color w:val="auto"/>
              </w:rPr>
              <w:t>Due 2/2/22)</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9,616</w:t>
            </w:r>
          </w:p>
        </w:tc>
        <w:tc>
          <w:tcPr>
            <w:tcW w:w="80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63"/>
        </w:trPr>
        <w:tc>
          <w:tcPr>
            <w:tcW w:w="174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Class A Units</w:t>
            </w: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U.S. Well Services, LLC</w:t>
            </w:r>
          </w:p>
        </w:tc>
        <w:tc>
          <w:tcPr>
            <w:tcW w:w="1720" w:type="dxa"/>
            <w:vAlign w:val="bottom"/>
          </w:tcPr>
          <w:p>
            <w:pPr>
              <w:ind w:left="100"/>
              <w:spacing w:after="0"/>
              <w:rPr>
                <w:sz w:val="20"/>
                <w:szCs w:val="20"/>
                <w:color w:val="auto"/>
              </w:rPr>
            </w:pPr>
            <w:r>
              <w:rPr>
                <w:rFonts w:ascii="Arial" w:cs="Arial" w:eastAsia="Arial" w:hAnsi="Arial"/>
                <w:sz w:val="14"/>
                <w:szCs w:val="14"/>
                <w:color w:val="auto"/>
              </w:rPr>
              <w:t>(5,680,688 Units)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174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Class B Units</w:t>
            </w: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6"/>
        </w:trPr>
        <w:tc>
          <w:tcPr>
            <w:tcW w:w="1740" w:type="dxa"/>
            <w:vAlign w:val="bottom"/>
          </w:tcPr>
          <w:p>
            <w:pPr>
              <w:spacing w:after="0"/>
              <w:rPr>
                <w:sz w:val="20"/>
                <w:szCs w:val="20"/>
                <w:color w:val="auto"/>
              </w:rPr>
            </w:pPr>
            <w:r>
              <w:rPr>
                <w:rFonts w:ascii="Arial" w:cs="Arial" w:eastAsia="Arial" w:hAnsi="Arial"/>
                <w:sz w:val="14"/>
                <w:szCs w:val="14"/>
                <w:color w:val="auto"/>
              </w:rPr>
              <w:t>U.S. Well Services, LLC</w:t>
            </w:r>
          </w:p>
        </w:tc>
        <w:tc>
          <w:tcPr>
            <w:tcW w:w="1720" w:type="dxa"/>
            <w:vAlign w:val="bottom"/>
          </w:tcPr>
          <w:p>
            <w:pPr>
              <w:ind w:left="100"/>
              <w:spacing w:after="0"/>
              <w:rPr>
                <w:sz w:val="20"/>
                <w:szCs w:val="20"/>
                <w:color w:val="auto"/>
              </w:rPr>
            </w:pPr>
            <w:r>
              <w:rPr>
                <w:rFonts w:ascii="Arial" w:cs="Arial" w:eastAsia="Arial" w:hAnsi="Arial"/>
                <w:sz w:val="14"/>
                <w:szCs w:val="14"/>
                <w:color w:val="auto"/>
              </w:rPr>
              <w:t>(2,076,298 Units)</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-2540</wp:posOffset>
            </wp:positionV>
            <wp:extent cx="5143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jc w:val="right"/>
              <w:spacing w:after="0"/>
              <w:rPr>
                <w:sz w:val="20"/>
                <w:szCs w:val="20"/>
                <w:color w:val="auto"/>
              </w:rPr>
            </w:pPr>
            <w:r>
              <w:rPr>
                <w:rFonts w:ascii="Arial" w:cs="Arial" w:eastAsia="Arial" w:hAnsi="Arial"/>
                <w:sz w:val="14"/>
                <w:szCs w:val="14"/>
                <w:color w:val="auto"/>
              </w:rPr>
              <w:t>193</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304"/>
        </w:trPr>
        <w:tc>
          <w:tcPr>
            <w:tcW w:w="860" w:type="dxa"/>
            <w:vAlign w:val="bottom"/>
          </w:tcPr>
          <w:p>
            <w:pPr>
              <w:jc w:val="right"/>
              <w:spacing w:after="0"/>
              <w:rPr>
                <w:sz w:val="20"/>
                <w:szCs w:val="20"/>
                <w:color w:val="auto"/>
              </w:rPr>
            </w:pPr>
            <w:r>
              <w:rPr>
                <w:rFonts w:ascii="Arial" w:cs="Arial" w:eastAsia="Arial" w:hAnsi="Arial"/>
                <w:sz w:val="14"/>
                <w:szCs w:val="14"/>
                <w:color w:val="auto"/>
              </w:rPr>
              <w:t>4,713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4,757</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53"/>
        </w:trPr>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(139)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139</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304"/>
        </w:trPr>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(139)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139</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53"/>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22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20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8,909</w:t>
            </w:r>
          </w:p>
        </w:tc>
      </w:tr>
      <w:tr>
        <w:trPr>
          <w:trHeight w:val="304"/>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8,909</w:t>
            </w:r>
          </w:p>
        </w:tc>
      </w:tr>
      <w:tr>
        <w:trPr>
          <w:trHeight w:val="45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453"/>
        </w:trPr>
        <w:tc>
          <w:tcPr>
            <w:tcW w:w="860" w:type="dxa"/>
            <w:vAlign w:val="bottom"/>
          </w:tcPr>
          <w:p>
            <w:pPr>
              <w:jc w:val="right"/>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80</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(93)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304"/>
        </w:trPr>
        <w:tc>
          <w:tcPr>
            <w:tcW w:w="860" w:type="dxa"/>
            <w:vAlign w:val="bottom"/>
          </w:tcPr>
          <w:p>
            <w:pPr>
              <w:jc w:val="right"/>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80</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(93)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751"/>
        </w:trPr>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(1,625)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13,375</w:t>
            </w:r>
          </w:p>
        </w:tc>
      </w:tr>
      <w:tr>
        <w:trPr>
          <w:trHeight w:val="444"/>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w:t>
            </w:r>
          </w:p>
        </w:tc>
      </w:tr>
      <w:tr>
        <w:trPr>
          <w:trHeight w:val="304"/>
        </w:trPr>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15,500</w:t>
            </w: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(1,625)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1,547</w:t>
            </w:r>
          </w:p>
        </w:tc>
        <w:tc>
          <w:tcPr>
            <w:tcW w:w="800" w:type="dxa"/>
            <w:vAlign w:val="bottom"/>
          </w:tcPr>
          <w:p>
            <w:pPr>
              <w:jc w:val="right"/>
              <w:spacing w:after="0"/>
              <w:rPr>
                <w:sz w:val="20"/>
                <w:szCs w:val="20"/>
                <w:color w:val="auto"/>
              </w:rPr>
            </w:pPr>
            <w:r>
              <w:rPr>
                <w:rFonts w:ascii="Arial" w:cs="Arial" w:eastAsia="Arial" w:hAnsi="Arial"/>
                <w:sz w:val="14"/>
                <w:szCs w:val="14"/>
                <w:color w:val="auto"/>
              </w:rPr>
              <w:t>15,422</w:t>
            </w:r>
          </w:p>
        </w:tc>
      </w:tr>
      <w:tr>
        <w:trPr>
          <w:trHeight w:val="751"/>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2,299</w:t>
            </w:r>
          </w:p>
        </w:tc>
        <w:tc>
          <w:tcPr>
            <w:tcW w:w="22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2,299</w:t>
            </w:r>
          </w:p>
        </w:tc>
      </w:tr>
      <w:tr>
        <w:trPr>
          <w:trHeight w:val="743"/>
        </w:trPr>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9,516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197</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9,616</w:t>
            </w:r>
          </w:p>
        </w:tc>
      </w:tr>
      <w:tr>
        <w:trPr>
          <w:trHeight w:val="446"/>
        </w:trPr>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15,004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(3,849)</w:t>
            </w:r>
          </w:p>
        </w:tc>
        <w:tc>
          <w:tcPr>
            <w:tcW w:w="800" w:type="dxa"/>
            <w:vAlign w:val="bottom"/>
          </w:tcPr>
          <w:p>
            <w:pPr>
              <w:jc w:val="right"/>
              <w:spacing w:after="0"/>
              <w:rPr>
                <w:sz w:val="20"/>
                <w:szCs w:val="20"/>
                <w:color w:val="auto"/>
              </w:rPr>
            </w:pPr>
            <w:r>
              <w:rPr>
                <w:rFonts w:ascii="Arial" w:cs="Arial" w:eastAsia="Arial" w:hAnsi="Arial"/>
                <w:sz w:val="14"/>
                <w:szCs w:val="14"/>
                <w:color w:val="auto"/>
              </w:rPr>
              <w:t>11,155</w:t>
            </w:r>
          </w:p>
        </w:tc>
      </w:tr>
      <w:tr>
        <w:trPr>
          <w:trHeight w:val="449"/>
        </w:trPr>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955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(183)</w:t>
            </w:r>
          </w:p>
        </w:tc>
        <w:tc>
          <w:tcPr>
            <w:tcW w:w="800" w:type="dxa"/>
            <w:vAlign w:val="bottom"/>
          </w:tcPr>
          <w:p>
            <w:pPr>
              <w:jc w:val="right"/>
              <w:spacing w:after="0"/>
              <w:rPr>
                <w:sz w:val="20"/>
                <w:szCs w:val="20"/>
                <w:color w:val="auto"/>
              </w:rPr>
            </w:pPr>
            <w:r>
              <w:rPr>
                <w:rFonts w:ascii="Arial" w:cs="Arial" w:eastAsia="Arial" w:hAnsi="Arial"/>
                <w:sz w:val="14"/>
                <w:szCs w:val="14"/>
                <w:color w:val="auto"/>
              </w:rPr>
              <w:t>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-5216525</wp:posOffset>
            </wp:positionV>
            <wp:extent cx="72466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-4933315</wp:posOffset>
            </wp:positionV>
            <wp:extent cx="7246620"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-4633595</wp:posOffset>
            </wp:positionV>
            <wp:extent cx="724662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-4427220</wp:posOffset>
            </wp:positionV>
            <wp:extent cx="7246620"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-4127500</wp:posOffset>
            </wp:positionV>
            <wp:extent cx="724662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-3921760</wp:posOffset>
            </wp:positionV>
            <wp:extent cx="7246620"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-3621405</wp:posOffset>
            </wp:positionV>
            <wp:extent cx="724662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-3415665</wp:posOffset>
            </wp:positionV>
            <wp:extent cx="724662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-3115310</wp:posOffset>
            </wp:positionV>
            <wp:extent cx="724662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-2909570</wp:posOffset>
            </wp:positionV>
            <wp:extent cx="7246620" cy="1974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-2609215</wp:posOffset>
            </wp:positionV>
            <wp:extent cx="724662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-2403475</wp:posOffset>
            </wp:positionV>
            <wp:extent cx="7246620" cy="377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-1931670</wp:posOffset>
            </wp:positionV>
            <wp:extent cx="7246620"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-1631950</wp:posOffset>
            </wp:positionV>
            <wp:extent cx="724662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-1426210</wp:posOffset>
            </wp:positionV>
            <wp:extent cx="7246620"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-954405</wp:posOffset>
            </wp:positionV>
            <wp:extent cx="7246620" cy="377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-482600</wp:posOffset>
            </wp:positionV>
            <wp:extent cx="724662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-199390</wp:posOffset>
            </wp:positionV>
            <wp:extent cx="724662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200" w:space="260"/>
            <w:col w:w="5960"/>
          </w:cols>
          <w:pgMar w:left="240" w:top="120" w:right="239" w:bottom="1440" w:gutter="0" w:footer="0" w:header="0"/>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27,774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40" w:type="dxa"/>
            <w:vAlign w:val="bottom"/>
            <w:tcBorders>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3"/>
              </w:rPr>
              <w:t>Total Affiliate investments</w:t>
            </w: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4,076</w:t>
            </w:r>
          </w:p>
        </w:tc>
        <w:tc>
          <w:tcPr>
            <w:tcW w:w="36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103,957</w:t>
            </w:r>
          </w:p>
        </w:tc>
        <w:tc>
          <w:tcPr>
            <w:tcW w:w="34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31,260</w:t>
            </w:r>
          </w:p>
        </w:tc>
        <w:tc>
          <w:tcPr>
            <w:tcW w:w="32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9"/>
                <w:szCs w:val="9"/>
                <w:color w:val="auto"/>
              </w:rPr>
              <w:t>(11,413</w:t>
            </w:r>
            <w:r>
              <w:rPr>
                <w:rFonts w:ascii="Arial" w:cs="Arial" w:eastAsia="Arial" w:hAnsi="Arial"/>
                <w:sz w:val="14"/>
                <w:szCs w:val="14"/>
                <w:color w:val="auto"/>
                <w:vertAlign w:val="superscript"/>
              </w:rPr>
              <w:t>)</w:t>
            </w:r>
          </w:p>
        </w:tc>
        <w:tc>
          <w:tcPr>
            <w:tcW w:w="42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863</w:t>
            </w:r>
          </w:p>
        </w:tc>
        <w:tc>
          <w:tcPr>
            <w:tcW w:w="44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9"/>
                <w:szCs w:val="9"/>
                <w:color w:val="auto"/>
              </w:rPr>
              <w:t>(6,003</w:t>
            </w:r>
            <w:r>
              <w:rPr>
                <w:rFonts w:ascii="Arial" w:cs="Arial" w:eastAsia="Arial" w:hAnsi="Arial"/>
                <w:sz w:val="14"/>
                <w:szCs w:val="14"/>
                <w:color w:val="auto"/>
                <w:vertAlign w:val="superscript"/>
              </w:rPr>
              <w:t>)</w:t>
            </w:r>
          </w:p>
        </w:tc>
        <w:tc>
          <w:tcPr>
            <w:tcW w:w="28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118,664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Control investments</w:t>
            </w:r>
          </w:p>
        </w:tc>
        <w:tc>
          <w:tcPr>
            <w:tcW w:w="1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5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CableOrganizer Acquisition,</w:t>
            </w:r>
          </w:p>
        </w:tc>
        <w:tc>
          <w:tcPr>
            <w:tcW w:w="1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(10.0%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6/30/19)</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(12.0%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CableOrganizer Acquisition,</w:t>
            </w:r>
          </w:p>
        </w:tc>
        <w:tc>
          <w:tcPr>
            <w:tcW w:w="1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4.0% PIK, Due</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6/30/19)</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12,373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(2,354</w:t>
            </w: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(1,646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38" w:name="page39"/>
    <w:bookmarkEnd w:id="3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Fees 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Dividends</w:t>
            </w:r>
          </w:p>
        </w:tc>
        <w:tc>
          <w:tcPr>
            <w:tcW w:w="14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6"/>
                <w:szCs w:val="16"/>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Type of Investment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Credited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Reductions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40" w:type="dxa"/>
            <w:vAlign w:val="bottom"/>
            <w:gridSpan w:val="3"/>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7"/>
              </w:rPr>
              <w:t xml:space="preserve">Income </w:t>
            </w:r>
            <w:r>
              <w:rPr>
                <w:rFonts w:ascii="Arial" w:cs="Arial" w:eastAsia="Arial" w:hAnsi="Arial"/>
                <w:sz w:val="20"/>
                <w:szCs w:val="20"/>
                <w:b w:val="1"/>
                <w:bCs w:val="1"/>
                <w:color w:val="auto"/>
                <w:w w:val="97"/>
                <w:vertAlign w:val="superscript"/>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5"/>
                <w:szCs w:val="15"/>
                <w:color w:val="auto"/>
              </w:rPr>
            </w:pPr>
          </w:p>
        </w:tc>
        <w:tc>
          <w:tcPr>
            <w:tcW w:w="8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68"/>
              <w:spacing w:after="0"/>
              <w:rPr>
                <w:sz w:val="20"/>
                <w:szCs w:val="20"/>
                <w:color w:val="auto"/>
              </w:rPr>
            </w:pPr>
            <w:r>
              <w:rPr>
                <w:rFonts w:ascii="Arial" w:cs="Arial" w:eastAsia="Arial" w:hAnsi="Arial"/>
                <w:sz w:val="12"/>
                <w:szCs w:val="12"/>
                <w:b w:val="1"/>
                <w:bCs w:val="1"/>
                <w:color w:val="auto"/>
                <w:w w:val="95"/>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Gain/(Loss)</w:t>
            </w:r>
          </w:p>
        </w:tc>
        <w:tc>
          <w:tcPr>
            <w:tcW w:w="8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Gain/(Loss)</w:t>
            </w:r>
          </w:p>
        </w:tc>
        <w:tc>
          <w:tcPr>
            <w:tcW w:w="8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Common Stock (21.3%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fully diluted)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(10.0% fully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diluted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(4,000,000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12,551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4,398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(15.3% Cash (3 month</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LIBOR + 13.0%, 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Floor), Due 4/29/20)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(33.3% ownership)</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42,949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42,949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2/15/20)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2/15/20)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13,674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(27.5% fully 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9/15/18)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(14.0% Cash, 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PIK, Due 9/15/18)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Units (47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(15.0%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10/30/20)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Class A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Navis Holdings, Inc. </w:t>
            </w:r>
            <w:r>
              <w:rPr>
                <w:rFonts w:ascii="Arial" w:cs="Arial" w:eastAsia="Arial" w:hAnsi="Arial"/>
                <w:sz w:val="23"/>
                <w:szCs w:val="23"/>
                <w:color w:val="auto"/>
                <w:vertAlign w:val="superscript"/>
              </w:rPr>
              <w:t>(5)</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(1,000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vMerge w:val="continue"/>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7"/>
              </w:rPr>
              <w:t>10.0% Cash Dividend)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(300,000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First Lien Debt (18.0%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12/19/18)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15,525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12/19/18)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9"/>
              </w:rPr>
              <w:t>Stock (32,782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9"/>
              </w:rPr>
              <w:t>Stock (23,648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(33,058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First Lien Debt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4718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Cash (1 month LIBOR</w:t>
      </w:r>
    </w:p>
    <w:p>
      <w:pPr>
        <w:ind w:left="1960" w:hanging="115"/>
        <w:spacing w:after="0" w:line="221" w:lineRule="auto"/>
        <w:tabs>
          <w:tab w:leader="none" w:pos="1960" w:val="left"/>
        </w:tabs>
        <w:numPr>
          <w:ilvl w:val="0"/>
          <w:numId w:val="4"/>
        </w:numPr>
        <w:rPr>
          <w:rFonts w:ascii="Arial" w:cs="Arial" w:eastAsia="Arial" w:hAnsi="Arial"/>
          <w:sz w:val="14"/>
          <w:szCs w:val="14"/>
          <w:color w:val="auto"/>
        </w:rPr>
      </w:pPr>
      <w:r>
        <w:rPr>
          <w:rFonts w:ascii="Arial" w:cs="Arial" w:eastAsia="Arial" w:hAnsi="Arial"/>
          <w:sz w:val="14"/>
          <w:szCs w:val="14"/>
          <w:color w:val="auto"/>
        </w:rPr>
        <w:t>7.0%, 1.0% floor,</w:t>
      </w:r>
    </w:p>
    <w:p>
      <w:pPr>
        <w:ind w:left="1840"/>
        <w:spacing w:after="0" w:line="221" w:lineRule="auto"/>
        <w:rPr>
          <w:rFonts w:ascii="Arial" w:cs="Arial" w:eastAsia="Arial" w:hAnsi="Arial"/>
          <w:sz w:val="14"/>
          <w:szCs w:val="14"/>
          <w:color w:val="auto"/>
        </w:rPr>
      </w:pPr>
      <w:r>
        <w:rPr>
          <w:rFonts w:ascii="Arial" w:cs="Arial" w:eastAsia="Arial" w:hAnsi="Arial"/>
          <w:sz w:val="14"/>
          <w:szCs w:val="14"/>
          <w:color w:val="auto"/>
        </w:rPr>
        <w:t>2.0% ceiling), Due</w:t>
      </w:r>
    </w:p>
    <w:p>
      <w:pPr>
        <w:spacing w:after="0"/>
        <w:tabs>
          <w:tab w:leader="none" w:pos="1820" w:val="left"/>
          <w:tab w:leader="none" w:pos="3820" w:val="left"/>
          <w:tab w:leader="none" w:pos="5040" w:val="left"/>
          <w:tab w:leader="none" w:pos="5980" w:val="left"/>
          <w:tab w:leader="none" w:pos="6980" w:val="left"/>
          <w:tab w:leader="none" w:pos="7920" w:val="left"/>
          <w:tab w:leader="none" w:pos="9240" w:val="left"/>
          <w:tab w:leader="none" w:pos="10240" w:val="left"/>
          <w:tab w:leader="none" w:pos="10960" w:val="left"/>
        </w:tabs>
        <w:rPr>
          <w:sz w:val="20"/>
          <w:szCs w:val="20"/>
          <w:color w:val="auto"/>
        </w:rPr>
      </w:pPr>
      <w:r>
        <w:rPr>
          <w:rFonts w:ascii="Arial" w:cs="Arial" w:eastAsia="Arial" w:hAnsi="Arial"/>
          <w:sz w:val="14"/>
          <w:szCs w:val="14"/>
          <w:color w:val="auto"/>
        </w:rPr>
        <w:t>Portrait Studio, LLC</w:t>
      </w:r>
      <w:r>
        <w:rPr>
          <w:sz w:val="20"/>
          <w:szCs w:val="20"/>
          <w:color w:val="auto"/>
        </w:rPr>
        <w:tab/>
      </w:r>
      <w:r>
        <w:rPr>
          <w:rFonts w:ascii="Arial" w:cs="Arial" w:eastAsia="Arial" w:hAnsi="Arial"/>
          <w:sz w:val="14"/>
          <w:szCs w:val="14"/>
          <w:color w:val="auto"/>
        </w:rPr>
        <w:t>12/31/22)</w:t>
      </w:r>
      <w:r>
        <w:rPr>
          <w:sz w:val="20"/>
          <w:szCs w:val="20"/>
          <w:color w:val="auto"/>
        </w:rPr>
        <w:tab/>
      </w:r>
      <w:r>
        <w:rPr>
          <w:rFonts w:ascii="Arial" w:cs="Arial" w:eastAsia="Arial" w:hAnsi="Arial"/>
          <w:sz w:val="14"/>
          <w:szCs w:val="14"/>
          <w:color w:val="auto"/>
        </w:rPr>
        <w:t>1,500</w:t>
      </w:r>
      <w:r>
        <w:rPr>
          <w:sz w:val="20"/>
          <w:szCs w:val="20"/>
          <w:color w:val="auto"/>
        </w:rPr>
        <w:tab/>
      </w: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1,860</w:t>
      </w:r>
      <w:r>
        <w:rPr>
          <w:sz w:val="20"/>
          <w:szCs w:val="20"/>
          <w:color w:val="auto"/>
        </w:rPr>
        <w:tab/>
      </w:r>
      <w:r>
        <w:rPr>
          <w:rFonts w:ascii="Arial" w:cs="Arial" w:eastAsia="Arial" w:hAnsi="Arial"/>
          <w:sz w:val="14"/>
          <w:szCs w:val="14"/>
          <w:color w:val="auto"/>
        </w:rPr>
        <w:t>1,080</w:t>
      </w:r>
      <w:r>
        <w:rPr>
          <w:sz w:val="20"/>
          <w:szCs w:val="20"/>
          <w:color w:val="auto"/>
        </w:rPr>
        <w:tab/>
      </w:r>
      <w:r>
        <w:rPr>
          <w:rFonts w:ascii="Arial" w:cs="Arial" w:eastAsia="Arial" w:hAnsi="Arial"/>
          <w:sz w:val="14"/>
          <w:szCs w:val="14"/>
          <w:color w:val="auto"/>
        </w:rPr>
        <w:t>(1,440)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1,500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First Lien Debt (9.0%</w:t>
            </w: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(1 month LIBOR</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+ 7.0%, 1.0% floor,</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5.0% ceiling), Due</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12/31/22)</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4,500</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Preferred Units</w:t>
            </w: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(4,350,000 Units)</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Membership Units</w:t>
            </w: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(150,000 Units)</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8,810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8,092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w w:val="94"/>
              </w:rPr>
              <w:t>Total Control investments</w:t>
            </w:r>
          </w:p>
        </w:tc>
        <w:tc>
          <w:tcPr>
            <w:tcW w:w="18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3,737</w:t>
            </w: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107,608</w:t>
            </w:r>
          </w:p>
        </w:tc>
        <w:tc>
          <w:tcPr>
            <w:tcW w:w="3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19,258</w:t>
            </w:r>
          </w:p>
        </w:tc>
        <w:tc>
          <w:tcPr>
            <w:tcW w:w="3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(14,814)</w:t>
            </w: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(1,646)</w:t>
            </w:r>
          </w:p>
        </w:tc>
        <w:tc>
          <w:tcPr>
            <w:tcW w:w="3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378</w:t>
            </w:r>
          </w:p>
        </w:tc>
        <w:tc>
          <w:tcPr>
            <w:tcW w:w="2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110,784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780" w:right="239" w:bottom="0" w:gutter="0" w:footer="0" w:header="0"/>
        </w:sectPr>
      </w:pPr>
    </w:p>
    <w:bookmarkStart w:id="39" w:name="page40"/>
    <w:bookmarkEnd w:id="39"/>
    <w:p>
      <w:pPr>
        <w:ind w:left="-8" w:firstLine="8"/>
        <w:spacing w:after="0" w:line="258" w:lineRule="auto"/>
        <w:tabs>
          <w:tab w:leader="none" w:pos="24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Represents the total amount of interest, original issue discount, fees or dividends credited to income for the portion of the year an investment was included in Control or Affiliate categories, respectively.</w:t>
      </w:r>
    </w:p>
    <w:p>
      <w:pPr>
        <w:spacing w:after="0" w:line="1" w:lineRule="exact"/>
        <w:rPr>
          <w:rFonts w:ascii="Arial" w:cs="Arial" w:eastAsia="Arial" w:hAnsi="Arial"/>
          <w:sz w:val="18"/>
          <w:szCs w:val="18"/>
          <w:color w:val="auto"/>
        </w:rPr>
      </w:pPr>
    </w:p>
    <w:p>
      <w:pPr>
        <w:ind w:left="-8" w:firstLine="8"/>
        <w:spacing w:after="0" w:line="250"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OID. Gross additions also include transfers into an affiliate or control classification.</w:t>
      </w: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and sales.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409" w:right="239" w:bottom="1440" w:gutter="0" w:footer="0" w:header="0"/>
        </w:sectPr>
      </w:pPr>
    </w:p>
    <w:bookmarkStart w:id="40" w:name="page41"/>
    <w:bookmarkEnd w:id="40"/>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2017, the Company had investments in portfolio companies designated as affiliates under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Fees 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6"/>
                <w:szCs w:val="16"/>
                <w:color w:val="auto"/>
              </w:rPr>
            </w:pP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Type of Investment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Credited to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Reductions</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4"/>
              </w:rPr>
              <w:t xml:space="preserve">Income </w:t>
            </w:r>
            <w:r>
              <w:rPr>
                <w:rFonts w:ascii="Arial" w:cs="Arial" w:eastAsia="Arial" w:hAnsi="Arial"/>
                <w:sz w:val="20"/>
                <w:szCs w:val="20"/>
                <w:b w:val="1"/>
                <w:bCs w:val="1"/>
                <w:color w:val="auto"/>
                <w:w w:val="94"/>
                <w:vertAlign w:val="superscript"/>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3"/>
          </w:tcPr>
          <w:p>
            <w:pPr>
              <w:jc w:val="right"/>
              <w:ind w:right="220"/>
              <w:spacing w:after="0" w:line="176" w:lineRule="exact"/>
              <w:rPr>
                <w:sz w:val="20"/>
                <w:szCs w:val="20"/>
                <w:color w:val="auto"/>
              </w:rPr>
            </w:pPr>
            <w:r>
              <w:rPr>
                <w:rFonts w:ascii="Arial" w:cs="Arial" w:eastAsia="Arial" w:hAnsi="Arial"/>
                <w:sz w:val="13"/>
                <w:szCs w:val="13"/>
                <w:b w:val="1"/>
                <w:bCs w:val="1"/>
                <w:color w:val="auto"/>
                <w:w w:val="95"/>
              </w:rPr>
              <w:t xml:space="preserve">Additions </w:t>
            </w:r>
            <w:r>
              <w:rPr>
                <w:rFonts w:ascii="Arial" w:cs="Arial" w:eastAsia="Arial" w:hAnsi="Arial"/>
                <w:sz w:val="20"/>
                <w:szCs w:val="20"/>
                <w:b w:val="1"/>
                <w:bCs w:val="1"/>
                <w:color w:val="auto"/>
                <w:w w:val="95"/>
                <w:vertAlign w:val="superscript"/>
              </w:rPr>
              <w:t>(2)</w:t>
            </w:r>
          </w:p>
        </w:tc>
        <w:tc>
          <w:tcPr>
            <w:tcW w:w="140" w:type="dxa"/>
            <w:vAlign w:val="bottom"/>
          </w:tcPr>
          <w:p>
            <w:pPr>
              <w:spacing w:after="0"/>
              <w:rPr>
                <w:sz w:val="15"/>
                <w:szCs w:val="15"/>
                <w:color w:val="auto"/>
              </w:rPr>
            </w:pPr>
          </w:p>
        </w:tc>
        <w:tc>
          <w:tcPr>
            <w:tcW w:w="640" w:type="dxa"/>
            <w:vAlign w:val="bottom"/>
          </w:tcPr>
          <w:p>
            <w:pPr>
              <w:jc w:val="center"/>
              <w:ind w:right="68"/>
              <w:spacing w:after="0"/>
              <w:rPr>
                <w:sz w:val="20"/>
                <w:szCs w:val="20"/>
                <w:color w:val="auto"/>
              </w:rPr>
            </w:pPr>
            <w:r>
              <w:rPr>
                <w:rFonts w:ascii="Arial" w:cs="Arial" w:eastAsia="Arial" w:hAnsi="Arial"/>
                <w:sz w:val="12"/>
                <w:szCs w:val="12"/>
                <w:b w:val="1"/>
                <w:bCs w:val="1"/>
                <w:color w:val="auto"/>
                <w:w w:val="95"/>
              </w:rPr>
              <w:t>(3)</w:t>
            </w:r>
          </w:p>
        </w:tc>
        <w:tc>
          <w:tcPr>
            <w:tcW w:w="22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Gain/(Loss)</w:t>
            </w:r>
          </w:p>
        </w:tc>
        <w:tc>
          <w:tcPr>
            <w:tcW w:w="10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Gain/(Loss)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Affiliate investments</w:t>
            </w: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Second Lien Debt (8%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4% PIK,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8/24/19)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(2.19%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Warrants (37.78% fully</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15,862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8/9/19)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8/9/19)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(1,253,198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1,248</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10,076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 Cash,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10/20/19)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Preferred Membership</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Units (2.78% fully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xml:space="preserve">City Gear, LLC </w:t>
            </w:r>
            <w:r>
              <w:rPr>
                <w:rFonts w:ascii="Arial" w:cs="Arial" w:eastAsia="Arial" w:hAnsi="Arial"/>
                <w:sz w:val="23"/>
                <w:szCs w:val="23"/>
                <w:color w:val="auto"/>
                <w:vertAlign w:val="superscript"/>
              </w:rPr>
              <w:t>(5)</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9% Cash</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Dividend)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Warrants (11.38% fully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9,736</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19,236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A-1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w w:val="99"/>
              </w:rPr>
              <w:t xml:space="preserve">GA Communications, Inc. </w:t>
            </w:r>
            <w:r>
              <w:rPr>
                <w:rFonts w:ascii="Arial" w:cs="Arial" w:eastAsia="Arial" w:hAnsi="Arial"/>
                <w:sz w:val="23"/>
                <w:szCs w:val="23"/>
                <w:color w:val="auto"/>
                <w:w w:val="99"/>
                <w:vertAlign w:val="superscript"/>
              </w:rPr>
              <w:t>(5)</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(1,998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8% PIK Dividend)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Common</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3"/>
              </w:rPr>
              <w:t>Stock (200,000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1,046</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Subordinated Debt (6%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7% PIK, Due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6/16/19)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6,182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Common Stock (8,182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0"/>
              </w:rPr>
              <w:t>Warrants (6,369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6,182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(1,500,000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8,497</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MJC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w w:val="96"/>
              </w:rPr>
              <w:t>Units (2,000,000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5,011</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5,011</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1/31/19)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Subordinated Debt (6%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Cash, Due 1/31/19)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Preferred Units (1,000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xml:space="preserve">MMI Holdings, LLC </w:t>
            </w:r>
            <w:r>
              <w:rPr>
                <w:rFonts w:ascii="Arial" w:cs="Arial" w:eastAsia="Arial" w:hAnsi="Arial"/>
                <w:sz w:val="23"/>
                <w:szCs w:val="23"/>
                <w:color w:val="auto"/>
                <w:vertAlign w:val="superscript"/>
              </w:rPr>
              <w:t>(5)</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units, 6% PIK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Dividend)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Common Membership</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Units (45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4,661</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(2,000,000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00"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Sierra Hamilton Holdings</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(15,068,000 shares)</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(13% Cash, Due</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Source Capital Penray, LLC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4/8/19)</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(1,425)</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Source Capital Penray, LLC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(11.3% ownership)</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(750)</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2,230</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(2,175)</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STX Healthcare</w:t>
            </w: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Services, Inc.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(1,200,000 shares)</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(7.35%</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(1 month LIBOR</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+ 6%, 1% floor), Due</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2/2/22)</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2,299</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(12.35% PIK (1 month</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+ 11%, 1%</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Due 2/2/22)</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9,516</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Units</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(5,680,688 Units)</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6,260</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B Units</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(2,076,298 Units)</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18,516</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27,774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V12 Holdings, Inc.</w:t>
            </w:r>
          </w:p>
        </w:tc>
        <w:tc>
          <w:tcPr>
            <w:tcW w:w="1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Debt</w:t>
            </w:r>
          </w:p>
        </w:tc>
        <w:tc>
          <w:tcPr>
            <w:tcW w:w="9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1,015</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4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3"/>
              </w:rPr>
              <w:t>Total Affiliate investments</w:t>
            </w:r>
          </w:p>
        </w:tc>
        <w:tc>
          <w:tcPr>
            <w:tcW w:w="1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5,150</w:t>
            </w:r>
          </w:p>
        </w:tc>
        <w:tc>
          <w:tcPr>
            <w:tcW w:w="380" w:type="dxa"/>
            <w:vAlign w:val="bottom"/>
            <w:tcBorders>
              <w:bottom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61,464</w:t>
            </w:r>
          </w:p>
        </w:tc>
        <w:tc>
          <w:tcPr>
            <w:tcW w:w="240" w:type="dxa"/>
            <w:vAlign w:val="bottom"/>
            <w:tcBorders>
              <w:bottom w:val="single" w:sz="8" w:color="CCEEFF"/>
            </w:tcBorders>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41,862</w:t>
            </w:r>
          </w:p>
        </w:tc>
        <w:tc>
          <w:tcPr>
            <w:tcW w:w="240" w:type="dxa"/>
            <w:vAlign w:val="bottom"/>
            <w:tcBorders>
              <w:bottom w:val="single" w:sz="8" w:color="CCEEFF"/>
            </w:tcBorders>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3"/>
            <w:shd w:val="clear" w:color="auto" w:fill="CCEEFF"/>
          </w:tcPr>
          <w:p>
            <w:pPr>
              <w:jc w:val="right"/>
              <w:ind w:right="180"/>
              <w:spacing w:after="0" w:line="135" w:lineRule="exact"/>
              <w:rPr>
                <w:sz w:val="20"/>
                <w:szCs w:val="20"/>
                <w:color w:val="auto"/>
              </w:rPr>
            </w:pPr>
            <w:r>
              <w:rPr>
                <w:rFonts w:ascii="Arial" w:cs="Arial" w:eastAsia="Arial" w:hAnsi="Arial"/>
                <w:sz w:val="10"/>
                <w:szCs w:val="10"/>
                <w:color w:val="auto"/>
              </w:rPr>
              <w:t>(8,731</w:t>
            </w:r>
            <w:r>
              <w:rPr>
                <w:rFonts w:ascii="Arial" w:cs="Arial" w:eastAsia="Arial" w:hAnsi="Arial"/>
                <w:sz w:val="15"/>
                <w:szCs w:val="15"/>
                <w:color w:val="auto"/>
                <w:vertAlign w:val="superscript"/>
              </w:rPr>
              <w:t>)</w:t>
            </w:r>
            <w:r>
              <w:rPr>
                <w:rFonts w:ascii="Arial" w:cs="Arial" w:eastAsia="Arial" w:hAnsi="Arial"/>
                <w:sz w:val="10"/>
                <w:szCs w:val="10"/>
                <w:color w:val="auto"/>
              </w:rPr>
              <w:t xml:space="preserve">   $</w:t>
            </w:r>
          </w:p>
        </w:tc>
        <w:tc>
          <w:tcPr>
            <w:tcW w:w="64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4,926</w:t>
            </w:r>
          </w:p>
        </w:tc>
        <w:tc>
          <w:tcPr>
            <w:tcW w:w="360" w:type="dxa"/>
            <w:vAlign w:val="bottom"/>
            <w:tcBorders>
              <w:bottom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4"/>
                <w:szCs w:val="14"/>
                <w:color w:val="auto"/>
              </w:rPr>
              <w:t>4,436</w:t>
            </w:r>
          </w:p>
        </w:tc>
        <w:tc>
          <w:tcPr>
            <w:tcW w:w="300" w:type="dxa"/>
            <w:vAlign w:val="bottom"/>
            <w:tcBorders>
              <w:bottom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103,957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42" w:name="page43"/>
    <w:bookmarkEnd w:id="4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Interest,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Fees or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Dividends</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6"/>
                <w:szCs w:val="16"/>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Realized</w:t>
            </w: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6"/>
                <w:szCs w:val="16"/>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Type of Investment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Credited to</w:t>
            </w:r>
          </w:p>
        </w:tc>
        <w:tc>
          <w:tcPr>
            <w:tcW w:w="8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94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4"/>
              </w:rPr>
              <w:t xml:space="preserve">Income </w:t>
            </w:r>
            <w:r>
              <w:rPr>
                <w:rFonts w:ascii="Arial" w:cs="Arial" w:eastAsia="Arial" w:hAnsi="Arial"/>
                <w:sz w:val="20"/>
                <w:szCs w:val="20"/>
                <w:b w:val="1"/>
                <w:bCs w:val="1"/>
                <w:color w:val="auto"/>
                <w:w w:val="94"/>
                <w:vertAlign w:val="superscript"/>
              </w:rPr>
              <w:t>(1)</w:t>
            </w:r>
          </w:p>
        </w:tc>
        <w:tc>
          <w:tcPr>
            <w:tcW w:w="8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11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20"/>
                <w:szCs w:val="20"/>
                <w:b w:val="1"/>
                <w:bCs w:val="1"/>
                <w:color w:val="auto"/>
                <w:vertAlign w:val="superscript"/>
              </w:rPr>
              <w:t>(3)</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Gain/(Loss)</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Gain/(Loss)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2017 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Control investments</w:t>
            </w: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CableOrganizer</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4% PIK,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5/24/18)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9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(21.3% fully diluted)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CableOrganizer</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(10% fully</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Capitala Senior Liquid</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Common Stock (80%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Loan Fund I,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Ownership)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(14.49% Cash (3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month LIBOR + 13%,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0.5% Floor),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4/29/20)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3,138</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(757)</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(33.3% ownership)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13,054</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3,138</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12,297</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42,949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Cash, Due 2/15/20)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Kelle's Transport Service,</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(1.46% Cash,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2/15/20)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13,674</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13,669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(4,109)</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(27.5% fully diluted)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15,669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(4,109)</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Cash,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9/15/18)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Cash, 4% PIK,</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Due 9/15/18)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4,154</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Units (47 units)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(894)</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(894)</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Cash, Due 10/30/20)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Class A Preferred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xml:space="preserve">Navis Holdings, Inc. </w:t>
            </w:r>
            <w:r>
              <w:rPr>
                <w:rFonts w:ascii="Arial" w:cs="Arial" w:eastAsia="Arial" w:hAnsi="Arial"/>
                <w:sz w:val="23"/>
                <w:szCs w:val="23"/>
                <w:color w:val="auto"/>
                <w:vertAlign w:val="superscript"/>
              </w:rPr>
              <w:t>(5)</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(1,000 shares,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vMerge w:val="continue"/>
            <w:shd w:val="clear" w:color="auto" w:fill="CCEEFF"/>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10% Cash Dividend)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(300,000 shares)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(629)</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1,339</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(629)</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 Cash,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12/19/18)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14,072</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w w:val="94"/>
              </w:rPr>
              <w:t>Stock (32,782 shares)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 Preferred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w w:val="94"/>
              </w:rPr>
              <w:t>Stock (23,648 shares)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(33,058 shares)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(8.56% Cash (1 month</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+ 7%, 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ceiling),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12/31/22)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(8.56% Cash (1 month</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+ 7%, 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ceiling),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12/31/22)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Units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(4,350,000 Units)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bl>
    <w:p>
      <w:pPr>
        <w:sectPr>
          <w:pgSz w:w="11900" w:h="16897" w:orient="portrait"/>
          <w:cols w:equalWidth="0" w:num="1">
            <w:col w:w="11420"/>
          </w:cols>
          <w:pgMar w:left="240" w:top="780"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Membership Units</w:t>
            </w: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(150,000 Units)</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8,810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w:t>
            </w: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2% PIK, due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1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2/24/19)</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(19,403)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4,555</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1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(18,543 shares)</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2,990</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1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Warrants (820 shares)</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(22,433)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7,545</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0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92"/>
              </w:rPr>
              <w:t>Total Control investments</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7,251</w:t>
            </w: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86,650</w:t>
            </w:r>
          </w:p>
        </w:tc>
        <w:tc>
          <w:tcPr>
            <w:tcW w:w="34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29,201</w:t>
            </w:r>
          </w:p>
        </w:tc>
        <w:tc>
          <w:tcPr>
            <w:tcW w:w="560" w:type="dxa"/>
            <w:vAlign w:val="bottom"/>
            <w:tcBorders>
              <w:bottom w:val="single" w:sz="8" w:color="CCEEFF"/>
            </w:tcBorders>
            <w:gridSpan w:val="2"/>
            <w:shd w:val="clear" w:color="auto" w:fill="CCEEFF"/>
          </w:tcPr>
          <w:p>
            <w:pPr>
              <w:jc w:val="right"/>
              <w:ind w:right="380"/>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3"/>
            <w:shd w:val="clear" w:color="auto" w:fill="CCEEFF"/>
          </w:tcPr>
          <w:p>
            <w:pPr>
              <w:ind w:left="360"/>
              <w:spacing w:after="0" w:line="129" w:lineRule="exact"/>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9"/>
                <w:szCs w:val="9"/>
                <w:color w:val="auto"/>
              </w:rPr>
              <w:t>(22,433</w:t>
            </w:r>
            <w:r>
              <w:rPr>
                <w:rFonts w:ascii="Arial" w:cs="Arial" w:eastAsia="Arial" w:hAnsi="Arial"/>
                <w:sz w:val="14"/>
                <w:szCs w:val="14"/>
                <w:color w:val="auto"/>
                <w:vertAlign w:val="superscript"/>
              </w:rPr>
              <w:t>)</w:t>
            </w:r>
            <w:r>
              <w:rPr>
                <w:rFonts w:ascii="Arial" w:cs="Arial" w:eastAsia="Arial" w:hAnsi="Arial"/>
                <w:sz w:val="9"/>
                <w:szCs w:val="9"/>
                <w:color w:val="auto"/>
              </w:rPr>
              <w:t xml:space="preserve">   $</w:t>
            </w:r>
          </w:p>
        </w:tc>
        <w:tc>
          <w:tcPr>
            <w:tcW w:w="780" w:type="dxa"/>
            <w:vAlign w:val="bottom"/>
            <w:tcBorders>
              <w:bottom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14,190</w:t>
            </w:r>
          </w:p>
        </w:tc>
        <w:tc>
          <w:tcPr>
            <w:tcW w:w="3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107,608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1" w:lineRule="exact"/>
        <w:rPr>
          <w:rFonts w:ascii="Arial" w:cs="Arial" w:eastAsia="Arial" w:hAnsi="Arial"/>
          <w:sz w:val="18"/>
          <w:szCs w:val="18"/>
          <w:color w:val="auto"/>
        </w:rPr>
      </w:pPr>
    </w:p>
    <w:p>
      <w:pPr>
        <w:ind w:firstLine="8"/>
        <w:spacing w:after="0" w:line="250" w:lineRule="auto"/>
        <w:tabs>
          <w:tab w:leader="none" w:pos="281"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and accrued PIK interest. Gross additions also include transfers into an affiliate or control classification.</w:t>
      </w: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and sales.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July 26, 2018.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800" w:hanging="144"/>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right="20" w:firstLine="656"/>
        <w:spacing w:after="0" w:line="277" w:lineRule="auto"/>
        <w:tabs>
          <w:tab w:leader="none" w:pos="8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5" w:name="page46"/>
    <w:bookmarkEnd w:id="45"/>
    <w:p>
      <w:pPr>
        <w:ind w:left="800" w:hanging="14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279" w:lineRule="auto"/>
        <w:tabs>
          <w:tab w:leader="none" w:pos="823" w:val="left"/>
        </w:tabs>
        <w:numPr>
          <w:ilvl w:val="0"/>
          <w:numId w:val="8"/>
        </w:numPr>
        <w:rPr>
          <w:rFonts w:ascii="Arial" w:cs="Arial" w:eastAsia="Arial" w:hAnsi="Arial"/>
          <w:sz w:val="17"/>
          <w:szCs w:val="17"/>
          <w:color w:val="auto"/>
        </w:rPr>
      </w:pPr>
      <w:r>
        <w:rPr>
          <w:rFonts w:ascii="Arial" w:cs="Arial" w:eastAsia="Arial" w:hAnsi="Arial"/>
          <w:sz w:val="17"/>
          <w:szCs w:val="17"/>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71" w:lineRule="exact"/>
        <w:rPr>
          <w:rFonts w:ascii="Arial" w:cs="Arial" w:eastAsia="Arial" w:hAnsi="Arial"/>
          <w:sz w:val="17"/>
          <w:szCs w:val="17"/>
          <w:color w:val="auto"/>
        </w:rPr>
      </w:pPr>
    </w:p>
    <w:p>
      <w:pPr>
        <w:jc w:val="both"/>
        <w:ind w:firstLine="656"/>
        <w:spacing w:after="0" w:line="264" w:lineRule="auto"/>
        <w:tabs>
          <w:tab w:leader="none" w:pos="786"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June 30, 2018 and December 31, 2017, the Company had incentive fees payable to the Investment Advisor of $2.5 million and $2.2 million,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June 30, 2018 and 2017, the Company incurred $2.3 million and $2.5 million in base management fees, respectively. The Company incurred $0.0 million and $0.0 million in incentive fees related to pre-incentive fee net investment income for the three months ended June 30, 2018 and 2017, respectively. For the three months ended June 30, 2018 and 2017, our Investment Advisor waived incentive fees of $0.0 million and $0.0 million,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2018 and 2017, the Company incurred $4.6 million and $5.0 million in base management fees, respectively. The Company incurred $0.2 million and $1.3 million in incentive fees related to pre-incentive fee net investment income for the six months ended June 30, 2018 and 2017, respectively. For the six months ended June 30, 2018 and 2017, our Investment Advisor waived incentive fees of $0.0 million and $1.0 million, respectively.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and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26, 2018.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2018, the Company paid the Administrator $0.4 million and $0.7 million, respectively, for the Company’s allocable portion of the Administrator’s overhead. For the three and six months ended June 30, 2017, the Company paid the Administrator $0.3 million and $0.6 million, respectively, for the Company’s allocable portion of the Administrator’s overhead.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2018 and December 31, 2017, the Company had the following receivables from (payables to) related parties relating to certain management fees, incentive fees, reimbursable expenses, and other payments owed to related parties (dollars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June 30,</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8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CapitalSouth Partners Florida Sidecar Fund II, L.P.</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(2,172)</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and “Management and incentive fee payable.”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The Administrator also serves as the administrator to FSC II. See Note 4 for a further description of this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through its two wholly owned subsidiaries, uses debenture leverage provided through the SBA to fund a portion of its investment portfolio. As of June 30, 2018 and December 31, 2017 the Company had $170.7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June 30, 2018 and December 31, 2017, Fund II and Fund III had total assets of approximately $347.9 million and $341.5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balance outstanding, and average stated interest and annual charge rate on the SBA-guaranteed debentures for the three and six months ended June 30, 2018 and 2017 (dollars in thousands):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and December 31, 2017,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SBA Annual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March 1, 2019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September 1, 2020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r>
      <w:tr>
        <w:trPr>
          <w:trHeight w:val="23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Notes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16, 2014, the Company issued $113.4 million in aggregate principal amount of 7.125% fixed-rate notes due 2021 (the “2021 Notes”). On May 26, 2017, the Company caused notices to be issued to the holders of its 2021 Notes regarding the Company’s exercise of its option to redeem all of the issued and outstanding 2021 Notes. The Company redeemed all $113.4 million in aggregate principal amount of the 2021 Notes on June 25, 2017. The Notes were redeemed at 100% of their principal amount ($25 per Note), plus the accrued and unpaid interest thereon from June 16, 2017, through, but excluding, June 25, 2017. As a result of the redemption, the Company recognized a loss on the extinguishment of debt of $2.7 million for the three and six months ended June 30, 2017, due to the amortization of the deferred financing costs remaining on the 2021 Notes.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2021 Notes for the three and six months ended June 30,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ind w:left="3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103,465</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ind w:left="96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108,424</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was payable quarterly beginning August 31, 2017.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six months ended June 30,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37,418</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18,812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26, 2017, the Company issued $50.0 million in aggregate principal amount of 5.75% fixed-rate convertible notes due on May 31, 2022 (the “2022 Convertible Notes”). On June 26, 2017, the Company issued an additional $2.1 million in aggregate principal amount of the 2022 Convertible Notes pursuant to a partial exercise of the underwriters’ overallotment option. Interest was payable quarterly beginning August 31, 2017.</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six months ended June 30,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19,895</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10,002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October 17, 2014, the Company entered into a senior secured revolving credit agreement (the “Credit Facility”) with ING Capital, LLC, as administrative agent, arranger, and bookrunner, and the lenders party thereto. The Credit Facility was amended on May 22, 2015, June 16, 2017, and July 19, 2018 (the “Amendments”). The Amendments were affected, among other things, in order to increase the total borrowings allowed under the Credit Facility, allow for stock repurchases, extend the maturity date, and to reduce the minimum required interest coverage ratio. The Credit Facility currently provides for borrowings up to $114.5 million and may be increased up to $200.0 million pursuant to its “accordion” feature. The Credit Facility matures on June 16, 2021.</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Credit Facility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Credit Facility for the three and six months ended June 30, 2018 and 2017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r>
      <w:tr>
        <w:trPr>
          <w:trHeight w:val="263"/>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60" w:type="dxa"/>
            <w:vAlign w:val="bottom"/>
            <w:tcBorders>
              <w:bottom w:val="single" w:sz="8" w:color="CCEEFF"/>
            </w:tcBorders>
          </w:tcPr>
          <w:p>
            <w:pPr>
              <w:spacing w:after="0"/>
              <w:rPr>
                <w:sz w:val="22"/>
                <w:szCs w:val="22"/>
                <w:color w:val="auto"/>
              </w:rPr>
            </w:pPr>
          </w:p>
        </w:tc>
      </w:tr>
      <w:tr>
        <w:trPr>
          <w:trHeight w:val="197"/>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5,714</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38,154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41,061</w:t>
            </w:r>
          </w:p>
        </w:tc>
        <w:tc>
          <w:tcPr>
            <w:tcW w:w="160" w:type="dxa"/>
            <w:vAlign w:val="bottom"/>
            <w:shd w:val="clear" w:color="auto" w:fill="CCEEFF"/>
          </w:tcPr>
          <w:p>
            <w:pPr>
              <w:spacing w:after="0"/>
              <w:rPr>
                <w:sz w:val="17"/>
                <w:szCs w:val="17"/>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2018 and December 31, 2017, the Company had $5.0 million and $9.0 million, respectively, outstanding under the Credit Facility. The Credit Facility is secured by investments and cash held by the Company, exclusive of assets held at our two SBIC subsidiaries. Assets pledged to secure the Credit Facility had a carrying value of $179.6 million and $192.4 million, respectively, at June 30, 2018 and December 31, 2017.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June 30, 2018, and the level of each financial liability within the fair value hierarchy (dollars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40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74,850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74,850</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5,018</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5,018</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40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9,038</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9,038</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fair value of the Credit Facility was based on future contractual cash payments discounted at estimated market interest rates for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2018, the Company recognized directors’ fees expense of $0.1 million and $0.2 million, respectively. For the three and six months ended June 30, 2017, the Company recognized directors’ fees expense of $0.1 million and $0.2 million, respectively.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June 30, 2018 and December 31, 2017, and for the six months ended June 30, 2018 and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PIK dividends, fees, and unrealized appreciation (depreciation), was $0.8 million and $0.7 million for the six months ended June 30, 2018 and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PIK dividends, fees, and unrealized appreciation (depreciation), was $1.3 million and $6.3 million for the six months ended June 30, 2018 and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$0.5 million and $(0.4) million for the six months ended June 30, 2018 and June 30,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PIK dividends, fees, and unrealized appreciation (depreciation), was $0.9 million and $0.6 million for the six months ended June 30, 2018 and June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Services,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On-Site Fuel Services, Inc. is a 100% owned subsidiary of On-Site Fuel Holdings, Inc., which was incorporated in Delaware on December 19, 2011. On-Site Fuel Services, Inc. provides fueling services for commercial and government vehicle fleets throughout the southeast U.S. The income (loss) the Company generated from On-Site Fuel Services, Inc., which includes all interest, dividends, PIK interest and PIK dividends, fees, and unrealized appreciation (depreciation), was $0.5 million and $(0.6) million for the six months ended June 30, 2018 and June 30, 2017,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1" w:name="page52"/>
    <w:bookmarkEnd w:id="51"/>
    <w:p>
      <w:pPr>
        <w:ind w:left="4"/>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8,609</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13,894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For the six months ended</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10,098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6,701</w:t>
            </w:r>
          </w:p>
        </w:tc>
        <w:tc>
          <w:tcPr>
            <w:tcW w:w="1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4,161</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1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 Eastport Holdings, LLC</w:t>
            </w:r>
            <w:r>
              <w:rPr>
                <w:rFonts w:ascii="Arial" w:cs="Arial" w:eastAsia="Arial" w:hAnsi="Arial"/>
                <w:sz w:val="30"/>
                <w:szCs w:val="30"/>
                <w:b w:val="1"/>
                <w:bCs w:val="1"/>
                <w:color w:val="auto"/>
                <w:vertAlign w:val="superscript"/>
              </w:rPr>
              <w:t>(1)</w:t>
            </w:r>
          </w:p>
        </w:tc>
        <w:tc>
          <w:tcPr>
            <w:tcW w:w="280" w:type="dxa"/>
            <w:vAlign w:val="bottom"/>
          </w:tcPr>
          <w:p>
            <w:pPr>
              <w:spacing w:after="0"/>
              <w:rPr>
                <w:sz w:val="16"/>
                <w:szCs w:val="16"/>
                <w:color w:val="auto"/>
              </w:rPr>
            </w:pPr>
          </w:p>
        </w:tc>
        <w:tc>
          <w:tcPr>
            <w:tcW w:w="164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186,934</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180,266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62,348</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56,272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65,931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191"/>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Statements of Operations – Eastport Holdings, LLC</w:t>
            </w:r>
            <w:r>
              <w:rPr>
                <w:rFonts w:ascii="Arial" w:cs="Arial" w:eastAsia="Arial" w:hAnsi="Arial"/>
                <w:sz w:val="30"/>
                <w:szCs w:val="30"/>
                <w:b w:val="1"/>
                <w:bCs w:val="1"/>
                <w:color w:val="auto"/>
                <w:vertAlign w:val="superscript"/>
              </w:rPr>
              <w:t>(1)</w:t>
            </w:r>
          </w:p>
        </w:tc>
        <w:tc>
          <w:tcPr>
            <w:tcW w:w="2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680"/>
              <w:spacing w:after="0" w:line="191" w:lineRule="exact"/>
              <w:rPr>
                <w:sz w:val="20"/>
                <w:szCs w:val="20"/>
                <w:color w:val="auto"/>
              </w:rPr>
            </w:pPr>
            <w:r>
              <w:rPr>
                <w:rFonts w:ascii="Arial" w:cs="Arial" w:eastAsia="Arial" w:hAnsi="Arial"/>
                <w:sz w:val="18"/>
                <w:szCs w:val="18"/>
                <w:b w:val="1"/>
                <w:bCs w:val="1"/>
                <w:color w:val="auto"/>
              </w:rPr>
              <w:t>March 31,</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195,941</w:t>
            </w:r>
          </w:p>
        </w:tc>
        <w:tc>
          <w:tcPr>
            <w:tcW w:w="2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212,736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68,285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7,636</w:t>
            </w: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8097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4984" w:right="2260" w:hanging="4984"/>
        <w:spacing w:after="0" w:line="778"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June 30, 2018 financial statements are not available. As such, the most recent comparable period is presented.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-285115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4"/>
          </w:cols>
          <w:pgMar w:left="896" w:top="800" w:right="519" w:bottom="1440" w:gutter="0" w:footer="0" w:header="0"/>
        </w:sectPr>
      </w:pPr>
    </w:p>
    <w:bookmarkStart w:id="52" w:name="page53"/>
    <w:bookmarkEnd w:id="52"/>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Balance Sheet – Micro Precision, LLC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19,586</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13,954</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For the six months ended</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5,907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9,225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3,003</w:t>
            </w:r>
          </w:p>
        </w:tc>
        <w:tc>
          <w:tcPr>
            <w:tcW w:w="12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2,904</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2,486</w:t>
            </w:r>
          </w:p>
        </w:tc>
        <w:tc>
          <w:tcPr>
            <w:tcW w:w="1200" w:type="dxa"/>
            <w:vAlign w:val="bottom"/>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Navis Holdings, Inc.</w:t>
            </w:r>
          </w:p>
        </w:tc>
        <w:tc>
          <w:tcPr>
            <w:tcW w:w="41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Noncurrent assets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3,767</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2,161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2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7,939</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6,739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412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0" w:right="239" w:bottom="1440" w:gutter="0" w:footer="0" w:header="0"/>
        </w:sectPr>
      </w:pPr>
    </w:p>
    <w:bookmarkStart w:id="53" w:name="page54"/>
    <w:bookmarkEnd w:id="5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8"/>
                <w:szCs w:val="18"/>
                <w:b w:val="1"/>
                <w:bCs w:val="1"/>
                <w:color w:val="auto"/>
              </w:rPr>
              <w:t>For the six months ended</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 Navis Holdings, Inc.</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17"/>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6,286</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3,699</w:t>
            </w:r>
          </w:p>
        </w:tc>
        <w:tc>
          <w:tcPr>
            <w:tcW w:w="12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4,437</w:t>
            </w:r>
          </w:p>
        </w:tc>
      </w:tr>
      <w:tr>
        <w:trPr>
          <w:trHeight w:val="210"/>
        </w:trPr>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810"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benefit (provision)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Balance Sheet – On-Site Fuel Services,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2,650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r>
      <w:tr>
        <w:trPr>
          <w:trHeight w:val="244"/>
        </w:trPr>
        <w:tc>
          <w:tcPr>
            <w:tcW w:w="32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320" w:type="dxa"/>
            <w:vAlign w:val="bottom"/>
          </w:tcPr>
          <w:p>
            <w:pPr>
              <w:spacing w:after="0"/>
              <w:rPr>
                <w:sz w:val="17"/>
                <w:szCs w:val="17"/>
                <w:color w:val="auto"/>
              </w:rPr>
            </w:pPr>
          </w:p>
        </w:tc>
        <w:tc>
          <w:tcPr>
            <w:tcW w:w="1600" w:type="dxa"/>
            <w:vAlign w:val="bottom"/>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60" w:type="dxa"/>
            <w:vAlign w:val="bottom"/>
            <w:gridSpan w:val="2"/>
          </w:tcPr>
          <w:p>
            <w:pPr>
              <w:spacing w:after="0"/>
              <w:rPr>
                <w:sz w:val="17"/>
                <w:szCs w:val="17"/>
                <w:color w:val="auto"/>
              </w:rPr>
            </w:pPr>
          </w:p>
        </w:tc>
      </w:tr>
      <w:tr>
        <w:trPr>
          <w:trHeight w:val="232"/>
        </w:trPr>
        <w:tc>
          <w:tcPr>
            <w:tcW w:w="32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-1172845</wp:posOffset>
            </wp:positionV>
            <wp:extent cx="666369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-898525</wp:posOffset>
            </wp:positionV>
            <wp:extent cx="666369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760" w:space="720"/>
            <w:col w:w="3940"/>
          </w:cols>
          <w:pgMar w:left="240" w:top="810" w:right="239" w:bottom="1440" w:gutter="0" w:footer="0" w:header="0"/>
          <w:type w:val="continuous"/>
        </w:sectPr>
      </w:pPr>
    </w:p>
    <w:tbl>
      <w:tblPr>
        <w:tblLayout w:type="fixed"/>
        <w:tblInd w:w="6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28,527</w:t>
            </w:r>
          </w:p>
        </w:tc>
        <w:tc>
          <w:tcPr>
            <w:tcW w:w="3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32,400</w:t>
            </w:r>
          </w:p>
        </w:tc>
        <w:tc>
          <w:tcPr>
            <w:tcW w:w="3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June 30,</w:t>
            </w: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30"/>
              <w:spacing w:after="0" w:line="205" w:lineRule="exact"/>
              <w:rPr>
                <w:sz w:val="20"/>
                <w:szCs w:val="20"/>
                <w:color w:val="auto"/>
              </w:rPr>
            </w:pPr>
            <w:r>
              <w:rPr>
                <w:rFonts w:ascii="Arial" w:cs="Arial" w:eastAsia="Arial" w:hAnsi="Arial"/>
                <w:sz w:val="18"/>
                <w:szCs w:val="18"/>
                <w:b w:val="1"/>
                <w:bCs w:val="1"/>
                <w:color w:val="auto"/>
              </w:rPr>
              <w:t>June 30,</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On-Site Fuel Services, Inc.</w:t>
            </w:r>
          </w:p>
        </w:tc>
        <w:tc>
          <w:tcPr>
            <w:tcW w:w="32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65,148</w:t>
            </w:r>
          </w:p>
        </w:tc>
        <w:tc>
          <w:tcPr>
            <w:tcW w:w="3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(3,554)</w:t>
            </w:r>
          </w:p>
        </w:tc>
        <w:tc>
          <w:tcPr>
            <w:tcW w:w="3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accordance with the provisions of ASC Topic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increase (decrease) in net assets from operations per share for the three and six months ended June 30, 2018 and June 30, 2017 (dollars in thousands, except share and per share data):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type w:val="continuous"/>
        </w:sectPr>
      </w:pPr>
    </w:p>
    <w:bookmarkStart w:id="54" w:name="page55"/>
    <w:bookmarkEnd w:id="54"/>
    <w:tbl>
      <w:tblPr>
        <w:tblLayout w:type="fixed"/>
        <w:tblInd w:w="34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20"/>
                <w:szCs w:val="20"/>
                <w:color w:val="auto"/>
              </w:rPr>
            </w:pPr>
          </w:p>
        </w:tc>
        <w:tc>
          <w:tcPr>
            <w:tcW w:w="24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23"/>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June 30, 2018</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2017</w:t>
            </w:r>
          </w:p>
        </w:tc>
        <w:tc>
          <w:tcPr>
            <w:tcW w:w="220" w:type="dxa"/>
            <w:vAlign w:val="bottom"/>
          </w:tcPr>
          <w:p>
            <w:pPr>
              <w:spacing w:after="0"/>
              <w:rPr>
                <w:sz w:val="19"/>
                <w:szCs w:val="19"/>
                <w:color w:val="auto"/>
              </w:rPr>
            </w:pPr>
          </w:p>
        </w:tc>
        <w:tc>
          <w:tcPr>
            <w:tcW w:w="142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June 30, 2018</w:t>
            </w:r>
          </w:p>
        </w:tc>
        <w:tc>
          <w:tcPr>
            <w:tcW w:w="12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June 30, 2017</w:t>
            </w:r>
          </w:p>
        </w:tc>
        <w:tc>
          <w:tcPr>
            <w:tcW w:w="80" w:type="dxa"/>
            <w:vAlign w:val="bottom"/>
          </w:tcPr>
          <w:p>
            <w:pPr>
              <w:spacing w:after="0"/>
              <w:rPr>
                <w:sz w:val="19"/>
                <w:szCs w:val="19"/>
                <w:color w:val="auto"/>
              </w:rPr>
            </w:pPr>
          </w:p>
        </w:tc>
      </w:tr>
      <w:tr>
        <w:trPr>
          <w:trHeight w:val="178"/>
        </w:trPr>
        <w:tc>
          <w:tcPr>
            <w:tcW w:w="5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1"/>
              </w:rPr>
              <w:t>Net increase (decrease) in net assets from operations per share –</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Numerator for basic net increase (decrease) in net assets from</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operations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4,948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5,089</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(643)</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Denominator for basic net increase (decrease) in net assets from</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operations per share</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15,981,857</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15,889,682</w:t>
            </w:r>
          </w:p>
        </w:tc>
        <w:tc>
          <w:tcPr>
            <w:tcW w:w="2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15,970,599</w:t>
            </w:r>
          </w:p>
        </w:tc>
        <w:tc>
          <w:tcPr>
            <w:tcW w:w="2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15,881,712</w:t>
            </w:r>
          </w:p>
        </w:tc>
        <w:tc>
          <w:tcPr>
            <w:tcW w:w="80" w:type="dxa"/>
            <w:vAlign w:val="bottom"/>
            <w:shd w:val="clear" w:color="auto" w:fill="CCEEFF"/>
          </w:tcPr>
          <w:p>
            <w:pPr>
              <w:spacing w:after="0"/>
              <w:rPr>
                <w:sz w:val="21"/>
                <w:szCs w:val="21"/>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Basic net increase (decrease) in net assets from operations per share</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r>
      <w:tr>
        <w:trPr>
          <w:trHeight w:val="181"/>
        </w:trPr>
        <w:tc>
          <w:tcPr>
            <w:tcW w:w="5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1"/>
              </w:rPr>
              <w:t>Net increase (decrease) in net assets from operations per share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71"/>
        </w:trPr>
        <w:tc>
          <w:tcPr>
            <w:tcW w:w="5160" w:type="dxa"/>
            <w:vAlign w:val="bottom"/>
            <w:shd w:val="clear" w:color="auto" w:fill="CCEEFF"/>
          </w:tcPr>
          <w:p>
            <w:pPr>
              <w:spacing w:after="0" w:line="271" w:lineRule="exact"/>
              <w:rPr>
                <w:sz w:val="20"/>
                <w:szCs w:val="20"/>
                <w:color w:val="auto"/>
              </w:rPr>
            </w:pPr>
            <w:r>
              <w:rPr>
                <w:rFonts w:ascii="Arial" w:cs="Arial" w:eastAsia="Arial" w:hAnsi="Arial"/>
                <w:sz w:val="18"/>
                <w:szCs w:val="18"/>
                <w:b w:val="1"/>
                <w:bCs w:val="1"/>
                <w:color w:val="auto"/>
              </w:rPr>
              <w:t xml:space="preserve">diluted </w:t>
            </w:r>
            <w:r>
              <w:rPr>
                <w:rFonts w:ascii="Arial" w:cs="Arial" w:eastAsia="Arial" w:hAnsi="Arial"/>
                <w:sz w:val="30"/>
                <w:szCs w:val="30"/>
                <w:b w:val="1"/>
                <w:bCs w:val="1"/>
                <w:color w:val="auto"/>
                <w:vertAlign w:val="superscript"/>
              </w:rPr>
              <w:t>(1)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Numerator for basic net increase (decrease) in net assets from</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operations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4,948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5,089</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(643)</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 for interest on the 2022 Convertible Notes and incentive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fees, net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82"/>
        </w:trPr>
        <w:tc>
          <w:tcPr>
            <w:tcW w:w="5160" w:type="dxa"/>
            <w:vAlign w:val="bottom"/>
          </w:tcPr>
          <w:p>
            <w:pPr>
              <w:spacing w:after="0" w:line="182" w:lineRule="exact"/>
              <w:rPr>
                <w:sz w:val="20"/>
                <w:szCs w:val="20"/>
                <w:color w:val="auto"/>
              </w:rPr>
            </w:pPr>
            <w:r>
              <w:rPr>
                <w:rFonts w:ascii="Arial" w:cs="Arial" w:eastAsia="Arial" w:hAnsi="Arial"/>
                <w:sz w:val="18"/>
                <w:szCs w:val="18"/>
                <w:color w:val="auto"/>
              </w:rPr>
              <w:t>Numerator for diluted net increase (decrease) in net assets from</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4"/>
        </w:trPr>
        <w:tc>
          <w:tcPr>
            <w:tcW w:w="5160" w:type="dxa"/>
            <w:vAlign w:val="bottom"/>
          </w:tcPr>
          <w:p>
            <w:pPr>
              <w:spacing w:after="0"/>
              <w:rPr>
                <w:sz w:val="20"/>
                <w:szCs w:val="20"/>
                <w:color w:val="auto"/>
              </w:rPr>
            </w:pPr>
            <w:r>
              <w:rPr>
                <w:rFonts w:ascii="Arial" w:cs="Arial" w:eastAsia="Arial" w:hAnsi="Arial"/>
                <w:sz w:val="18"/>
                <w:szCs w:val="18"/>
                <w:color w:val="auto"/>
              </w:rPr>
              <w:t>operations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5,081</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5,222</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(643)</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basic weighted average shares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15,981,857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15,889,682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15,970,599</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15,881,712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Adjustment for dilutive effect of the 2022 Convertible Notes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3,315,474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3,315,474</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weighted average shares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19,297,331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15,889,682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19,286,073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15,881,712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w w:val="90"/>
              </w:rPr>
              <w:t>Diluted net increase (decrease) in net assets from operations per share</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applying the if-converted method, conversion is not assumed for purposes of computing diluted earnings per share if the effect would be anti-dilutive. For the three and six months ended June 30, 2017, conversion of the 3.3 million in convertible shares was not assumed as the effect on diluted earnings per share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distributions are recorded as payable on the declaration date. Stockholders have the option to receive payment of the distribution in cash, shares of common stock, or a combination of cash and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2018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DRIP</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Cash</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w:t>
            </w:r>
          </w:p>
        </w:tc>
      </w:tr>
      <w:tr>
        <w:trPr>
          <w:trHeight w:val="234"/>
        </w:trPr>
        <w:tc>
          <w:tcPr>
            <w:tcW w:w="3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Date Declared</w:t>
            </w: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 Date</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Per Share</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Distribution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1700" w:type="dxa"/>
            <w:vAlign w:val="bottom"/>
          </w:tcPr>
          <w:p>
            <w:pPr>
              <w:spacing w:after="0"/>
              <w:rPr>
                <w:sz w:val="20"/>
                <w:szCs w:val="20"/>
                <w:color w:val="auto"/>
              </w:rPr>
            </w:pPr>
            <w:r>
              <w:rPr>
                <w:rFonts w:ascii="Arial" w:cs="Arial" w:eastAsia="Arial" w:hAnsi="Arial"/>
                <w:sz w:val="18"/>
                <w:szCs w:val="18"/>
                <w:color w:val="auto"/>
              </w:rPr>
              <w:t>February 20, 2018</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February 27, 2018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1,275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8,076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March 23, 2018</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29, 2018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1700" w:type="dxa"/>
            <w:vAlign w:val="bottom"/>
          </w:tcPr>
          <w:p>
            <w:pPr>
              <w:spacing w:after="0"/>
              <w:rPr>
                <w:sz w:val="20"/>
                <w:szCs w:val="20"/>
                <w:color w:val="auto"/>
              </w:rPr>
            </w:pPr>
            <w:r>
              <w:rPr>
                <w:rFonts w:ascii="Arial" w:cs="Arial" w:eastAsia="Arial" w:hAnsi="Arial"/>
                <w:sz w:val="18"/>
                <w:szCs w:val="18"/>
                <w:color w:val="auto"/>
              </w:rPr>
              <w:t>April 19, 2018</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April 27, 2018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7,006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22, 2018</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30, 2018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1700" w:type="dxa"/>
            <w:vAlign w:val="bottom"/>
          </w:tcPr>
          <w:p>
            <w:pPr>
              <w:spacing w:after="0"/>
              <w:rPr>
                <w:sz w:val="20"/>
                <w:szCs w:val="20"/>
                <w:color w:val="auto"/>
              </w:rPr>
            </w:pPr>
            <w:r>
              <w:rPr>
                <w:rFonts w:ascii="Arial" w:cs="Arial" w:eastAsia="Arial" w:hAnsi="Arial"/>
                <w:sz w:val="18"/>
                <w:szCs w:val="18"/>
                <w:color w:val="auto"/>
              </w:rPr>
              <w:t>June 20, 2018</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June 28, 2018</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6,591</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23"/>
        </w:trPr>
        <w:tc>
          <w:tcPr>
            <w:tcW w:w="50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2017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DRIP</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Cash</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w:t>
            </w:r>
          </w:p>
        </w:tc>
      </w:tr>
      <w:tr>
        <w:trPr>
          <w:trHeight w:val="234"/>
        </w:trPr>
        <w:tc>
          <w:tcPr>
            <w:tcW w:w="3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Date Declared</w:t>
            </w: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 Date</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Per Share</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Distribution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1700" w:type="dxa"/>
            <w:vAlign w:val="bottom"/>
          </w:tcPr>
          <w:p>
            <w:pPr>
              <w:spacing w:after="0"/>
              <w:rPr>
                <w:sz w:val="20"/>
                <w:szCs w:val="20"/>
                <w:color w:val="auto"/>
              </w:rPr>
            </w:pPr>
            <w:r>
              <w:rPr>
                <w:rFonts w:ascii="Arial" w:cs="Arial" w:eastAsia="Arial" w:hAnsi="Arial"/>
                <w:sz w:val="18"/>
                <w:szCs w:val="18"/>
                <w:color w:val="auto"/>
              </w:rPr>
              <w:t>February 20,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February 27, 2017</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1,993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March 23, 2017</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30, 2017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1700" w:type="dxa"/>
            <w:vAlign w:val="bottom"/>
          </w:tcPr>
          <w:p>
            <w:pPr>
              <w:spacing w:after="0"/>
              <w:rPr>
                <w:sz w:val="20"/>
                <w:szCs w:val="20"/>
                <w:color w:val="auto"/>
              </w:rPr>
            </w:pPr>
            <w:r>
              <w:rPr>
                <w:rFonts w:ascii="Arial" w:cs="Arial" w:eastAsia="Arial" w:hAnsi="Arial"/>
                <w:sz w:val="18"/>
                <w:szCs w:val="18"/>
                <w:color w:val="auto"/>
              </w:rPr>
              <w:t>April 19,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April 27, 2017</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1,996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5,164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23, 2017</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29, 2017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1700" w:type="dxa"/>
            <w:vAlign w:val="bottom"/>
          </w:tcPr>
          <w:p>
            <w:pPr>
              <w:spacing w:after="0"/>
              <w:rPr>
                <w:sz w:val="20"/>
                <w:szCs w:val="20"/>
                <w:color w:val="auto"/>
              </w:rPr>
            </w:pPr>
            <w:r>
              <w:rPr>
                <w:rFonts w:ascii="Arial" w:cs="Arial" w:eastAsia="Arial" w:hAnsi="Arial"/>
                <w:sz w:val="18"/>
                <w:szCs w:val="18"/>
                <w:color w:val="auto"/>
              </w:rPr>
              <w:t>June 21,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June 29, 2017</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1,969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7,959</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23"/>
        </w:trPr>
        <w:tc>
          <w:tcPr>
            <w:tcW w:w="50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schedule of financial highlights for the six months ended June 30, 2018 and 2017 (dollars in thousands, except share and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829"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June 30, 2017</w:t>
            </w: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15.79</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Net realized gain (loss) on investments</w:t>
            </w:r>
            <w:r>
              <w:rPr>
                <w:rFonts w:ascii="Arial" w:cs="Arial" w:eastAsia="Arial" w:hAnsi="Arial"/>
                <w:sz w:val="29"/>
                <w:szCs w:val="29"/>
                <w:color w:val="auto"/>
                <w:vertAlign w:val="superscript"/>
              </w:rPr>
              <w:t>(1)</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9"/>
                <w:szCs w:val="29"/>
                <w:color w:val="auto"/>
                <w:vertAlign w:val="superscript"/>
              </w:rPr>
              <w:t>(1)</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Net unrealized depreciation on Written Call Option</w:t>
            </w:r>
            <w:r>
              <w:rPr>
                <w:rFonts w:ascii="Arial" w:cs="Arial" w:eastAsia="Arial" w:hAnsi="Arial"/>
                <w:sz w:val="29"/>
                <w:szCs w:val="29"/>
                <w:color w:val="auto"/>
                <w:vertAlign w:val="superscript"/>
              </w:rPr>
              <w:t>(1)</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benefit</w:t>
            </w:r>
            <w:r>
              <w:rPr>
                <w:rFonts w:ascii="Arial" w:cs="Arial" w:eastAsia="Arial" w:hAnsi="Arial"/>
                <w:sz w:val="29"/>
                <w:szCs w:val="29"/>
                <w:color w:val="auto"/>
                <w:vertAlign w:val="superscript"/>
              </w:rPr>
              <w:t>(1)</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r>
      <w:tr>
        <w:trPr>
          <w:trHeight w:val="270"/>
        </w:trPr>
        <w:tc>
          <w:tcPr>
            <w:tcW w:w="74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60" w:type="dxa"/>
            <w:vAlign w:val="bottom"/>
            <w:tcBorders>
              <w:bottom w:val="single" w:sz="8" w:color="CCEEFF"/>
            </w:tcBorders>
          </w:tcPr>
          <w:p>
            <w:pPr>
              <w:spacing w:after="0"/>
              <w:rPr>
                <w:sz w:val="18"/>
                <w:szCs w:val="18"/>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15,994,690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15,902,495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(9)</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incentive fee, net of incentive fee waiver, to average net assets</w:t>
            </w:r>
            <w:r>
              <w:rPr>
                <w:rFonts w:ascii="Arial" w:cs="Arial" w:eastAsia="Arial" w:hAnsi="Arial"/>
                <w:sz w:val="29"/>
                <w:szCs w:val="29"/>
                <w:color w:val="auto"/>
                <w:vertAlign w:val="superscript"/>
              </w:rPr>
              <w:t>(6)(10)</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loss on extinguishment of debt to average net assets</w:t>
            </w:r>
            <w:r>
              <w:rPr>
                <w:rFonts w:ascii="Arial" w:cs="Arial" w:eastAsia="Arial" w:hAnsi="Arial"/>
                <w:sz w:val="29"/>
                <w:szCs w:val="29"/>
                <w:color w:val="auto"/>
                <w:vertAlign w:val="superscript"/>
              </w:rPr>
              <w:t>(10)</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Ratio of tax benefit to average net assets</w:t>
            </w:r>
            <w:r>
              <w:rPr>
                <w:rFonts w:ascii="Arial" w:cs="Arial" w:eastAsia="Arial" w:hAnsi="Arial"/>
                <w:sz w:val="29"/>
                <w:szCs w:val="29"/>
                <w:color w:val="auto"/>
                <w:vertAlign w:val="superscript"/>
              </w:rPr>
              <w:t>(8)</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Ratio of total expenses including tax benefit, net of fee waivers, to average net assets</w:t>
            </w:r>
            <w:r>
              <w:rPr>
                <w:rFonts w:ascii="Arial" w:cs="Arial" w:eastAsia="Arial" w:hAnsi="Arial"/>
                <w:sz w:val="29"/>
                <w:szCs w:val="29"/>
                <w:color w:val="auto"/>
                <w:vertAlign w:val="superscript"/>
              </w:rPr>
              <w:t>(6)(9)</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13.18%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p>
        </w:tc>
      </w:tr>
      <w:tr>
        <w:trPr>
          <w:trHeight w:val="257"/>
        </w:trPr>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r>
      <w:tr>
        <w:trPr>
          <w:trHeight w:val="257"/>
        </w:trPr>
        <w:tc>
          <w:tcPr>
            <w:tcW w:w="7460" w:type="dxa"/>
            <w:vAlign w:val="bottom"/>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308,788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348,999</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w:t>
            </w:r>
          </w:p>
        </w:tc>
      </w:tr>
      <w:tr>
        <w:trPr>
          <w:trHeight w:val="390"/>
        </w:trPr>
        <w:tc>
          <w:tcPr>
            <w:tcW w:w="746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30"/>
                <w:szCs w:val="30"/>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2,660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2,515</w:t>
            </w:r>
          </w:p>
        </w:tc>
      </w:tr>
    </w:tbl>
    <w:p>
      <w:pPr>
        <w:spacing w:after="0" w:line="6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June 30, 2018 and June 30, 2017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ratio of waived incentive fees to average net assets was 0.00% and 0.39%, for the six months ended June 30, 2018 and June 30, 2017.</w:t>
      </w:r>
    </w:p>
    <w:p>
      <w:pPr>
        <w:spacing w:after="0" w:line="20" w:lineRule="exact"/>
        <w:rPr>
          <w:rFonts w:ascii="Arial" w:cs="Arial" w:eastAsia="Arial" w:hAnsi="Arial"/>
          <w:sz w:val="17"/>
          <w:szCs w:val="17"/>
          <w:color w:val="auto"/>
        </w:rPr>
      </w:pPr>
    </w:p>
    <w:p>
      <w:pPr>
        <w:ind w:left="340" w:hanging="332"/>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Ratios are annualized. Incentive fees, net of incentive fees waiver and loss on extinguishment of debt included within the ratio are not annualized.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2018.</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 2018, the Company’s Board declared normal monthly distributions for July, August, and September of 2018 as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720" w:type="dxa"/>
            <w:vAlign w:val="bottom"/>
          </w:tcPr>
          <w:p>
            <w:pPr>
              <w:ind w:left="88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2840" w:type="dxa"/>
            <w:vAlign w:val="bottom"/>
            <w:gridSpan w:val="2"/>
          </w:tcPr>
          <w:p>
            <w:pPr>
              <w:ind w:left="820"/>
              <w:spacing w:after="0"/>
              <w:rPr>
                <w:sz w:val="20"/>
                <w:szCs w:val="20"/>
                <w:color w:val="auto"/>
              </w:rPr>
            </w:pPr>
            <w:r>
              <w:rPr>
                <w:rFonts w:ascii="Arial" w:cs="Arial" w:eastAsia="Arial" w:hAnsi="Arial"/>
                <w:sz w:val="18"/>
                <w:szCs w:val="18"/>
                <w:b w:val="1"/>
                <w:bCs w:val="1"/>
                <w:color w:val="auto"/>
              </w:rPr>
              <w:t>Payment Date</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4"/>
              </w:rPr>
              <w:t>Distributions per Share</w:t>
            </w: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 2018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23, 2018</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30, 2018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July 2, 2018</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August 23, 2018</w:t>
            </w:r>
          </w:p>
        </w:tc>
        <w:tc>
          <w:tcPr>
            <w:tcW w:w="2940" w:type="dxa"/>
            <w:vAlign w:val="bottom"/>
            <w:gridSpan w:val="3"/>
          </w:tcPr>
          <w:p>
            <w:pPr>
              <w:ind w:left="100"/>
              <w:spacing w:after="0"/>
              <w:rPr>
                <w:sz w:val="20"/>
                <w:szCs w:val="20"/>
                <w:color w:val="auto"/>
              </w:rPr>
            </w:pPr>
            <w:r>
              <w:rPr>
                <w:rFonts w:ascii="Arial" w:cs="Arial" w:eastAsia="Arial" w:hAnsi="Arial"/>
                <w:sz w:val="18"/>
                <w:szCs w:val="18"/>
                <w:color w:val="auto"/>
              </w:rPr>
              <w:t>August 30, 2018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July 2, 2018</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20, 2018</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27, 2018</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2, 2018, the Company invested $13.0 million in first lien debt of Sunset Digital Holding, LLC, yielding 1-month LIBOR + 7.25%.</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31, 2018, the Company sold its investment in Kelle’s Transport Services, LLC, receiving $13.3 million in proceeds upon exit.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19, 2018, the Company entered into Amendment No. 3 (the “Amendment”) to the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Amendment amended the Credit Facility to, among other things, reduce the minimum required Consolidated Interest Coverage Ratio (as defined in the Credit Facility) that the Company must maintain on a quarterly basis from 2.25 to 1 as of the last day of any fiscal quarter of the Company, as was previously in effect, to (i) 1.75 to 1 as of the last day of any fiscal quarter of the Company ending after March 31, 2018 but on or prior to December 31, 2018, and (ii) 2.00 to 1 as of the last day of any fiscal quarter of the Company ending after December 31, 2018.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20" w:hanging="342"/>
        <w:spacing w:after="0" w:line="277"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58" w:name="page59"/>
    <w:bookmarkEnd w:id="58"/>
    <w:p>
      <w:pPr>
        <w:jc w:val="both"/>
        <w:ind w:firstLine="648"/>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2017.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 million in trailing twelve-month earnings before interest, tax, depreciation, and amortization (“EBITDA”).</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invest in first lien loans, second lien loans, and subordinated loans. Most of our debt investments are coupled with equity interests, whether in the form of detachable “penny” warrants or equity co-investments made pari-passu with our borrowers’ financial sponsors.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certain requirements are met) after such borrowing, with certain limited exceptions.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We have two subsidiaries licensed under the Small Business Investment Company (“SBIC”) Act that have elected to be regulated as BDCs under the 1940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fourth quarter of 2017, Florida Sidecar transferred all of its assets to the Company and was legally dissolved as a standalone partnership.</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 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2018 and December 31,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0" w:name="page61"/>
    <w:bookmarkEnd w:id="60"/>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1" w:name="page62"/>
    <w:bookmarkEnd w:id="61"/>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income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2" w:name="page63"/>
    <w:bookmarkEnd w:id="62"/>
    <w:p>
      <w:pPr>
        <w:ind w:left="80"/>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3" w:name="page64"/>
    <w:bookmarkEnd w:id="63"/>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U.S. federal income tax purposes, as of June 30, 2018, the aggregate net unrealized appreciation for all securities was $56.5 million. As of June 30, 2018, gross unrealized appreciation was $85.1 million and gross unrealized depreciation was $28.6 million. The aggregate cost of securities for U.S. federal income tax purposes was $426.7 million. For U.S. federal income tax purposes, as of December 31, 2017, the aggregate net unrealized appreciation for all securities was $34.9 million. As of December 31, 2017, gross unrealized appreciation was $81.4 million and gross unrealized depreciation was $46.5 million. The aggregate cost of securities for U.S. federal income tax purposes was $465.0 million as of December 31, 2017.</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June 30, 2018 and December 31, 2017, the Company recorded a net deferred tax asset of $6 thousand and net deferred tax liability of $1.3 million, respectively. For the three months ended June 30, 2018, the Company recorded a tax benefit of $1.3 million. For the six months ended June 30, 2018, the Company recorded a tax benefit of $1.3 million. For the three and six months ended June 30, 2017, no tax provision was recorded.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2018 and December 31, 2017,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2018 and December 31, 2017.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tax years ended August 31, 2017, 2016, 2015, and 2014 remain subject to examination by U.S. federal, state, and local tax authorities. No interest expense or penalties have been assessed for the periods ended June 30, 2018 and June 30, 2017. If the Company was required to recognize interest and penalties, if any, related to unrecognized tax benefits this would be recognized as income tax expense in the consolidated statements of operations.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amend its tax year end from August 31 to December 31 and expects to file a tax return for the four months ended December 31, 2017. The election to change tax year end is not expected to have a material impact on the Company’s consolidated statements of operations, the Company’s tax status as a RIC, or the nature of distributions paid to our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Act and may change, possibly materially, as we complete our analysis and receive additional clarification and implementation guidance.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June 30, 2018, our portfolio consisted of investments in 43 portfolio companies with a fair value of approximately $483.3 million.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June 30, 2018, 13.4% of the fair value of our first lien loans consisted of last-out loans. As of December 31, 2017,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2018, we made approximately $11.2 million of investments and had approximately $32.3 million in repayments and sales of investments resulting in net repayments and sales of approximately $21.1 million for the period. During the three months ended June 30, 2017, we made approximately $6.5 million of investments and had approximately $49.3 million in repayments and sales resulting in net repayments and sales of approximately $42.8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2018, we made approximately $39.0 million of investments and had approximately $53.7 million in repayments and sales of investments resulting in net repayments and sales of approximately $14.7 million for the period. During the six months ended June 30, 2017, we made approximately $28.2 million of investments and had approximately $82.3 million in repayments and sales resulting in net repayments and sales of approximately $54.1 million for the period.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Our Board pre-approved this transaction pursuant to Section 57(f) of the 1940 Act.</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5" w:name="page66"/>
    <w:bookmarkEnd w:id="65"/>
    <w:p>
      <w:pPr>
        <w:jc w:val="both"/>
        <w:ind w:firstLine="648"/>
        <w:spacing w:after="0" w:line="254" w:lineRule="auto"/>
        <w:rPr>
          <w:sz w:val="20"/>
          <w:szCs w:val="20"/>
          <w:color w:val="auto"/>
        </w:rPr>
      </w:pPr>
      <w:r>
        <w:rPr>
          <w:rFonts w:ascii="Arial" w:cs="Arial" w:eastAsia="Arial" w:hAnsi="Arial"/>
          <w:sz w:val="18"/>
          <w:szCs w:val="18"/>
          <w:color w:val="auto"/>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$6.8 million and $6.8 million as of June 30, 2018 and December 31, 2017, respectively.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June 30, 2018 and December 31, 2017 was determined to be insignificant. The Written Call Option is classified as a Level 3 financial instrument. The Written Call Option remained outstanding as of June 30, 2018 and December 31, 2017.</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our debt investment portfolio, which represented 74.1% of our total portfolio, had a weighted average annualized yield of approximately 11.4%. As of June 30, 2018, 52.4% of our debt investment portfolio was bearing a fixed rate of interest. As of December 31, 2017, our debt investment portfolio, which represented 75.5% of our total portfolio, had a weighted average annualized yield of approximately 11.9%. As of December 31, 2017, 51.7% of our debt investment portfolio was bearing a fixed rate of interest.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June 30,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245,846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32,831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57,862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125,316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467,573</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524,087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37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Lien Debt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32,465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and Warrants</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55,180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122,271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23.0</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496,248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531,160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60</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June 30, 2018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gridSpan w:val="2"/>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63,409</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Building Products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38,691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17,879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25,732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26,920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Oil &amp; Gas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23,842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27,774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18,241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17,388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Footwear 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16,222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 Rental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13,809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12,505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 Supply 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12,771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12,551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IT Consulting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12,155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12,231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Fuel Transportation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9,044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Healthcare Management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8,445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Personal Digital Imaging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Conglomerate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7,729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Produce Distribution</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6,162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Farming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5,673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4,757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Consumer Electronics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Specialty 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Refrigeration/HVAC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8,736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Bowling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Replacement Window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In-Home Healthcare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Retail Display &amp; Security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Dental Practice Management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483,261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June 30, 2018 and December 31, 2017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2018 and December 31, 2017 (dollars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June 30, 2018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520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Percentage of</w:t>
            </w:r>
          </w:p>
        </w:tc>
        <w:tc>
          <w:tcPr>
            <w:tcW w:w="160" w:type="dxa"/>
            <w:vAlign w:val="bottom"/>
            <w:gridSpan w:val="2"/>
          </w:tcPr>
          <w:p>
            <w:pPr>
              <w:spacing w:after="0"/>
              <w:rPr>
                <w:sz w:val="16"/>
                <w:szCs w:val="16"/>
                <w:color w:val="auto"/>
              </w:rPr>
            </w:pPr>
          </w:p>
        </w:tc>
      </w:tr>
      <w:tr>
        <w:trPr>
          <w:trHeight w:val="234"/>
        </w:trPr>
        <w:tc>
          <w:tcPr>
            <w:tcW w:w="5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244,161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254,829</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West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105,216</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107,835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77,248</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Northeast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49,722</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44,428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6,914</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483,261</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w:t>
      </w:r>
    </w:p>
    <w:p>
      <w:pPr>
        <w:sectPr>
          <w:pgSz w:w="11900" w:h="16838" w:orient="portrait"/>
          <w:cols w:equalWidth="0" w:num="1">
            <w:col w:w="11420"/>
          </w:cols>
          <w:pgMar w:left="240" w:top="800" w:right="239" w:bottom="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color w:val="auto"/>
        </w:rPr>
        <w:t>its determination of the estimated fair value of equity securities or equity-like securities. Our internal risk rating system generally encompasses both qualitative and quantitative aspects of our portfolio companies.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color w:val="auto"/>
        </w:rPr>
        <w:t>Our internal investment rating system incorporates the following five categories:</w:t>
      </w:r>
    </w:p>
    <w:p>
      <w:pPr>
        <w:sectPr>
          <w:pgSz w:w="11900" w:h="16838" w:orient="portrait"/>
          <w:cols w:equalWidth="0" w:num="1">
            <w:col w:w="11420"/>
          </w:cols>
          <w:pgMar w:left="240" w:top="801" w:right="239" w:bottom="1440" w:gutter="0" w:footer="0" w:header="0"/>
        </w:sectPr>
      </w:pPr>
    </w:p>
    <w:p>
      <w:pPr>
        <w:spacing w:after="0" w:line="244" w:lineRule="exact"/>
        <w:rPr>
          <w:sz w:val="20"/>
          <w:szCs w:val="20"/>
          <w:color w:val="auto"/>
        </w:rPr>
      </w:pPr>
    </w:p>
    <w:p>
      <w:pPr>
        <w:jc w:val="center"/>
        <w:ind w:right="4220"/>
        <w:spacing w:after="0"/>
        <w:rPr>
          <w:sz w:val="20"/>
          <w:szCs w:val="20"/>
          <w:color w:val="auto"/>
        </w:rPr>
      </w:pPr>
      <w:r>
        <w:rPr>
          <w:rFonts w:ascii="Arial" w:cs="Arial" w:eastAsia="Arial" w:hAnsi="Arial"/>
          <w:sz w:val="15"/>
          <w:szCs w:val="15"/>
          <w:b w:val="1"/>
          <w:bCs w:val="1"/>
          <w:color w:val="auto"/>
        </w:rPr>
        <w:t>Investment</w:t>
      </w:r>
    </w:p>
    <w:p>
      <w:pPr>
        <w:spacing w:after="0" w:line="62" w:lineRule="exact"/>
        <w:rPr>
          <w:sz w:val="20"/>
          <w:szCs w:val="20"/>
          <w:color w:val="auto"/>
        </w:rPr>
      </w:pPr>
    </w:p>
    <w:p>
      <w:pPr>
        <w:jc w:val="center"/>
        <w:ind w:right="420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86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482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31750</wp:posOffset>
            </wp:positionV>
            <wp:extent cx="66205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100" w:space="720"/>
            <w:col w:w="5600"/>
          </w:cols>
          <w:pgMar w:left="240" w:top="801" w:right="239" w:bottom="1440" w:gutter="0" w:footer="0" w:header="0"/>
          <w:type w:val="continuous"/>
        </w:sectPr>
      </w:pPr>
    </w:p>
    <w:p>
      <w:pPr>
        <w:ind w:left="1000" w:hanging="605"/>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ind w:left="1000" w:hanging="605"/>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24" w:lineRule="exact"/>
        <w:rPr>
          <w:sz w:val="20"/>
          <w:szCs w:val="20"/>
          <w:color w:val="auto"/>
        </w:rPr>
      </w:pPr>
    </w:p>
    <w:p>
      <w:pPr>
        <w:jc w:val="both"/>
        <w:ind w:left="1000" w:hanging="605"/>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000" w:hanging="605"/>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000" w:hanging="605"/>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June 30, 2018 and December 31,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As of June 30, 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As of December 31, 2017</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7"/>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187,661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191,204</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159,091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186,445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110,730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25,779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24,981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483,261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we had debt investments in three portfolio companies on non-accrual status with an amortized cost of $31.9 million and a fair value of $25.8 million, which represented 7.5% and 5.3% of the investment portfolio, respectively. As of December 31, 2017, we had debt investments in four portfolio companies on non-accrual status with an amortized cost of $50.1 million and a fair value of $25.0 million, which represented 10.8% and 5.0% of the investment portfolio,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six months ended June 30, 2018 and 2017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For the three months ended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4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8"/>
              </w:rPr>
              <w:t>June 30, 2018</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expenses, net of incentive fee waivers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15,785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20,283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(26,477)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(2,412)</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42"/>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1"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composition of our investment income for the three and six months ended June 30, 2018 and 2017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income reported as interest income and PIK interest and PIK dividend income is generally based on the stated rates as disclosed in our consolidated schedule of investments. Accretion of discounts received for purchased loans are included in interest income as an adjustment to yield. As a general rule, our interest income and PIK interest and PIK dividend income are recurring in nature.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June 30, 2018, total investment income decreased by $0.5 million, or 3.9%, compared to the three months ended June 30, 2017. Interest income increased $0.8 million, from $9.8 million for the three months ended June 30, 2017 to $10.6 million for the three months ended June 30, 2018. The increase from the prior period is primarily related to reversal of interest income on non-accrual loans added during the three months ended June 30, 2017. The increase in interest income was offset by a $1.1 million decline in PIK income and a $0.1 million decline in fee income. PIK income declined from $2.1 million for the three months ended June 30, 2017 to $1.0 million for the three months ended June 30, 2018, primarily due to a decrease in investments with a contractual PIK rate. Fee income declined by $0.1 million compared to the prior year, from $0.3 million for the three months ended June 30, 2017 to $0.2 million for the three months ended June 30, 2018. For the three months ended June 30, 2018, we generated $0.1 million in origination fees from new deployments and $0.1 million in other fees. Comparatively, for the three months ended June 30, 2017, we generated no origination fees from new deployments and $0.3 million in non-origination fees.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six months ended June 30, 2018, total investment income decreased by $2.7 million, or 10.0%, compared to the six months ended June 30, 2017. The decrease from the prior period was driven primarily by a $1.5 million decline in PIK income, from $3.8 million for the six months ended June 30, 2017, to $2.3 million for the six months ended June 30, 2018. The decline in PIK income was primarily due to a decrease in investments with a contractual PIK rate. Interest income decreased $0.5 million, from $21.8 million for the six months ended June 30, 2017 to $21.3 million for the six months ended June 30, 2018. The decrease in interest income was driven by a decline in average debt investments and a decline in overall weighted cash yield on the portfolio, partially offset by the impact of income reversal on non-accrual loans added during the six months ended June 30, 2017. Fee income declined by $0.3 million compared to the prior year, from $1.0 million for the six months ended June 30, 2017 to $0.7 million for the six months ended June 30, 2018. For the six months ended June 30, 2018, we generated $0.4 million in origination fees from new deployments and $0.3 million in other fees. Comparatively, for the six months ended June 30, 2017, we generated $0.4 million in origination fees from new deployments and $0.6 million in non-origination fees. Dividend income decreased from $0.5 million for the six months ended June 30, 2017 to $0.2 million for the six months ended June 30, 2018, mostly driven by a one-time dividend paid during the six months ended June 30, 2017.</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composition of our expenses for the three and six months ended June 30, 2018 and June 30, 2017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7"/>
          </w:tcPr>
          <w:p>
            <w:pPr>
              <w:ind w:left="30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2018</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gridSpan w:val="2"/>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2,732</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5,019</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Incentive fees, net of incentive fee waiver</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expenses, net of fee waivers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June 30, 2018, operating expenses decreased $4.0 million, or 34.4%, compared to the three months ended June 30, 2017. For the three months ended June 30, 2017, we recognized a $2.7 million loss on extinguishment of debt related to repayment of our 7.125% Notes due 2021 (the “2021 Notes”). For the three months ended June 30, 2018, interest and financing expenses decreased $1.2 million compared to the three months ended June 30, 2017, due primarily to a larger average outstanding debt balance and a higher weighted average interest rate for the three months ended June 30, 2017. Management fees declined by $0.2 million, from $2.5 million for the three months ended June 30, 2017 to $2.3 million for the three months ended June 30, 2018, due to lower average assets under management.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six months ended June 30, 2018, operating expenses decreased $4.5 million, or 22.2%, compared to the six months ended June 30, 2017. For the six months ended June 30, 2017, we recognized a $2.7 million loss on extinguishment of debt related to repayment of our 2021 Notes. For the six months ended June 30, 2018, interest and financing expenses decreased $1.4 million compared to the six months ended June 30, 2017, due primarily to a larger average outstanding debt balance and a higher weighted average interest rate for the six months ended June 30, 2017. Management fees declined by $0.4 million, from $5.0 million for the six months ended June 30, 2017 to $4.6 million for the six months ended June 30, 2018, due to lower average assets under management. Incentive fees, net of incentive fee waiver, declined by $0.1 million for the six months ended June 30, 2018 compared to the six months ended June 30, 2017, due to lower pre-incentive fee net investment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six months ended June 30, 2018 we recognized $(22.6) million and $(26.5) million, respectively, of net realized losses on our portfolio investments. During the three and six months ended June 30, 2017 we recognized $4.7 million and $9.5 million, respectively, of net realized gains on our portfolio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six months ended June 30, 2018 we had net unrealized appreciation of $22.0 million and $21.6 million, respectively. For the three and six months ended June 30, 2017 we had net unrealized depreciation of $(10.0) million and $(14.7)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Written Call Option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2018 we had net unrealized appreciation (depreciation) on the Written Call Option of $0.0 million and $0.0 million, respectively. For the three and six months ended June 30, 2017 we had net unrealized depreciation on the Written Call Option of $(0.9) million and $(2.4)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2018 we recorded a tax benefit of $1.3 million and $1.3 million, respectively. For the three and six months ended June 30, 2017 no tax benefit was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2018 we recorded a net increase in net assets resulting from operations of $4.9 million and $5.1 million, respectively. Based on the weighted average shares of common stock outstanding for the three and six months ended June 30, 2018 our per share net increase in net assets resulting from operations was $0.31 and $0.32,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2017 we recorded a net decrease in net assets resulting from operations of $(5.5) million and $(0.6) million, respectively. Based on the weighted average shares of common stock outstanding for the three and six months ended June 30, 2017 our per share net decrease in net assets resulting from operations was $(0.35) and $(0.04),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June 30, 2018 and December 31, 2017, and for the six months ended June 30, 2018 and June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PIK dividends, fees, and unrealized appreciation (depreciation), was $0.8 million and $0.7 million for the six months ended June 30, 2018 and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PIK dividends, fees, and unrealized appreciation (depreciation), was $1.3 million and $6.3 million for the six months ended June 30, 2018 and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$0.5 million and $(0.4) million for the six months ended June 30, 2018 and June 30,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PIK dividends, fees, and unrealized appreciation (depreciation), was $0.9 million and $0.6 million for the six months ended June 30, 2018 and June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Services,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On-Site Fuel Services, Inc. is a 100% owned subsidiary of On-Site Fuel Holdings, Inc., which was incorporated in Delaware on December 19, 2011. On-Site Fuel Services, Inc. provides fueling services for commercial and government vehicle fleets throughout the southeast U.S. The income (loss) the Company generated from On-Site Fuel Services, Inc., which includes all interest, dividends, PIK interest and PIK dividends, fees, and unrealized appreciation (depreciation), was $0.5 million and $(0.6) million for the six months ended June 30, 2018 and June 30, 2017,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CableOrganizer Acquisition, LLC</w:t>
            </w:r>
          </w:p>
        </w:tc>
        <w:tc>
          <w:tcPr>
            <w:tcW w:w="35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Noncurrent assets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8,609</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8,354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8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13,894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12,346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58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72" w:name="page73"/>
    <w:bookmarkEnd w:id="72"/>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For the six months ended</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10,098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6,701</w:t>
            </w:r>
          </w:p>
        </w:tc>
        <w:tc>
          <w:tcPr>
            <w:tcW w:w="1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4,161</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1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 Eastport Holdings, LLC</w:t>
            </w:r>
            <w:r>
              <w:rPr>
                <w:rFonts w:ascii="Arial" w:cs="Arial" w:eastAsia="Arial" w:hAnsi="Arial"/>
                <w:sz w:val="30"/>
                <w:szCs w:val="30"/>
                <w:b w:val="1"/>
                <w:bCs w:val="1"/>
                <w:color w:val="auto"/>
                <w:vertAlign w:val="superscript"/>
              </w:rPr>
              <w:t>(1)</w:t>
            </w:r>
          </w:p>
        </w:tc>
        <w:tc>
          <w:tcPr>
            <w:tcW w:w="280" w:type="dxa"/>
            <w:vAlign w:val="bottom"/>
          </w:tcPr>
          <w:p>
            <w:pPr>
              <w:spacing w:after="0"/>
              <w:rPr>
                <w:sz w:val="16"/>
                <w:szCs w:val="16"/>
                <w:color w:val="auto"/>
              </w:rPr>
            </w:pPr>
          </w:p>
        </w:tc>
        <w:tc>
          <w:tcPr>
            <w:tcW w:w="164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186,934</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180,266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62,348</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56,272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65,931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191"/>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Statements of Operations – Eastport Holdings, LLC</w:t>
            </w:r>
            <w:r>
              <w:rPr>
                <w:rFonts w:ascii="Arial" w:cs="Arial" w:eastAsia="Arial" w:hAnsi="Arial"/>
                <w:sz w:val="30"/>
                <w:szCs w:val="30"/>
                <w:b w:val="1"/>
                <w:bCs w:val="1"/>
                <w:color w:val="auto"/>
                <w:vertAlign w:val="superscript"/>
              </w:rPr>
              <w:t>(1)</w:t>
            </w:r>
          </w:p>
        </w:tc>
        <w:tc>
          <w:tcPr>
            <w:tcW w:w="2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680"/>
              <w:spacing w:after="0" w:line="191" w:lineRule="exact"/>
              <w:rPr>
                <w:sz w:val="20"/>
                <w:szCs w:val="20"/>
                <w:color w:val="auto"/>
              </w:rPr>
            </w:pPr>
            <w:r>
              <w:rPr>
                <w:rFonts w:ascii="Arial" w:cs="Arial" w:eastAsia="Arial" w:hAnsi="Arial"/>
                <w:sz w:val="18"/>
                <w:szCs w:val="18"/>
                <w:b w:val="1"/>
                <w:bCs w:val="1"/>
                <w:color w:val="auto"/>
              </w:rPr>
              <w:t>March 31,</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195,941</w:t>
            </w:r>
          </w:p>
        </w:tc>
        <w:tc>
          <w:tcPr>
            <w:tcW w:w="2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212,736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68,285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7,636</w:t>
            </w: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8097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4984" w:right="2260" w:hanging="4984"/>
        <w:spacing w:after="0" w:line="778"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June 30, 2018 financial statements are not available. As such, the most recent comparable period is presented.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-285115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4"/>
          </w:cols>
          <w:pgMar w:left="896" w:top="810" w:right="519" w:bottom="1440" w:gutter="0" w:footer="0" w:header="0"/>
        </w:sectPr>
      </w:pPr>
    </w:p>
    <w:bookmarkStart w:id="73" w:name="page74"/>
    <w:bookmarkEnd w:id="73"/>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Balance Sheet – Micro Precision, LLC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19,586</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13,954</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For the six months ended</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5,907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9,225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3,003</w:t>
            </w:r>
          </w:p>
        </w:tc>
        <w:tc>
          <w:tcPr>
            <w:tcW w:w="12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2,904</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2,486</w:t>
            </w:r>
          </w:p>
        </w:tc>
        <w:tc>
          <w:tcPr>
            <w:tcW w:w="1200" w:type="dxa"/>
            <w:vAlign w:val="bottom"/>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Balance Sheet – Navis Holdings, Inc.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3,767</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7,939</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For the six months ended</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 of Operations – Navis Holdings, Inc.</w:t>
            </w:r>
          </w:p>
        </w:tc>
        <w:tc>
          <w:tcPr>
            <w:tcW w:w="37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6,286</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7,200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3,699</w:t>
            </w:r>
          </w:p>
        </w:tc>
        <w:tc>
          <w:tcPr>
            <w:tcW w:w="12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4,437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780" w:type="dxa"/>
            <w:vAlign w:val="bottom"/>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2,650</w:t>
            </w:r>
          </w:p>
        </w:tc>
        <w:tc>
          <w:tcPr>
            <w:tcW w:w="1200" w:type="dxa"/>
            <w:vAlign w:val="bottom"/>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2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40" w:type="dxa"/>
            <w:vAlign w:val="bottom"/>
            <w:vMerge w:val="restart"/>
          </w:tcPr>
          <w:p>
            <w:pPr>
              <w:jc w:val="right"/>
              <w:ind w:right="147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0" w:right="239" w:bottom="1440" w:gutter="0" w:footer="0" w:header="0"/>
        </w:sectPr>
      </w:pPr>
    </w:p>
    <w:bookmarkStart w:id="74" w:name="page75"/>
    <w:bookmarkEnd w:id="7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740"/>
              <w:spacing w:after="0" w:line="205"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Balance Sheet – On-Site Fuel Services, Inc.</w:t>
            </w:r>
          </w:p>
        </w:tc>
        <w:tc>
          <w:tcPr>
            <w:tcW w:w="32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28,527</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26,807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32,400</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34,515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For the six months ended</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On-Site Fuel Services, Inc.</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68,582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74,069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65,148</w:t>
            </w:r>
          </w:p>
        </w:tc>
        <w:tc>
          <w:tcPr>
            <w:tcW w:w="1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71,812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6,988</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(3,554)</w:t>
            </w:r>
          </w:p>
        </w:tc>
        <w:tc>
          <w:tcPr>
            <w:tcW w:w="11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(3,044)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(3,554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(3,044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2013, we issued 4,000,000 shares at $20.00 per share in our IPO, yielding net proceeds of $74.25 million.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was amended on May 22, 2015, June 16, 2017, and July 19, 2018 (the “Amendments”). The Amendments were affected, among other things, in order to increase the total borrowings allowed under the Credit Facility, allow for stock repurchases, extend the maturity date, and to reduce the minimum required interest coverage ratio. The Credit Facility currently provides for borrowings up to $114.5 million and may be increased up to $200.0 million pursuant to its “accordion” feature. The Credit Facility matures on June 16, 2021. As of June 30, 2018, we had $5.0 million outstanding and $109.5 million available under the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13, 2015, we completed an underwritten offering of 3,500,000 shares of our common stock at a public offering price of $18.32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proceeds received in the offering net of underwriting discounts and offering costs were approximately $61.7 million.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on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75" w:name="page76"/>
    <w:bookmarkEnd w:id="75"/>
    <w:p>
      <w:pPr>
        <w:jc w:val="both"/>
        <w:ind w:firstLine="648"/>
        <w:spacing w:after="0" w:line="293" w:lineRule="auto"/>
        <w:rPr>
          <w:sz w:val="20"/>
          <w:szCs w:val="20"/>
          <w:color w:val="auto"/>
        </w:rPr>
      </w:pPr>
      <w:r>
        <w:rPr>
          <w:rFonts w:ascii="Arial" w:cs="Arial" w:eastAsia="Arial" w:hAnsi="Arial"/>
          <w:sz w:val="16"/>
          <w:szCs w:val="16"/>
          <w:color w:val="auto"/>
        </w:rPr>
        <w:t>As of June 30, 2018,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we had $40.8 million in cash and cash equivalents, and our net assets totaled $219.3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June 30, 2018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9"/>
              </w:rPr>
              <w:t>Less Than</w:t>
            </w:r>
          </w:p>
        </w:tc>
        <w:tc>
          <w:tcPr>
            <w:tcW w:w="140" w:type="dxa"/>
            <w:vAlign w:val="bottom"/>
          </w:tcPr>
          <w:p>
            <w:pPr>
              <w:spacing w:after="0"/>
              <w:rPr>
                <w:sz w:val="16"/>
                <w:szCs w:val="16"/>
                <w:color w:val="auto"/>
              </w:rPr>
            </w:pP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1 Year</w:t>
            </w: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jc w:val="both"/>
        <w:ind w:right="20" w:firstLine="648"/>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4, 2016 through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19,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27,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22,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Total Distributions Declared and Distributed for 2018</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19,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27, 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24,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21,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23,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23,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21,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December 28, 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Total Distributions Declared and Distributed for 2017</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19,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22,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22,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28,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21,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22,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22,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August 30,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22,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October 28,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2016</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21,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21,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December 29, 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Total Distributions Declared and Distributed for 2016</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7" w:name="page78"/>
    <w:bookmarkEnd w:id="77"/>
    <w:p>
      <w:pPr>
        <w:jc w:val="both"/>
        <w:ind w:firstLine="648"/>
        <w:spacing w:after="0" w:line="287" w:lineRule="auto"/>
        <w:rPr>
          <w:sz w:val="20"/>
          <w:szCs w:val="20"/>
          <w:color w:val="auto"/>
        </w:rPr>
      </w:pPr>
      <w:r>
        <w:rPr>
          <w:rFonts w:ascii="Arial" w:cs="Arial" w:eastAsia="Arial" w:hAnsi="Arial"/>
          <w:sz w:val="16"/>
          <w:szCs w:val="16"/>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V and/or CSLC given their similar investment strategies.</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w:t>
      </w:r>
    </w:p>
    <w:p>
      <w:pPr>
        <w:spacing w:after="0" w:line="3" w:lineRule="exact"/>
        <w:rPr>
          <w:sz w:val="20"/>
          <w:szCs w:val="20"/>
          <w:color w:val="auto"/>
        </w:rPr>
      </w:pPr>
    </w:p>
    <w:p>
      <w:pPr>
        <w:ind w:firstLine="8"/>
        <w:spacing w:after="0" w:line="261"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co-investment transaction is consistent with the interests of our stockholders and is consistent with our then-current investment objective and strategies.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2018, the Company had outstanding unfunded commitments related to debt investments in existing portfolio companies of $3.8 million (Portrait Studio, LLC), $1.4 million (Kelle’s Transport Service LLC), $0.7 million (MC Sign Lessor, Corp), $0.7 million (U.S. Well Services, LLC) and $0.3 million (CableOrganizer Acquisition, LLC). As of December 31, 2017, the Company had outstanding unfunded commitments related to debt investments in existing portfolio companies of $3.1 million (Portrait Studio, LLC), $2.0 million (CIS Secure Computing, Inc.), $1.0 million (Kelle’s Transport Service, LLC), and $0.7 million (U.S. Well Services, LLC).</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unfunded commitments related to debt investments, the Company also has extended a guaranty on behalf of one of our portfolio companies, whereby we have guaranteed $1.9 million of obligations of Kelle’s Transport Service, LLC. As of June 30, 2018 we have not been required to make payments on this or any previous guaranties, and we consider the credit risks to be remote and the fair value of this guaranty to be immaterial.</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 2018 our Board declared the following distributions: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720" w:type="dxa"/>
            <w:vAlign w:val="bottom"/>
          </w:tcPr>
          <w:p>
            <w:pPr>
              <w:ind w:left="88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2840" w:type="dxa"/>
            <w:vAlign w:val="bottom"/>
            <w:gridSpan w:val="2"/>
          </w:tcPr>
          <w:p>
            <w:pPr>
              <w:ind w:left="820"/>
              <w:spacing w:after="0"/>
              <w:rPr>
                <w:sz w:val="20"/>
                <w:szCs w:val="20"/>
                <w:color w:val="auto"/>
              </w:rPr>
            </w:pPr>
            <w:r>
              <w:rPr>
                <w:rFonts w:ascii="Arial" w:cs="Arial" w:eastAsia="Arial" w:hAnsi="Arial"/>
                <w:sz w:val="18"/>
                <w:szCs w:val="18"/>
                <w:b w:val="1"/>
                <w:bCs w:val="1"/>
                <w:color w:val="auto"/>
              </w:rPr>
              <w:t>Payment Date</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4"/>
              </w:rPr>
              <w:t>Distributions per Share</w:t>
            </w: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 2018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23, 2018</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30, 2018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July 2, 2018</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August 23, 2018</w:t>
            </w:r>
          </w:p>
        </w:tc>
        <w:tc>
          <w:tcPr>
            <w:tcW w:w="2940" w:type="dxa"/>
            <w:vAlign w:val="bottom"/>
            <w:gridSpan w:val="3"/>
          </w:tcPr>
          <w:p>
            <w:pPr>
              <w:ind w:left="100"/>
              <w:spacing w:after="0"/>
              <w:rPr>
                <w:sz w:val="20"/>
                <w:szCs w:val="20"/>
                <w:color w:val="auto"/>
              </w:rPr>
            </w:pPr>
            <w:r>
              <w:rPr>
                <w:rFonts w:ascii="Arial" w:cs="Arial" w:eastAsia="Arial" w:hAnsi="Arial"/>
                <w:sz w:val="18"/>
                <w:szCs w:val="18"/>
                <w:color w:val="auto"/>
              </w:rPr>
              <w:t>August 30, 2018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July 2, 2018</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20, 2018</w:t>
            </w:r>
          </w:p>
        </w:tc>
        <w:tc>
          <w:tcPr>
            <w:tcW w:w="2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27, 2018</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2, 2018, the Company invested $13.0 million in first lien debt of Sunset Digital Holding, LLC, yielding 1-month LIBOR + 7.25%.</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31, 2018, the Company sold its investment in Kelle’s Transport Services, LLC, receiving $13.3 million in proceeds upon exit.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19, 2018, the Company entered into Amendment No. 3 (the “Amendment”) to the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Amendment amended the Credit Facility to, among other things, reduce the minimum required Consolidated Interest Coverage Ratio (as defined in the Credit Facility) that the Company must maintain on a quarterly basis from 2.25 to 1 as of the last day of any fiscal quarter of the Company, as was previously in effect, to (i) 1.75 to 1 as of the last day of any fiscal quarter of the Company ending after March 31, 2018 but on or prior to December 31, 2018, and (ii) 2.00 to 1 as of the last day of any fiscal quarter of the Company ending after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2018, we did not engage in hedging activities.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2018, we held 22 securities bearing a variable rate of interest. Our variable rate investments represent approximately 47.6% of the fair value of total debt investments. As of June 30, 2018, 5.9% of variable rate securities were yielding interest at a rate equal to the established interest rate floor or interest rate ceiling and 94.1% of variable rate securities were yielding interest at a rate above its interest rate floor or were not subject to an interest rate floor. As of June 30, 2018, we had $5.0 million outstanding on our Credit Facility, which has a variable rate of interest at one-month LIBOR + 3.0%. As of June 30, 2018, all of our other interest paying liabilities, consisting of $170.7 million in SBA-guaranteed debentures, $75.0 million in 2022 Notes, and $52.1 million in 2022 Convertible Notes, were bearing interest at a fixed rate.</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our June 30, 2018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Increase</w:t>
            </w: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940" w:type="dxa"/>
            <w:vAlign w:val="bottom"/>
          </w:tcPr>
          <w:p>
            <w:pPr>
              <w:ind w:left="2740"/>
              <w:spacing w:after="0"/>
              <w:rPr>
                <w:sz w:val="20"/>
                <w:szCs w:val="20"/>
                <w:color w:val="auto"/>
              </w:rPr>
            </w:pPr>
            <w:r>
              <w:rPr>
                <w:rFonts w:ascii="Arial" w:cs="Arial" w:eastAsia="Arial" w:hAnsi="Arial"/>
                <w:sz w:val="18"/>
                <w:szCs w:val="18"/>
                <w:b w:val="1"/>
                <w:bCs w:val="1"/>
                <w:color w:val="auto"/>
              </w:rPr>
              <w:t>Basis Point Change</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net income</w:t>
            </w: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Up 200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Down 100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(1,553)</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Down 300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r>
      <w:tr>
        <w:trPr>
          <w:trHeight w:val="634"/>
        </w:trPr>
        <w:tc>
          <w:tcPr>
            <w:tcW w:w="4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June 30, 2018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second quarter of 2018 that has materially affected, or is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w:t>
      </w:r>
      <w:r>
        <w:rPr>
          <w:rFonts w:ascii="Arial" w:cs="Arial" w:eastAsia="Arial" w:hAnsi="Arial"/>
          <w:sz w:val="16"/>
          <w:szCs w:val="16"/>
          <w:i w:val="1"/>
          <w:iCs w:val="1"/>
          <w:color w:val="auto"/>
        </w:rPr>
        <w:t>inter alia</w:t>
      </w:r>
      <w:r>
        <w:rPr>
          <w:rFonts w:ascii="Arial" w:cs="Arial" w:eastAsia="Arial" w:hAnsi="Arial"/>
          <w:sz w:val="16"/>
          <w:szCs w:val="16"/>
          <w:color w:val="auto"/>
        </w:rPr>
        <w:t>,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The time for the defendants in the Paskowitz Action to respond to the amended complaint has not yet expired. While the Company intends to vigorously defend itself in this litigation, the outcome of these legal proceedings cannot be predicted with certainty.</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2017, which could materially affect our business, financial condition and/or operating results.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six months ended June 30, 2018, there have been no material changes from the risk factors set forth in our Annual Report on Form 10-K for the year ended December 31, 2017 except for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total assets). However,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Under the SBCA, we are allowed to reduce our asset coverage requirement to 150%, and thereby increase our leverage capacity, if shareholders representing at least a majority of the votes cast, when quorum is met, approve a proposal to do so. If we receive shareholder approval, we would be allowed to reduce our asset coverage requirement to 150% on the first day after such approval. Alternatively, the SBCA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the SBCA,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June 30, 2018, we issued 20,472 shares of common stock under our DRIP. The issuances were not subject to the registration requirements under the Securities Act of 1933, as amended. The cash paid for shares of common stock issued under our DRIP during the quarter ended June 30, 2018 was approximately $0.2 million. Other than the shares issued under our DRIP during the quarter ended June 30, 2018, we did not sell any unregistered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60" w:type="dxa"/>
            <w:vAlign w:val="bottom"/>
            <w:gridSpan w:val="23"/>
          </w:tcPr>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41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00" w:type="dxa"/>
            <w:vAlign w:val="bottom"/>
            <w:gridSpan w:val="21"/>
          </w:tcPr>
          <w:p>
            <w:pPr>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line="156" w:lineRule="exact"/>
              <w:rPr>
                <w:rFonts w:ascii="Arial" w:cs="Arial" w:eastAsia="Arial" w:hAnsi="Arial"/>
                <w:sz w:val="18"/>
                <w:szCs w:val="18"/>
                <w:color w:val="0000EE"/>
                <w:w w:val="79"/>
              </w:rPr>
            </w:pPr>
            <w:hyperlink r:id="rId17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top w:val="single" w:sz="8" w:color="auto"/>
              <w:bottom w:val="single" w:sz="8" w:color="auto"/>
            </w:tcBorders>
            <w:gridSpan w:val="6"/>
            <w:vMerge w:val="restart"/>
          </w:tcPr>
          <w:p>
            <w:pPr>
              <w:spacing w:after="0"/>
              <w:rPr>
                <w:rFonts w:ascii="Arial" w:cs="Arial" w:eastAsia="Arial" w:hAnsi="Arial"/>
                <w:sz w:val="18"/>
                <w:szCs w:val="18"/>
                <w:color w:val="0000EE"/>
                <w:w w:val="92"/>
              </w:rPr>
            </w:pPr>
            <w:hyperlink r:id="rId178">
              <w:r>
                <w:rPr>
                  <w:rFonts w:ascii="Arial" w:cs="Arial" w:eastAsia="Arial" w:hAnsi="Arial"/>
                  <w:sz w:val="18"/>
                  <w:szCs w:val="18"/>
                  <w:color w:val="0000EE"/>
                  <w:w w:val="92"/>
                </w:rPr>
                <w:t>Articles of Amendment and Restatement</w:t>
              </w:r>
            </w:hyperlink>
          </w:p>
        </w:tc>
        <w:tc>
          <w:tcPr>
            <w:tcW w:w="160" w:type="dxa"/>
            <w:vAlign w:val="bottom"/>
            <w:tcBorders>
              <w:top w:val="single" w:sz="8" w:color="auto"/>
              <w:bottom w:val="single" w:sz="8" w:color="0000EE"/>
            </w:tcBorders>
          </w:tcPr>
          <w:p>
            <w:pPr>
              <w:jc w:val="right"/>
              <w:spacing w:after="0" w:line="129" w:lineRule="exact"/>
              <w:rPr>
                <w:rFonts w:ascii="Arial" w:cs="Arial" w:eastAsia="Arial" w:hAnsi="Arial"/>
                <w:sz w:val="14"/>
                <w:szCs w:val="14"/>
                <w:color w:val="0000EE"/>
                <w:w w:val="81"/>
              </w:rPr>
            </w:pPr>
            <w:hyperlink r:id="rId178">
              <w:r>
                <w:rPr>
                  <w:rFonts w:ascii="Arial" w:cs="Arial" w:eastAsia="Arial" w:hAnsi="Arial"/>
                  <w:sz w:val="14"/>
                  <w:szCs w:val="14"/>
                  <w:color w:val="0000EE"/>
                  <w:w w:val="81"/>
                </w:rPr>
                <w:t>(1)</w:t>
              </w:r>
            </w:hyperlink>
          </w:p>
        </w:tc>
        <w:tc>
          <w:tcPr>
            <w:tcW w:w="340" w:type="dxa"/>
            <w:vAlign w:val="bottom"/>
            <w:tcBorders>
              <w:top w:val="single" w:sz="8" w:color="auto"/>
              <w:bottom w:val="single" w:sz="8" w:color="auto"/>
            </w:tcBorders>
            <w:vMerge w:val="restart"/>
          </w:tcPr>
          <w:p>
            <w:pPr>
              <w:spacing w:after="0"/>
              <w:rPr>
                <w:sz w:val="12"/>
                <w:szCs w:val="12"/>
                <w:color w:val="auto"/>
              </w:rPr>
            </w:pPr>
          </w:p>
        </w:tc>
        <w:tc>
          <w:tcPr>
            <w:tcW w:w="132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78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42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160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tcBorders>
              <w:top w:val="single" w:sz="8" w:color="auto"/>
              <w:bottom w:val="single" w:sz="8" w:color="auto"/>
            </w:tcBorders>
            <w:vMerge w:val="restart"/>
          </w:tcPr>
          <w:p>
            <w:pPr>
              <w:spacing w:after="0"/>
              <w:rPr>
                <w:sz w:val="12"/>
                <w:szCs w:val="12"/>
                <w:color w:val="auto"/>
              </w:rPr>
            </w:pPr>
          </w:p>
        </w:tc>
        <w:tc>
          <w:tcPr>
            <w:tcW w:w="166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Borders>
              <w:bottom w:val="single" w:sz="8" w:color="auto"/>
            </w:tcBorders>
            <w:gridSpan w:val="6"/>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tcBorders>
              <w:bottom w:val="single" w:sz="8" w:color="auto"/>
            </w:tcBorders>
            <w:vMerge w:val="continue"/>
          </w:tcPr>
          <w:p>
            <w:pPr>
              <w:spacing w:after="0" w:line="20" w:lineRule="exact"/>
              <w:rPr>
                <w:sz w:val="1"/>
                <w:szCs w:val="1"/>
                <w:color w:val="auto"/>
              </w:rPr>
            </w:pPr>
          </w:p>
        </w:tc>
        <w:tc>
          <w:tcPr>
            <w:tcW w:w="1320" w:type="dxa"/>
            <w:vAlign w:val="bottom"/>
            <w:tcBorders>
              <w:bottom w:val="single" w:sz="8" w:color="auto"/>
            </w:tcBorders>
            <w:vMerge w:val="continue"/>
          </w:tcPr>
          <w:p>
            <w:pPr>
              <w:spacing w:after="0" w:line="20" w:lineRule="exact"/>
              <w:rPr>
                <w:sz w:val="1"/>
                <w:szCs w:val="1"/>
                <w:color w:val="auto"/>
              </w:rPr>
            </w:pPr>
          </w:p>
        </w:tc>
        <w:tc>
          <w:tcPr>
            <w:tcW w:w="160" w:type="dxa"/>
            <w:vAlign w:val="bottom"/>
            <w:tcBorders>
              <w:bottom w:val="single" w:sz="8" w:color="auto"/>
            </w:tcBorders>
            <w:vMerge w:val="continue"/>
          </w:tcPr>
          <w:p>
            <w:pPr>
              <w:spacing w:after="0" w:line="20" w:lineRule="exact"/>
              <w:rPr>
                <w:sz w:val="1"/>
                <w:szCs w:val="1"/>
                <w:color w:val="auto"/>
              </w:rPr>
            </w:pPr>
          </w:p>
        </w:tc>
        <w:tc>
          <w:tcPr>
            <w:tcW w:w="78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42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160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22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166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gridSpan w:val="2"/>
            <w:vMerge w:val="restart"/>
          </w:tcPr>
          <w:p>
            <w:pPr>
              <w:spacing w:after="0"/>
              <w:rPr>
                <w:rFonts w:ascii="Arial" w:cs="Arial" w:eastAsia="Arial" w:hAnsi="Arial"/>
                <w:sz w:val="18"/>
                <w:szCs w:val="18"/>
                <w:color w:val="0000EE"/>
                <w:w w:val="87"/>
              </w:rPr>
            </w:pPr>
            <w:hyperlink r:id="rId17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Borders>
              <w:bottom w:val="single" w:sz="8" w:color="0000EE"/>
            </w:tcBorders>
            <w:gridSpan w:val="6"/>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(2)</w:t>
            </w: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13"/>
            <w:vMerge w:val="restart"/>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Certificate of Limited Partnership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6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60" w:type="dxa"/>
            <w:vAlign w:val="bottom"/>
            <w:gridSpan w:val="13"/>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8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60" w:type="dxa"/>
            <w:vAlign w:val="bottom"/>
            <w:tcBorders>
              <w:bottom w:val="single" w:sz="8" w:color="0000EE"/>
            </w:tcBorders>
            <w:gridSpan w:val="1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11"/>
            <w:vMerge w:val="restart"/>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Certificate of Limited Partnership of CapitalSouth Partners SBIC Fund III, L.P.</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(2)</w:t>
            </w:r>
          </w:p>
        </w:tc>
        <w:tc>
          <w:tcPr>
            <w:tcW w:w="220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gridSpan w:val="11"/>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8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tcBorders>
              <w:bottom w:val="single" w:sz="8" w:color="0000EE"/>
            </w:tcBorders>
            <w:gridSpan w:val="11"/>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vMerge w:val="restart"/>
          </w:tcPr>
          <w:p>
            <w:pPr>
              <w:spacing w:after="0"/>
              <w:rPr>
                <w:rFonts w:ascii="Arial" w:cs="Arial" w:eastAsia="Arial" w:hAnsi="Arial"/>
                <w:sz w:val="18"/>
                <w:szCs w:val="18"/>
                <w:color w:val="0000EE"/>
              </w:rPr>
            </w:pPr>
            <w:hyperlink r:id="rId181">
              <w:r>
                <w:rPr>
                  <w:rFonts w:ascii="Arial" w:cs="Arial" w:eastAsia="Arial" w:hAnsi="Arial"/>
                  <w:sz w:val="18"/>
                  <w:szCs w:val="18"/>
                  <w:color w:val="0000EE"/>
                </w:rPr>
                <w:t>Bylaws</w:t>
              </w:r>
            </w:hyperlink>
          </w:p>
        </w:tc>
        <w:tc>
          <w:tcPr>
            <w:tcW w:w="16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76"/>
              </w:rPr>
              <w:t>(1)</w:t>
            </w:r>
          </w:p>
        </w:tc>
        <w:tc>
          <w:tcPr>
            <w:tcW w:w="186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720" w:type="dxa"/>
            <w:vAlign w:val="bottom"/>
            <w:gridSpan w:val="3"/>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160" w:type="dxa"/>
            <w:vAlign w:val="bottom"/>
            <w:gridSpan w:val="5"/>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16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8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0000EE"/>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16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(3)</w:t>
            </w: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gridSpan w:val="17"/>
            <w:vMerge w:val="restart"/>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Form of Amended and Restated Limited Partnership Agreement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00" w:type="dxa"/>
            <w:vAlign w:val="bottom"/>
            <w:vMerge w:val="restart"/>
          </w:tcPr>
          <w:p>
            <w:pPr>
              <w:spacing w:after="0"/>
              <w:rPr>
                <w:sz w:val="24"/>
                <w:szCs w:val="24"/>
                <w:color w:val="auto"/>
              </w:rPr>
            </w:pPr>
          </w:p>
        </w:tc>
        <w:tc>
          <w:tcPr>
            <w:tcW w:w="1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40" w:type="dxa"/>
            <w:vAlign w:val="bottom"/>
            <w:gridSpan w:val="17"/>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8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40" w:type="dxa"/>
            <w:vAlign w:val="bottom"/>
            <w:tcBorders>
              <w:bottom w:val="single" w:sz="8" w:color="0000EE"/>
            </w:tcBorders>
            <w:gridSpan w:val="1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15"/>
            <w:vMerge w:val="restart"/>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Form of Amended and Restated Agreement of Limited Partnership of CapitalSouth Partners SBIC Fund III, L.P.</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(3)</w:t>
            </w:r>
          </w:p>
        </w:tc>
        <w:tc>
          <w:tcPr>
            <w:tcW w:w="500" w:type="dxa"/>
            <w:vAlign w:val="bottom"/>
            <w:gridSpan w:val="3"/>
            <w:vMerge w:val="restart"/>
          </w:tcPr>
          <w:p>
            <w:pPr>
              <w:spacing w:after="0"/>
              <w:rPr>
                <w:sz w:val="24"/>
                <w:szCs w:val="24"/>
                <w:color w:val="auto"/>
              </w:rPr>
            </w:pPr>
          </w:p>
        </w:tc>
        <w:tc>
          <w:tcPr>
            <w:tcW w:w="1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40" w:type="dxa"/>
            <w:vAlign w:val="bottom"/>
            <w:gridSpan w:val="1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40" w:type="dxa"/>
            <w:vAlign w:val="bottom"/>
            <w:tcBorders>
              <w:bottom w:val="single" w:sz="8" w:color="0000EE"/>
            </w:tcBorders>
            <w:gridSpan w:val="1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vMerge w:val="restart"/>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Form of Common Stock Certificate</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(1)</w:t>
            </w:r>
          </w:p>
        </w:tc>
        <w:tc>
          <w:tcPr>
            <w:tcW w:w="720" w:type="dxa"/>
            <w:vAlign w:val="bottom"/>
            <w:gridSpan w:val="3"/>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840" w:type="dxa"/>
            <w:vAlign w:val="bottom"/>
            <w:gridSpan w:val="9"/>
            <w:vMerge w:val="restart"/>
          </w:tcPr>
          <w:p>
            <w:pPr>
              <w:spacing w:after="0"/>
              <w:rPr>
                <w:sz w:val="24"/>
                <w:szCs w:val="24"/>
                <w:color w:val="auto"/>
              </w:rPr>
            </w:pPr>
          </w:p>
        </w:tc>
        <w:tc>
          <w:tcPr>
            <w:tcW w:w="1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4"/>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bottom w:val="single" w:sz="8" w:color="0000EE"/>
            </w:tcBorders>
            <w:gridSpan w:val="4"/>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60" w:type="dxa"/>
            <w:vAlign w:val="bottom"/>
            <w:gridSpan w:val="4"/>
          </w:tcPr>
          <w:p>
            <w:pPr>
              <w:spacing w:after="0"/>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Amendment No. 3, dated as of July 19, 2018, to the Senior Secured Revolving Credit Agreement, dated as of October 17, 2014, among Capitala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00" w:type="dxa"/>
            <w:vAlign w:val="bottom"/>
            <w:gridSpan w:val="21"/>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Finance Corp., as borrower, the lenders from time to time party thereto, and ING Capital LLC, as administrative agent, arranger and bookrunner,</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top w:val="single" w:sz="8" w:color="0000EE"/>
              <w:bottom w:val="single" w:sz="8" w:color="0000EE"/>
            </w:tcBorders>
            <w:gridSpan w:val="9"/>
            <w:vMerge w:val="restart"/>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and First National Bank of Pennsylvania, as documentation agent.</w:t>
              </w:r>
            </w:hyperlink>
          </w:p>
        </w:tc>
        <w:tc>
          <w:tcPr>
            <w:tcW w:w="16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76"/>
              </w:rPr>
            </w:pPr>
            <w:hyperlink r:id="rId185">
              <w:r>
                <w:rPr>
                  <w:rFonts w:ascii="Arial" w:cs="Arial" w:eastAsia="Arial" w:hAnsi="Arial"/>
                  <w:sz w:val="15"/>
                  <w:szCs w:val="15"/>
                  <w:color w:val="0000EE"/>
                  <w:w w:val="76"/>
                </w:rPr>
                <w:t>(4)</w:t>
              </w:r>
            </w:hyperlink>
          </w:p>
        </w:tc>
        <w:tc>
          <w:tcPr>
            <w:tcW w:w="3840" w:type="dxa"/>
            <w:vAlign w:val="bottom"/>
            <w:tcBorders>
              <w:top w:val="single" w:sz="8" w:color="0000EE"/>
              <w:bottom w:val="single" w:sz="8" w:color="0000EE"/>
            </w:tcBorders>
            <w:gridSpan w:val="9"/>
            <w:vMerge w:val="restart"/>
          </w:tcPr>
          <w:p>
            <w:pPr>
              <w:spacing w:after="0"/>
              <w:rPr>
                <w:sz w:val="14"/>
                <w:szCs w:val="14"/>
                <w:color w:val="auto"/>
              </w:rPr>
            </w:pPr>
          </w:p>
        </w:tc>
        <w:tc>
          <w:tcPr>
            <w:tcW w:w="16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20" w:type="dxa"/>
            <w:vAlign w:val="bottom"/>
            <w:tcBorders>
              <w:bottom w:val="single" w:sz="8" w:color="0000EE"/>
            </w:tcBorders>
            <w:gridSpan w:val="9"/>
            <w:vMerge w:val="continue"/>
          </w:tcPr>
          <w:p>
            <w:pPr>
              <w:spacing w:after="0"/>
              <w:rPr>
                <w:sz w:val="4"/>
                <w:szCs w:val="4"/>
                <w:color w:val="auto"/>
              </w:rPr>
            </w:pPr>
          </w:p>
        </w:tc>
        <w:tc>
          <w:tcPr>
            <w:tcW w:w="160" w:type="dxa"/>
            <w:vAlign w:val="bottom"/>
          </w:tcPr>
          <w:p>
            <w:pPr>
              <w:spacing w:after="0"/>
              <w:rPr>
                <w:sz w:val="4"/>
                <w:szCs w:val="4"/>
                <w:color w:val="auto"/>
              </w:rPr>
            </w:pPr>
          </w:p>
        </w:tc>
        <w:tc>
          <w:tcPr>
            <w:tcW w:w="3840" w:type="dxa"/>
            <w:vAlign w:val="bottom"/>
            <w:gridSpan w:val="9"/>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4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Computation of Per Share Earnings (included in the notes to the consolidated financial statements contained in this report)</w:t>
              </w:r>
            </w:hyperlink>
          </w:p>
        </w:tc>
        <w:tc>
          <w:tcPr>
            <w:tcW w:w="1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of Chief Executive Officer pursuant to Rule 13a-14 of the Securities Exchange Act of 1934, as adopted pursuant to Section 302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the Sarbanes-Oxley Act of 2002 (filed herewith)</w:t>
              </w:r>
            </w:hyperlink>
          </w:p>
        </w:tc>
        <w:tc>
          <w:tcPr>
            <w:tcW w:w="7000" w:type="dxa"/>
            <w:vAlign w:val="bottom"/>
            <w:tcBorders>
              <w:top w:val="single" w:sz="8" w:color="0000EE"/>
            </w:tcBorders>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Certification of Chief Financial Officer pursuant to Rule 13a-14 of the Securities Exchange Act of 1934, as adopted pursuant to Section 302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the Sarbanes-Oxley Act of 2002 (filed herewith)</w:t>
              </w:r>
            </w:hyperlink>
          </w:p>
        </w:tc>
        <w:tc>
          <w:tcPr>
            <w:tcW w:w="69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w w:val="94"/>
              </w:rPr>
            </w:pPr>
            <w:hyperlink w:anchor="page86">
              <w:r>
                <w:rPr>
                  <w:rFonts w:ascii="Arial" w:cs="Arial" w:eastAsia="Arial" w:hAnsi="Arial"/>
                  <w:sz w:val="18"/>
                  <w:szCs w:val="18"/>
                  <w:color w:val="0000EE"/>
                  <w:w w:val="94"/>
                </w:rPr>
                <w:t>Certification of Chief Executive Officer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herewith)</w:t>
              </w:r>
            </w:hyperlink>
          </w:p>
        </w:tc>
        <w:tc>
          <w:tcPr>
            <w:tcW w:w="978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Certification of Chief Financial Officer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herewith)</w:t>
              </w:r>
            </w:hyperlink>
          </w:p>
        </w:tc>
        <w:tc>
          <w:tcPr>
            <w:tcW w:w="978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20" w:right="20" w:hanging="912"/>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July 20,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6, 2018</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6, 2018</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76</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20" w:hanging="317"/>
        <w:spacing w:after="0"/>
        <w:tabs>
          <w:tab w:leader="none" w:pos="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34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18"/>
        <w:spacing w:after="0" w:line="308"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3"/>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3"/>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3"/>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3"/>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3"/>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420" w:hanging="317"/>
        <w:spacing w:after="0"/>
        <w:tabs>
          <w:tab w:leader="none" w:pos="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342"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18"/>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4"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3"/>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3"/>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3"/>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3"/>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3"/>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June 30, 2018,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June 30, 2018,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lvl w:ilvl="1">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bullet"/>
      <w:start w:val="1"/>
    </w:lvl>
  </w:abstractNum>
  <w:abstractNum w:abstractNumId="16">
    <w:nsid w:val="75A2A8D4"/>
    <w:multiLevelType w:val="hybridMultilevel"/>
    <w:lvl w:ilvl="0">
      <w:lvlJc w:val="left"/>
      <w:lvlText w:val="2"/>
      <w:numFmt w:val="bullet"/>
      <w:start w:val="1"/>
    </w:lvl>
  </w:abstractNum>
  <w:abstractNum w:abstractNumId="17">
    <w:nsid w:val="8EDBDAB"/>
    <w:multiLevelType w:val="hybridMultilevel"/>
    <w:lvl w:ilvl="0">
      <w:lvlJc w:val="left"/>
      <w:lvlText w:val="3"/>
      <w:numFmt w:val="bullet"/>
      <w:start w:val="1"/>
    </w:lvl>
  </w:abstractNum>
  <w:abstractNum w:abstractNumId="18">
    <w:nsid w:val="79838CB2"/>
    <w:multiLevelType w:val="hybridMultilevel"/>
    <w:lvl w:ilvl="0">
      <w:lvlJc w:val="left"/>
      <w:lvlText w:val="4"/>
      <w:numFmt w:val="bullet"/>
      <w:start w:val="1"/>
    </w:lvl>
  </w:abstractNum>
  <w:abstractNum w:abstractNumId="19">
    <w:nsid w:val="4353D0CD"/>
    <w:multiLevelType w:val="hybridMultilevel"/>
    <w:lvl w:ilvl="0">
      <w:lvlJc w:val="left"/>
      <w:lvlText w:val="5"/>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2"/>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4">
    <w:nsid w:val="2CA8861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5">
    <w:nsid w:val="836C4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6">
    <w:nsid w:val="2901D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7">
    <w:nsid w:val="3A95F87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1E7FF521"/>
    <w:multiLevelType w:val="hybridMultilevel"/>
    <w:lvl w:ilvl="0">
      <w:lvlJc w:val="left"/>
      <w:lvlText w:val="%1."/>
      <w:numFmt w:val="decimal"/>
      <w:start w:val="1"/>
    </w:lvl>
    <w:lvl w:ilvl="1">
      <w:lvlJc w:val="left"/>
      <w:lvlText w:val="%2."/>
      <w:numFmt w:val="decimal"/>
      <w:start w:val="2"/>
    </w:lvl>
  </w:abstractNum>
  <w:abstractNum w:abstractNumId="30">
    <w:nsid w:val="7C3DBD3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78" Type="http://schemas.openxmlformats.org/officeDocument/2006/relationships/hyperlink" Target="http://www.sec.gov/Archives/edgar/data/1221483/000119312513361263/d505298dex99a1.htm" TargetMode="External"/><Relationship Id="rId179" Type="http://schemas.openxmlformats.org/officeDocument/2006/relationships/hyperlink" Target="http://www.sec.gov/Archives/edgar/data/1221483/000119312513368161/d505298dex99a2.htm" TargetMode="External"/><Relationship Id="rId180" Type="http://schemas.openxmlformats.org/officeDocument/2006/relationships/hyperlink" Target="http://www.sec.gov/Archives/edgar/data/1221483/000119312513368161/d505298dex99a3.htm" TargetMode="External"/><Relationship Id="rId181" Type="http://schemas.openxmlformats.org/officeDocument/2006/relationships/hyperlink" Target="http://www.sec.gov/Archives/edgar/data/1221483/000119312513361263/d505298dex99b1.htm" TargetMode="External"/><Relationship Id="rId182" Type="http://schemas.openxmlformats.org/officeDocument/2006/relationships/hyperlink" Target="http://www.sec.gov/Archives/edgar/data/1571329/000119312513376445/d505298dex99b2.htm" TargetMode="External"/><Relationship Id="rId183" Type="http://schemas.openxmlformats.org/officeDocument/2006/relationships/hyperlink" Target="http://www.sec.gov/Archives/edgar/data/1571329/000119312513376445/d505298dex99b3.htm" TargetMode="External"/><Relationship Id="rId184" Type="http://schemas.openxmlformats.org/officeDocument/2006/relationships/hyperlink" Target="http://www.sec.gov/Archives/edgar/data/1221483/000119312513361263/d505298dex99d1.htm" TargetMode="External"/><Relationship Id="rId185" Type="http://schemas.openxmlformats.org/officeDocument/2006/relationships/hyperlink" Target="http://www.sec.gov/Archives/edgar/data/1571329/000114420418039164/tv49874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2019-12-28T20:05:00Z</dcterms:created>
  <dcterms:modified xsi:type="dcterms:W3CDTF">2019-12-28T20:05:00Z</dcterms:modified>
</cp:coreProperties>
</file>