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rfc-20230930.htm"/>
      <w:bookmarkStart w:id="1" w:name="kslrfc202309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tbl>
      <w:tblPr>
        <w:tblW w:w="7911" w:type="dxa"/>
        <w:jc w:val="left"/>
        <w:tblInd w:w="0" w:type="dxa"/>
        <w:tblLayout w:type="fixed"/>
        <w:tblCellMar>
          <w:top w:w="28" w:type="dxa"/>
          <w:left w:w="28" w:type="dxa"/>
          <w:bottom w:w="28" w:type="dxa"/>
          <w:right w:w="28" w:type="dxa"/>
        </w:tblCellMar>
      </w:tblPr>
      <w:tblGrid>
        <w:gridCol w:w="124"/>
        <w:gridCol w:w="22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56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Wingdings;serif" w:hAnsi="Wingdings;serif"/>
                <w:b w:val="false"/>
                <w:color w:val="000000"/>
                <w:sz w:val="20"/>
              </w:rPr>
            </w:pPr>
            <w:r>
              <w:rPr>
                <w:rFonts w:ascii="Wingdings;serif" w:hAnsi="Wingdings;serif"/>
                <w:b w:val="false"/>
                <w:color w:val="000000"/>
                <w:sz w:val="20"/>
              </w:rPr>
              <w:t>x</w:t>
            </w:r>
          </w:p>
        </w:tc>
        <w:tc>
          <w:tcPr>
            <w:tcW w:w="7561" w:type="dxa"/>
            <w:tcBorders/>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September 30, 2023</w:t>
      </w:r>
    </w:p>
    <w:tbl>
      <w:tblPr>
        <w:tblW w:w="7941" w:type="dxa"/>
        <w:jc w:val="left"/>
        <w:tblInd w:w="0" w:type="dxa"/>
        <w:tblLayout w:type="fixed"/>
        <w:tblCellMar>
          <w:top w:w="28" w:type="dxa"/>
          <w:left w:w="28" w:type="dxa"/>
          <w:bottom w:w="28" w:type="dxa"/>
          <w:right w:w="28" w:type="dxa"/>
        </w:tblCellMar>
      </w:tblPr>
      <w:tblGrid>
        <w:gridCol w:w="124"/>
        <w:gridCol w:w="211"/>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0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Wingdings;serif" w:hAnsi="Wingdings;serif"/>
                <w:b w:val="false"/>
                <w:color w:val="000000"/>
                <w:sz w:val="20"/>
              </w:rPr>
            </w:pPr>
            <w:r>
              <w:rPr>
                <w:rFonts w:ascii="Wingdings;serif" w:hAnsi="Wingdings;serif"/>
                <w:b w:val="false"/>
                <w:color w:val="000000"/>
                <w:sz w:val="20"/>
              </w:rPr>
              <w:t>¨</w:t>
            </w:r>
          </w:p>
        </w:tc>
        <w:tc>
          <w:tcPr>
            <w:tcW w:w="7606" w:type="dxa"/>
            <w:tcBorders/>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tbl>
      <w:tblPr>
        <w:tblW w:w="7481" w:type="dxa"/>
        <w:jc w:val="left"/>
        <w:tblInd w:w="0" w:type="dxa"/>
        <w:tblLayout w:type="fixed"/>
        <w:tblCellMar>
          <w:top w:w="28" w:type="dxa"/>
          <w:left w:w="28" w:type="dxa"/>
          <w:bottom w:w="28" w:type="dxa"/>
          <w:right w:w="28" w:type="dxa"/>
        </w:tblCellMar>
      </w:tblPr>
      <w:tblGrid>
        <w:gridCol w:w="1021"/>
        <w:gridCol w:w="109"/>
        <w:gridCol w:w="4486"/>
        <w:gridCol w:w="109"/>
        <w:gridCol w:w="1756"/>
      </w:tblGrid>
      <w:tr>
        <w:trPr/>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102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7"/>
              </w:rPr>
            </w:pPr>
            <w:r>
              <w:rPr>
                <w:rFonts w:ascii="Times New Roman" w:hAnsi="Times New Roman"/>
                <w:b/>
                <w:color w:val="000000"/>
                <w:sz w:val="17"/>
              </w:rPr>
              <w:t>Commission</w:t>
            </w:r>
            <w:r>
              <w:rPr>
                <w:rFonts w:ascii="Times New Roman" w:hAnsi="Times New Roman"/>
                <w:b w:val="false"/>
                <w:color w:val="000000"/>
                <w:sz w:val="17"/>
              </w:rPr>
              <w:br/>
            </w:r>
            <w:r>
              <w:rPr>
                <w:rFonts w:ascii="Times New Roman" w:hAnsi="Times New Roman"/>
                <w:b/>
                <w:color w:val="000000"/>
                <w:sz w:val="17"/>
              </w:rPr>
              <w:t>File Number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7"/>
              </w:rPr>
            </w:pPr>
            <w:r>
              <w:rPr>
                <w:rFonts w:ascii="Times New Roman" w:hAnsi="Times New Roman"/>
                <w:b/>
                <w:color w:val="000000"/>
                <w:sz w:val="17"/>
              </w:rPr>
              <w:t>Exact name of registrant as specified in its charter,</w:t>
            </w:r>
            <w:r>
              <w:rPr>
                <w:rFonts w:ascii="Times New Roman" w:hAnsi="Times New Roman"/>
                <w:b w:val="false"/>
                <w:color w:val="000000"/>
                <w:sz w:val="17"/>
              </w:rPr>
              <w:br/>
            </w:r>
            <w:r>
              <w:rPr>
                <w:rFonts w:ascii="Times New Roman" w:hAnsi="Times New Roman"/>
                <w:b/>
                <w:color w:val="000000"/>
                <w:sz w:val="17"/>
              </w:rPr>
              <w:t xml:space="preserve">address of principal executive office, telephone number, and </w:t>
            </w:r>
            <w:r>
              <w:rPr>
                <w:rFonts w:ascii="Times New Roman" w:hAnsi="Times New Roman"/>
                <w:b w:val="false"/>
                <w:color w:val="000000"/>
                <w:sz w:val="17"/>
              </w:rPr>
              <w:br/>
            </w:r>
            <w:r>
              <w:rPr>
                <w:rFonts w:ascii="Times New Roman" w:hAnsi="Times New Roman"/>
                <w:b/>
                <w:color w:val="000000"/>
                <w:sz w:val="17"/>
              </w:rPr>
              <w:t>state or other jurisdiction of incorporation or organization</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7"/>
              </w:rPr>
            </w:pPr>
            <w:r>
              <w:rPr>
                <w:rFonts w:ascii="Times New Roman" w:hAnsi="Times New Roman"/>
                <w:b/>
                <w:color w:val="000000"/>
                <w:sz w:val="17"/>
              </w:rPr>
              <w:t>I.R.S. Employer</w:t>
            </w:r>
            <w:r>
              <w:rPr>
                <w:rFonts w:ascii="Times New Roman" w:hAnsi="Times New Roman"/>
                <w:b w:val="false"/>
                <w:color w:val="000000"/>
                <w:sz w:val="17"/>
              </w:rPr>
              <w:br/>
            </w:r>
            <w:r>
              <w:rPr>
                <w:rFonts w:ascii="Times New Roman" w:hAnsi="Times New Roman"/>
                <w:b/>
                <w:color w:val="000000"/>
                <w:sz w:val="17"/>
              </w:rPr>
              <w:t>Identification Number</w:t>
            </w:r>
          </w:p>
        </w:tc>
      </w:tr>
      <w:tr>
        <w:trPr/>
        <w:tc>
          <w:tcPr>
            <w:tcW w:w="1021" w:type="dxa"/>
            <w:tcBorders/>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814-01022</w:t>
            </w:r>
          </w:p>
        </w:tc>
        <w:tc>
          <w:tcPr>
            <w:tcW w:w="109" w:type="dxa"/>
            <w:tcBorders/>
            <w:vAlign w:val="center"/>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jc w:val="center"/>
              <w:rPr>
                <w:rFonts w:ascii="Times New Roman" w:hAnsi="Times New Roman"/>
                <w:sz w:val="20"/>
              </w:rPr>
            </w:pPr>
            <w:r>
              <w:rPr>
                <w:rFonts w:ascii="Times New Roman" w:hAnsi="Times New Roman"/>
                <w:b/>
                <w:color w:val="000000"/>
                <w:sz w:val="28"/>
              </w:rPr>
              <w:t>Logan Ridge Finance Corporation</w:t>
            </w:r>
            <w:r>
              <w:rPr>
                <w:rFonts w:ascii="Times New Roman" w:hAnsi="Times New Roman"/>
                <w:color w:val="000000"/>
                <w:sz w:val="20"/>
              </w:rPr>
              <w:t xml:space="preserve"> </w:t>
            </w:r>
          </w:p>
          <w:p>
            <w:pPr>
              <w:pStyle w:val="TableContents"/>
              <w:bidi w:val="0"/>
              <w:jc w:val="center"/>
              <w:rPr>
                <w:rFonts w:ascii="Times New Roman" w:hAnsi="Times New Roman"/>
                <w:b/>
                <w:color w:val="000000"/>
                <w:sz w:val="17"/>
              </w:rPr>
            </w:pPr>
            <w:r>
              <w:rPr>
                <w:rFonts w:ascii="Times New Roman" w:hAnsi="Times New Roman"/>
                <w:b/>
                <w:color w:val="000000"/>
                <w:sz w:val="17"/>
              </w:rPr>
              <w:t>650 Madison Avenue, 23rd Floor</w:t>
            </w:r>
          </w:p>
          <w:p>
            <w:pPr>
              <w:pStyle w:val="TableContents"/>
              <w:bidi w:val="0"/>
              <w:jc w:val="center"/>
              <w:rPr>
                <w:rFonts w:ascii="Times New Roman" w:hAnsi="Times New Roman"/>
                <w:sz w:val="17"/>
              </w:rPr>
            </w:pPr>
            <w:r>
              <w:rPr>
                <w:rFonts w:ascii="Times New Roman" w:hAnsi="Times New Roman"/>
                <w:b/>
                <w:color w:val="000000"/>
                <w:sz w:val="17"/>
              </w:rPr>
              <w:t>New York, New York</w:t>
            </w:r>
            <w:r>
              <w:rPr>
                <w:rFonts w:ascii="Times New Roman" w:hAnsi="Times New Roman"/>
                <w:color w:val="000000"/>
                <w:sz w:val="17"/>
              </w:rPr>
              <w:t xml:space="preserve"> </w:t>
            </w:r>
            <w:r>
              <w:rPr>
                <w:rFonts w:ascii="Times New Roman" w:hAnsi="Times New Roman"/>
                <w:b/>
                <w:color w:val="000000"/>
                <w:sz w:val="17"/>
              </w:rPr>
              <w:t>10022</w:t>
            </w:r>
            <w:r>
              <w:rPr>
                <w:rFonts w:ascii="Times New Roman" w:hAnsi="Times New Roman"/>
                <w:color w:val="000000"/>
                <w:sz w:val="17"/>
              </w:rPr>
              <w:t xml:space="preserve"> </w:t>
            </w:r>
          </w:p>
          <w:p>
            <w:pPr>
              <w:pStyle w:val="TableContents"/>
              <w:bidi w:val="0"/>
              <w:jc w:val="center"/>
              <w:rPr>
                <w:rFonts w:ascii="Times New Roman" w:hAnsi="Times New Roman"/>
                <w:sz w:val="20"/>
              </w:rPr>
            </w:pPr>
            <w:r>
              <w:rPr>
                <w:rFonts w:ascii="Times New Roman" w:hAnsi="Times New Roman"/>
                <w:b/>
                <w:color w:val="000000"/>
                <w:sz w:val="17"/>
              </w:rPr>
              <w:t>State of Incorporation: Maryland</w:t>
            </w:r>
            <w:r>
              <w:rPr>
                <w:rFonts w:ascii="Times New Roman" w:hAnsi="Times New Roman"/>
                <w:color w:val="000000"/>
                <w:sz w:val="20"/>
              </w:rPr>
              <w:t xml:space="preserve"> </w:t>
            </w:r>
          </w:p>
          <w:p>
            <w:pPr>
              <w:pStyle w:val="TableContents"/>
              <w:bidi w:val="0"/>
              <w:spacing w:before="0" w:after="283"/>
              <w:jc w:val="center"/>
              <w:rPr>
                <w:rFonts w:ascii="Times New Roman" w:hAnsi="Times New Roman"/>
                <w:sz w:val="20"/>
              </w:rPr>
            </w:pPr>
            <w:r>
              <w:rPr>
                <w:rFonts w:ascii="Times New Roman" w:hAnsi="Times New Roman"/>
                <w:b/>
                <w:color w:val="000000"/>
                <w:sz w:val="17"/>
              </w:rPr>
              <w:t>Telephone: (212) 891-2880</w:t>
            </w:r>
            <w:r>
              <w:rPr>
                <w:rFonts w:ascii="Times New Roman" w:hAnsi="Times New Roman"/>
                <w:color w:val="000000"/>
                <w:sz w:val="2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90-0945675</w:t>
            </w:r>
          </w:p>
        </w:tc>
      </w:tr>
    </w:tbl>
    <w:p>
      <w:pPr>
        <w:pStyle w:val="TextBody"/>
        <w:bidi w:val="0"/>
        <w:jc w:val="center"/>
        <w:rPr>
          <w:rFonts w:ascii="Times New Roman" w:hAnsi="Times New Roman"/>
          <w:b/>
          <w:color w:val="000000"/>
          <w:sz w:val="17"/>
        </w:rPr>
      </w:pPr>
      <w:r>
        <w:rPr>
          <w:rFonts w:ascii="Times New Roman" w:hAnsi="Times New Roman"/>
          <w:b/>
          <w:color w:val="000000"/>
          <w:sz w:val="17"/>
        </w:rPr>
        <w:t>Securities registered pursuant to Section 12(b) of the Act:</w:t>
      </w:r>
    </w:p>
    <w:tbl>
      <w:tblPr>
        <w:tblW w:w="7526" w:type="dxa"/>
        <w:jc w:val="left"/>
        <w:tblInd w:w="0" w:type="dxa"/>
        <w:tblLayout w:type="fixed"/>
        <w:tblCellMar>
          <w:top w:w="28" w:type="dxa"/>
          <w:left w:w="28" w:type="dxa"/>
          <w:bottom w:w="28" w:type="dxa"/>
          <w:right w:w="28" w:type="dxa"/>
        </w:tblCellMar>
      </w:tblPr>
      <w:tblGrid>
        <w:gridCol w:w="3181"/>
        <w:gridCol w:w="109"/>
        <w:gridCol w:w="1426"/>
        <w:gridCol w:w="109"/>
        <w:gridCol w:w="2701"/>
      </w:tblGrid>
      <w:tr>
        <w:trPr/>
        <w:tc>
          <w:tcPr>
            <w:tcW w:w="3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Trading 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7"/>
              </w:rPr>
            </w:pPr>
            <w:r>
              <w:rPr>
                <w:rFonts w:ascii="Times New Roman" w:hAnsi="Times New Roman"/>
                <w:b/>
                <w:color w:val="000000"/>
                <w:sz w:val="17"/>
              </w:rPr>
              <w:t xml:space="preserve">Name of Each Exchange on Which </w:t>
            </w:r>
            <w:r>
              <w:rPr>
                <w:rFonts w:ascii="Times New Roman" w:hAnsi="Times New Roman"/>
                <w:b w:val="false"/>
                <w:color w:val="000000"/>
                <w:sz w:val="17"/>
              </w:rPr>
              <w:br/>
            </w:r>
            <w:r>
              <w:rPr>
                <w:rFonts w:ascii="Times New Roman" w:hAnsi="Times New Roman"/>
                <w:b/>
                <w:color w:val="000000"/>
                <w:sz w:val="17"/>
              </w:rPr>
              <w:t>Registered</w:t>
            </w:r>
          </w:p>
        </w:tc>
      </w:tr>
      <w:tr>
        <w:trPr/>
        <w:tc>
          <w:tcPr>
            <w:tcW w:w="3181" w:type="dxa"/>
            <w:tcBorders/>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 par value $0.01 per share</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LRFC</w:t>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NASDAQ Global Select Market</w:t>
            </w:r>
          </w:p>
        </w:tc>
      </w:tr>
    </w:tbl>
    <w:p>
      <w:pPr>
        <w:pStyle w:val="TextBody"/>
        <w:bidi w:val="0"/>
        <w:jc w:val="both"/>
        <w:rPr>
          <w:rFonts w:ascii="Times New Roman" w:hAnsi="Times New Roman"/>
          <w:b w:val="false"/>
          <w:color w:val="000000"/>
          <w:sz w:val="16"/>
        </w:rPr>
      </w:pPr>
      <w:r>
        <w:rPr>
          <w:rFonts w:ascii="Times New Roman" w:hAnsi="Times New Roman"/>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1240" w:type="dxa"/>
        <w:jc w:val="left"/>
        <w:tblInd w:w="0" w:type="dxa"/>
        <w:tblLayout w:type="fixed"/>
        <w:tblCellMar>
          <w:top w:w="28" w:type="dxa"/>
          <w:left w:w="28" w:type="dxa"/>
          <w:bottom w:w="28" w:type="dxa"/>
          <w:right w:w="28" w:type="dxa"/>
        </w:tblCellMar>
      </w:tblPr>
      <w:tblGrid>
        <w:gridCol w:w="124"/>
        <w:gridCol w:w="109"/>
        <w:gridCol w:w="511"/>
        <w:gridCol w:w="4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Yes</w:t>
            </w:r>
            <w:r>
              <w:rPr>
                <w:rFonts w:ascii="Times New Roman" w:hAnsi="Times New Roman"/>
                <w:color w:val="000000"/>
                <w:sz w:val="16"/>
              </w:rPr>
              <w:t xml:space="preserve"> </w:t>
            </w:r>
            <w:r>
              <w:rPr>
                <w:rFonts w:ascii="Wingdings;serif" w:hAnsi="Wingdings;serif"/>
                <w:b w:val="false"/>
                <w:color w:val="000000"/>
                <w:sz w:val="16"/>
              </w:rPr>
              <w:t>x</w:t>
            </w:r>
          </w:p>
        </w:tc>
        <w:tc>
          <w:tcPr>
            <w:tcW w:w="496" w:type="dxa"/>
            <w:tcBorders/>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 xml:space="preserve">No </w:t>
            </w:r>
            <w:r>
              <w:rPr>
                <w:rFonts w:ascii="Wingdings;serif" w:hAnsi="Wingdings;serif"/>
                <w:b w:val="false"/>
                <w:color w:val="000000"/>
                <w:sz w:val="16"/>
              </w:rPr>
              <w:t>¨</w:t>
            </w:r>
          </w:p>
        </w:tc>
      </w:tr>
    </w:tbl>
    <w:p>
      <w:pPr>
        <w:pStyle w:val="TextBody"/>
        <w:bidi w:val="0"/>
        <w:jc w:val="both"/>
        <w:rPr>
          <w:rFonts w:ascii="Times New Roman" w:hAnsi="Times New Roman"/>
          <w:b w:val="false"/>
          <w:color w:val="000000"/>
          <w:sz w:val="16"/>
        </w:rPr>
      </w:pPr>
      <w:r>
        <w:rPr>
          <w:rFonts w:ascii="Times New Roman" w:hAnsi="Times New Roman"/>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1240" w:type="dxa"/>
        <w:jc w:val="left"/>
        <w:tblInd w:w="0" w:type="dxa"/>
        <w:tblLayout w:type="fixed"/>
        <w:tblCellMar>
          <w:top w:w="28" w:type="dxa"/>
          <w:left w:w="28" w:type="dxa"/>
          <w:bottom w:w="28" w:type="dxa"/>
          <w:right w:w="28" w:type="dxa"/>
        </w:tblCellMar>
      </w:tblPr>
      <w:tblGrid>
        <w:gridCol w:w="124"/>
        <w:gridCol w:w="109"/>
        <w:gridCol w:w="511"/>
        <w:gridCol w:w="4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Yes</w:t>
            </w:r>
            <w:r>
              <w:rPr>
                <w:rFonts w:ascii="Times New Roman" w:hAnsi="Times New Roman"/>
                <w:color w:val="000000"/>
                <w:sz w:val="16"/>
              </w:rPr>
              <w:t xml:space="preserve"> </w:t>
            </w:r>
            <w:r>
              <w:rPr>
                <w:rFonts w:ascii="Wingdings;serif" w:hAnsi="Wingdings;serif"/>
                <w:b w:val="false"/>
                <w:color w:val="000000"/>
                <w:sz w:val="16"/>
              </w:rPr>
              <w:t>x</w:t>
            </w:r>
          </w:p>
        </w:tc>
        <w:tc>
          <w:tcPr>
            <w:tcW w:w="496" w:type="dxa"/>
            <w:tcBorders/>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 xml:space="preserve">No </w:t>
            </w:r>
            <w:r>
              <w:rPr>
                <w:rFonts w:ascii="Wingdings;serif" w:hAnsi="Wingdings;serif"/>
                <w:b w:val="false"/>
                <w:color w:val="000000"/>
                <w:sz w:val="16"/>
              </w:rPr>
              <w:t>¨</w:t>
            </w:r>
          </w:p>
        </w:tc>
      </w:tr>
    </w:tbl>
    <w:p>
      <w:pPr>
        <w:pStyle w:val="TextBody"/>
        <w:bidi w:val="0"/>
        <w:jc w:val="both"/>
        <w:rPr>
          <w:rFonts w:ascii="Times New Roman" w:hAnsi="Times New Roman"/>
          <w:b w:val="false"/>
          <w:color w:val="000000"/>
          <w:sz w:val="16"/>
        </w:rPr>
      </w:pPr>
      <w:r>
        <w:rPr>
          <w:rFonts w:ascii="Times New Roman" w:hAnsi="Times New Roman"/>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43" w:type="dxa"/>
        <w:jc w:val="left"/>
        <w:tblInd w:w="0" w:type="dxa"/>
        <w:tblLayout w:type="fixed"/>
        <w:tblCellMar>
          <w:top w:w="28" w:type="dxa"/>
          <w:left w:w="28" w:type="dxa"/>
          <w:bottom w:w="28" w:type="dxa"/>
          <w:right w:w="28" w:type="dxa"/>
        </w:tblCellMar>
      </w:tblPr>
      <w:tblGrid>
        <w:gridCol w:w="124"/>
        <w:gridCol w:w="1696"/>
        <w:gridCol w:w="211"/>
        <w:gridCol w:w="2071"/>
        <w:gridCol w:w="241"/>
      </w:tblGrid>
      <w:tr>
        <w:trPr/>
        <w:tc>
          <w:tcPr>
            <w:tcW w:w="124"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Large accelerated filer</w:t>
            </w:r>
            <w:r>
              <w:rPr>
                <w:rFonts w:ascii="Times New Roman" w:hAnsi="Times New Roman"/>
                <w:color w:val="000000"/>
                <w:sz w:val="16"/>
              </w:rPr>
              <w:t xml:space="preserve"> </w:t>
            </w:r>
          </w:p>
        </w:tc>
        <w:tc>
          <w:tcPr>
            <w:tcW w:w="211" w:type="dxa"/>
            <w:tcBorders/>
            <w:vAlign w:val="center"/>
          </w:tcPr>
          <w:p>
            <w:pPr>
              <w:pStyle w:val="TableContents"/>
              <w:bidi w:val="0"/>
              <w:spacing w:before="0" w:after="283"/>
              <w:jc w:val="left"/>
              <w:rPr>
                <w:rFonts w:ascii="Wingdings;serif" w:hAnsi="Wingdings;serif"/>
                <w:b w:val="false"/>
                <w:color w:val="000000"/>
                <w:sz w:val="16"/>
              </w:rPr>
            </w:pPr>
            <w:r>
              <w:rPr>
                <w:rFonts w:ascii="Wingdings;serif" w:hAnsi="Wingdings;serif"/>
                <w:b w:val="false"/>
                <w:color w:val="000000"/>
                <w:sz w:val="16"/>
              </w:rPr>
              <w:t>¨</w:t>
            </w:r>
          </w:p>
        </w:tc>
        <w:tc>
          <w:tcPr>
            <w:tcW w:w="2071"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Accelerated filer</w:t>
            </w:r>
          </w:p>
        </w:tc>
        <w:tc>
          <w:tcPr>
            <w:tcW w:w="241" w:type="dxa"/>
            <w:tcBorders/>
            <w:vAlign w:val="center"/>
          </w:tcPr>
          <w:p>
            <w:pPr>
              <w:pStyle w:val="TableContents"/>
              <w:bidi w:val="0"/>
              <w:spacing w:before="0" w:after="283"/>
              <w:jc w:val="left"/>
              <w:rPr>
                <w:rFonts w:ascii="Wingdings;serif" w:hAnsi="Wingdings;serif"/>
                <w:b w:val="false"/>
                <w:color w:val="000000"/>
                <w:sz w:val="16"/>
              </w:rPr>
            </w:pPr>
            <w:r>
              <w:rPr>
                <w:rFonts w:ascii="Wingdings;serif" w:hAnsi="Wingdings;serif"/>
                <w:b w:val="false"/>
                <w:color w:val="000000"/>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Non-accelerated filer</w:t>
            </w:r>
          </w:p>
        </w:tc>
        <w:tc>
          <w:tcPr>
            <w:tcW w:w="211" w:type="dxa"/>
            <w:tcBorders/>
            <w:vAlign w:val="center"/>
          </w:tcPr>
          <w:p>
            <w:pPr>
              <w:pStyle w:val="TableContents"/>
              <w:bidi w:val="0"/>
              <w:spacing w:before="0" w:after="283"/>
              <w:jc w:val="left"/>
              <w:rPr>
                <w:rFonts w:ascii="Wingdings;serif" w:hAnsi="Wingdings;serif"/>
                <w:b w:val="false"/>
                <w:color w:val="000000"/>
                <w:sz w:val="16"/>
              </w:rPr>
            </w:pPr>
            <w:r>
              <w:rPr>
                <w:rFonts w:ascii="Wingdings;serif" w:hAnsi="Wingdings;serif"/>
                <w:b w:val="false"/>
                <w:color w:val="000000"/>
                <w:sz w:val="16"/>
              </w:rPr>
              <w:t>x</w:t>
            </w:r>
          </w:p>
        </w:tc>
        <w:tc>
          <w:tcPr>
            <w:tcW w:w="2071"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Smaller reporting company</w:t>
            </w:r>
          </w:p>
        </w:tc>
        <w:tc>
          <w:tcPr>
            <w:tcW w:w="241" w:type="dxa"/>
            <w:tcBorders/>
            <w:vAlign w:val="center"/>
          </w:tcPr>
          <w:p>
            <w:pPr>
              <w:pStyle w:val="TableContents"/>
              <w:bidi w:val="0"/>
              <w:spacing w:before="0" w:after="283"/>
              <w:jc w:val="left"/>
              <w:rPr>
                <w:rFonts w:ascii="Wingdings;serif" w:hAnsi="Wingdings;serif"/>
                <w:b w:val="false"/>
                <w:color w:val="000000"/>
                <w:sz w:val="16"/>
              </w:rPr>
            </w:pPr>
            <w:r>
              <w:rPr>
                <w:rFonts w:ascii="Wingdings;serif" w:hAnsi="Wingdings;serif"/>
                <w:b w:val="false"/>
                <w:color w:val="000000"/>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Emerging growth company</w:t>
            </w:r>
            <w:r>
              <w:rPr>
                <w:rFonts w:ascii="Times New Roman" w:hAnsi="Times New Roman"/>
                <w:color w:val="000000"/>
                <w:sz w:val="16"/>
              </w:rPr>
              <w:t xml:space="preserve"> </w:t>
            </w:r>
          </w:p>
        </w:tc>
        <w:tc>
          <w:tcPr>
            <w:tcW w:w="241" w:type="dxa"/>
            <w:tcBorders/>
            <w:vAlign w:val="center"/>
          </w:tcPr>
          <w:p>
            <w:pPr>
              <w:pStyle w:val="TableContents"/>
              <w:bidi w:val="0"/>
              <w:spacing w:before="0" w:after="283"/>
              <w:jc w:val="left"/>
              <w:rPr>
                <w:rFonts w:ascii="Wingdings;serif" w:hAnsi="Wingdings;serif"/>
                <w:b w:val="false"/>
                <w:color w:val="000000"/>
                <w:sz w:val="16"/>
              </w:rPr>
            </w:pPr>
            <w:r>
              <w:rPr>
                <w:rFonts w:ascii="Wingdings;serif" w:hAnsi="Wingdings;serif"/>
                <w:b w:val="false"/>
                <w:color w:val="000000"/>
                <w:sz w:val="16"/>
              </w:rPr>
              <w:t>¨</w:t>
            </w:r>
          </w:p>
        </w:tc>
      </w:tr>
    </w:tbl>
    <w:p>
      <w:pPr>
        <w:pStyle w:val="TextBody"/>
        <w:bidi w:val="0"/>
        <w:jc w:val="both"/>
        <w:rPr>
          <w:rFonts w:ascii="Times New Roman" w:hAnsi="Times New Roman"/>
          <w:b w:val="false"/>
          <w:color w:val="000000"/>
          <w:sz w:val="16"/>
        </w:rPr>
      </w:pPr>
      <w:r>
        <w:rPr>
          <w:rFonts w:ascii="Times New Roman" w:hAnsi="Times New Roman"/>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Indicate by check mark whether the registrant is a shell company (as defined in Rule 12b-2 of the Exchange Act).</w:t>
      </w:r>
    </w:p>
    <w:tbl>
      <w:tblPr>
        <w:tblW w:w="1240" w:type="dxa"/>
        <w:jc w:val="left"/>
        <w:tblInd w:w="0" w:type="dxa"/>
        <w:tblLayout w:type="fixed"/>
        <w:tblCellMar>
          <w:top w:w="28" w:type="dxa"/>
          <w:left w:w="28" w:type="dxa"/>
          <w:bottom w:w="28" w:type="dxa"/>
          <w:right w:w="28" w:type="dxa"/>
        </w:tblCellMar>
      </w:tblPr>
      <w:tblGrid>
        <w:gridCol w:w="124"/>
        <w:gridCol w:w="109"/>
        <w:gridCol w:w="496"/>
        <w:gridCol w:w="5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 xml:space="preserve">Yes </w:t>
            </w:r>
            <w:r>
              <w:rPr>
                <w:rFonts w:ascii="Wingdings;serif" w:hAnsi="Wingdings;serif"/>
                <w:b w:val="false"/>
                <w:color w:val="000000"/>
                <w:sz w:val="16"/>
              </w:rPr>
              <w:t>¨</w:t>
            </w:r>
          </w:p>
        </w:tc>
        <w:tc>
          <w:tcPr>
            <w:tcW w:w="511" w:type="dxa"/>
            <w:tcBorders/>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 xml:space="preserve">No </w:t>
            </w:r>
            <w:r>
              <w:rPr>
                <w:rFonts w:ascii="Wingdings;serif" w:hAnsi="Wingdings;serif"/>
                <w:b w:val="false"/>
                <w:color w:val="000000"/>
                <w:sz w:val="16"/>
              </w:rPr>
              <w:t>x</w:t>
            </w:r>
          </w:p>
        </w:tc>
      </w:tr>
    </w:tbl>
    <w:p>
      <w:pPr>
        <w:pStyle w:val="TextBody"/>
        <w:bidi w:val="0"/>
        <w:jc w:val="both"/>
        <w:rPr>
          <w:rFonts w:ascii="Times New Roman" w:hAnsi="Times New Roman"/>
          <w:b w:val="false"/>
          <w:color w:val="000000"/>
          <w:sz w:val="16"/>
        </w:rPr>
      </w:pPr>
      <w:r>
        <w:rPr>
          <w:rFonts w:ascii="Times New Roman" w:hAnsi="Times New Roman"/>
          <w:b w:val="false"/>
          <w:color w:val="000000"/>
          <w:sz w:val="16"/>
        </w:rPr>
        <w:t>The number of shares of Logan Ridge Finance Corporation’s common stock, $0.01 par value, outstanding as of November 6, 2023 was 2,675,940.</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TABLE OF CONTENTS</w:t>
      </w:r>
    </w:p>
    <w:tbl>
      <w:tblPr>
        <w:tblW w:w="10205" w:type="dxa"/>
        <w:jc w:val="left"/>
        <w:tblInd w:w="0" w:type="dxa"/>
        <w:tblLayout w:type="fixed"/>
        <w:tblCellMar>
          <w:top w:w="28" w:type="dxa"/>
          <w:left w:w="28" w:type="dxa"/>
          <w:bottom w:w="28" w:type="dxa"/>
          <w:right w:w="28" w:type="dxa"/>
        </w:tblCellMar>
      </w:tblPr>
      <w:tblGrid>
        <w:gridCol w:w="775"/>
        <w:gridCol w:w="8918"/>
        <w:gridCol w:w="512"/>
      </w:tblGrid>
      <w:tr>
        <w:trPr/>
        <w:tc>
          <w:tcPr>
            <w:tcW w:w="775" w:type="dxa"/>
            <w:tcBorders/>
            <w:vAlign w:val="center"/>
          </w:tcPr>
          <w:p>
            <w:pPr>
              <w:pStyle w:val="TableContents"/>
              <w:bidi w:val="0"/>
              <w:spacing w:before="0" w:after="283"/>
              <w:jc w:val="left"/>
              <w:rPr>
                <w:sz w:val="4"/>
                <w:szCs w:val="4"/>
              </w:rPr>
            </w:pPr>
            <w:r>
              <w:rPr>
                <w:sz w:val="4"/>
                <w:szCs w:val="4"/>
              </w:rPr>
            </w:r>
          </w:p>
        </w:tc>
        <w:tc>
          <w:tcPr>
            <w:tcW w:w="891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775" w:type="dxa"/>
            <w:tcBorders/>
            <w:vAlign w:val="center"/>
          </w:tcPr>
          <w:p>
            <w:pPr>
              <w:pStyle w:val="TableContents"/>
              <w:bidi w:val="0"/>
              <w:spacing w:before="0" w:after="283"/>
              <w:jc w:val="left"/>
              <w:rPr>
                <w:sz w:val="4"/>
                <w:szCs w:val="4"/>
              </w:rPr>
            </w:pPr>
            <w:r>
              <w:rPr>
                <w:sz w:val="4"/>
                <w:szCs w:val="4"/>
              </w:rPr>
            </w:r>
          </w:p>
        </w:tc>
        <w:tc>
          <w:tcPr>
            <w:tcW w:w="8918" w:type="dxa"/>
            <w:tcBorders/>
            <w:vAlign w:val="center"/>
          </w:tcPr>
          <w:p>
            <w:pPr>
              <w:pStyle w:val="TableContents"/>
              <w:bidi w:val="0"/>
              <w:spacing w:before="0" w:after="283"/>
              <w:jc w:val="left"/>
              <w:rPr>
                <w:sz w:val="4"/>
                <w:szCs w:val="4"/>
              </w:rPr>
            </w:pPr>
            <w:r>
              <w:rPr>
                <w:sz w:val="4"/>
                <w:szCs w:val="4"/>
              </w:rPr>
            </w:r>
          </w:p>
        </w:tc>
        <w:tc>
          <w:tcPr>
            <w:tcW w:w="51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775" w:type="dxa"/>
            <w:tcBorders/>
            <w:shd w:fill="CCEEFF" w:val="cle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16"/>
                  <w:u w:val="single"/>
                </w:rPr>
                <w:t>PART I.</w:t>
              </w:r>
            </w:hyperlink>
          </w:p>
        </w:tc>
        <w:tc>
          <w:tcPr>
            <w:tcW w:w="8918" w:type="dxa"/>
            <w:tcBorders/>
            <w:shd w:fill="CCEEFF" w:val="cle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16"/>
                  <w:u w:val="single"/>
                </w:rPr>
                <w:t>FINANCIAL INFORMATION</w:t>
              </w:r>
            </w:hyperlink>
          </w:p>
        </w:tc>
        <w:tc>
          <w:tcPr>
            <w:tcW w:w="512"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w:t>
            </w:r>
          </w:p>
        </w:tc>
      </w:tr>
      <w:tr>
        <w:trPr/>
        <w:tc>
          <w:tcPr>
            <w:tcW w:w="775" w:type="dxa"/>
            <w:tcBorders/>
            <w:shd w:fill="FFFFFF" w:val="clear"/>
            <w:vAlign w:val="center"/>
          </w:tcPr>
          <w:p>
            <w:pPr>
              <w:pStyle w:val="TableContents"/>
              <w:bidi w:val="0"/>
              <w:spacing w:before="0" w:after="283"/>
              <w:jc w:val="left"/>
              <w:rPr>
                <w:sz w:val="4"/>
                <w:szCs w:val="4"/>
              </w:rPr>
            </w:pPr>
            <w:r>
              <w:rPr>
                <w:sz w:val="4"/>
                <w:szCs w:val="4"/>
              </w:rPr>
            </w:r>
          </w:p>
        </w:tc>
        <w:tc>
          <w:tcPr>
            <w:tcW w:w="8918" w:type="dxa"/>
            <w:tcBorders/>
            <w:shd w:fill="FFFFFF" w:val="clear"/>
            <w:vAlign w:val="center"/>
          </w:tcPr>
          <w:p>
            <w:pPr>
              <w:pStyle w:val="TableContents"/>
              <w:bidi w:val="0"/>
              <w:spacing w:before="0" w:after="283"/>
              <w:jc w:val="left"/>
              <w:rPr>
                <w:sz w:val="4"/>
                <w:szCs w:val="4"/>
              </w:rPr>
            </w:pPr>
            <w:r>
              <w:rPr>
                <w:sz w:val="4"/>
                <w:szCs w:val="4"/>
              </w:rPr>
            </w:r>
          </w:p>
        </w:tc>
        <w:tc>
          <w:tcPr>
            <w:tcW w:w="512" w:type="dxa"/>
            <w:tcBorders/>
            <w:shd w:fill="FFFFFF" w:val="clear"/>
            <w:vAlign w:val="center"/>
          </w:tcPr>
          <w:p>
            <w:pPr>
              <w:pStyle w:val="TableContents"/>
              <w:bidi w:val="0"/>
              <w:spacing w:before="0" w:after="283"/>
              <w:jc w:val="left"/>
              <w:rPr>
                <w:sz w:val="4"/>
                <w:szCs w:val="4"/>
              </w:rPr>
            </w:pPr>
            <w:r>
              <w:rPr>
                <w:sz w:val="4"/>
                <w:szCs w:val="4"/>
              </w:rPr>
            </w:r>
          </w:p>
        </w:tc>
      </w:tr>
      <w:tr>
        <w:trPr/>
        <w:tc>
          <w:tcPr>
            <w:tcW w:w="775" w:type="dxa"/>
            <w:tcBorders/>
            <w:shd w:fill="CCEE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Item 1.</w:t>
            </w:r>
          </w:p>
        </w:tc>
        <w:tc>
          <w:tcPr>
            <w:tcW w:w="8918" w:type="dxa"/>
            <w:tcBorders/>
            <w:shd w:fill="CCEEFF" w:val="clear"/>
            <w:vAlign w:val="center"/>
          </w:tcPr>
          <w:p>
            <w:pPr>
              <w:pStyle w:val="TableContents"/>
              <w:bidi w:val="0"/>
              <w:spacing w:before="0" w:after="283"/>
              <w:jc w:val="left"/>
              <w:rPr/>
            </w:pPr>
            <w:hyperlink w:anchor="consolidated_financial_statements">
              <w:r>
                <w:rPr>
                  <w:rStyle w:val="InternetLink"/>
                  <w:rFonts w:ascii="Times New Roman" w:hAnsi="Times New Roman"/>
                  <w:b w:val="false"/>
                  <w:color w:val="0000FF"/>
                  <w:sz w:val="16"/>
                  <w:u w:val="single"/>
                </w:rPr>
                <w:t>Consolidated Financial Statements</w:t>
              </w:r>
            </w:hyperlink>
          </w:p>
        </w:tc>
        <w:tc>
          <w:tcPr>
            <w:tcW w:w="512"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w:t>
            </w:r>
          </w:p>
        </w:tc>
      </w:tr>
      <w:tr>
        <w:trPr/>
        <w:tc>
          <w:tcPr>
            <w:tcW w:w="775" w:type="dxa"/>
            <w:tcBorders/>
            <w:shd w:fill="FFFFFF" w:val="clear"/>
            <w:vAlign w:val="center"/>
          </w:tcPr>
          <w:p>
            <w:pPr>
              <w:pStyle w:val="TableContents"/>
              <w:bidi w:val="0"/>
              <w:spacing w:before="0" w:after="283"/>
              <w:jc w:val="left"/>
              <w:rPr>
                <w:sz w:val="4"/>
                <w:szCs w:val="4"/>
              </w:rPr>
            </w:pPr>
            <w:r>
              <w:rPr>
                <w:sz w:val="4"/>
                <w:szCs w:val="4"/>
              </w:rPr>
            </w:r>
          </w:p>
        </w:tc>
        <w:tc>
          <w:tcPr>
            <w:tcW w:w="8918" w:type="dxa"/>
            <w:tcBorders/>
            <w:shd w:fill="FFFFFF" w:val="clear"/>
            <w:vAlign w:val="center"/>
          </w:tcPr>
          <w:p>
            <w:pPr>
              <w:pStyle w:val="TableContents"/>
              <w:bidi w:val="0"/>
              <w:spacing w:before="0" w:after="283"/>
              <w:jc w:val="left"/>
              <w:rPr>
                <w:sz w:val="4"/>
                <w:szCs w:val="4"/>
              </w:rPr>
            </w:pPr>
            <w:r>
              <w:rPr>
                <w:sz w:val="4"/>
                <w:szCs w:val="4"/>
              </w:rPr>
            </w:r>
          </w:p>
        </w:tc>
        <w:tc>
          <w:tcPr>
            <w:tcW w:w="512" w:type="dxa"/>
            <w:tcBorders/>
            <w:shd w:fill="FFFFFF" w:val="clear"/>
            <w:vAlign w:val="center"/>
          </w:tcPr>
          <w:p>
            <w:pPr>
              <w:pStyle w:val="TableContents"/>
              <w:bidi w:val="0"/>
              <w:spacing w:before="0" w:after="283"/>
              <w:jc w:val="left"/>
              <w:rPr>
                <w:sz w:val="4"/>
                <w:szCs w:val="4"/>
              </w:rPr>
            </w:pPr>
            <w:r>
              <w:rPr>
                <w:sz w:val="4"/>
                <w:szCs w:val="4"/>
              </w:rPr>
            </w:r>
          </w:p>
        </w:tc>
      </w:tr>
      <w:tr>
        <w:trPr/>
        <w:tc>
          <w:tcPr>
            <w:tcW w:w="775" w:type="dxa"/>
            <w:tcBorders/>
            <w:shd w:fill="CCEEFF" w:val="clear"/>
            <w:vAlign w:val="center"/>
          </w:tcPr>
          <w:p>
            <w:pPr>
              <w:pStyle w:val="TableContents"/>
              <w:bidi w:val="0"/>
              <w:spacing w:before="0" w:after="283"/>
              <w:ind w:left="0" w:right="0" w:firstLine="187"/>
              <w:jc w:val="left"/>
              <w:rPr>
                <w:sz w:val="4"/>
                <w:szCs w:val="4"/>
              </w:rPr>
            </w:pPr>
            <w:r>
              <w:rPr>
                <w:sz w:val="4"/>
                <w:szCs w:val="4"/>
              </w:rPr>
            </w:r>
          </w:p>
        </w:tc>
        <w:tc>
          <w:tcPr>
            <w:tcW w:w="8918" w:type="dxa"/>
            <w:tcBorders/>
            <w:shd w:fill="CCEEFF" w:val="clear"/>
            <w:vAlign w:val="center"/>
          </w:tcPr>
          <w:p>
            <w:pPr>
              <w:pStyle w:val="TableContents"/>
              <w:pBdr/>
              <w:bidi w:val="0"/>
              <w:spacing w:before="0" w:after="283"/>
              <w:ind w:left="0" w:right="0" w:hanging="187"/>
              <w:jc w:val="left"/>
              <w:rPr/>
            </w:pPr>
            <w:hyperlink w:anchor="statements_of_assets_and_liabilities">
              <w:r>
                <w:rPr>
                  <w:rStyle w:val="InternetLink"/>
                  <w:rFonts w:ascii="Times New Roman" w:hAnsi="Times New Roman"/>
                  <w:b w:val="false"/>
                  <w:color w:val="0000FF"/>
                  <w:sz w:val="16"/>
                  <w:u w:val="single"/>
                </w:rPr>
                <w:t>Consolidated Statements of Assets and Liabilities as of September 30, 2023 (unaudited) and December 31, 2022</w:t>
              </w:r>
            </w:hyperlink>
          </w:p>
        </w:tc>
        <w:tc>
          <w:tcPr>
            <w:tcW w:w="512"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w:t>
            </w:r>
          </w:p>
        </w:tc>
      </w:tr>
      <w:tr>
        <w:trPr/>
        <w:tc>
          <w:tcPr>
            <w:tcW w:w="775" w:type="dxa"/>
            <w:tcBorders/>
            <w:shd w:fill="FFFFFF" w:val="clear"/>
            <w:vAlign w:val="center"/>
          </w:tcPr>
          <w:p>
            <w:pPr>
              <w:pStyle w:val="TableContents"/>
              <w:bidi w:val="0"/>
              <w:spacing w:before="0" w:after="283"/>
              <w:jc w:val="left"/>
              <w:rPr>
                <w:sz w:val="4"/>
                <w:szCs w:val="4"/>
              </w:rPr>
            </w:pPr>
            <w:r>
              <w:rPr>
                <w:sz w:val="4"/>
                <w:szCs w:val="4"/>
              </w:rPr>
            </w:r>
          </w:p>
        </w:tc>
        <w:tc>
          <w:tcPr>
            <w:tcW w:w="8918" w:type="dxa"/>
            <w:tcBorders/>
            <w:shd w:fill="FFFFFF" w:val="clear"/>
            <w:vAlign w:val="center"/>
          </w:tcPr>
          <w:p>
            <w:pPr>
              <w:pStyle w:val="TableContents"/>
              <w:bidi w:val="0"/>
              <w:spacing w:before="0" w:after="283"/>
              <w:jc w:val="left"/>
              <w:rPr>
                <w:sz w:val="4"/>
                <w:szCs w:val="4"/>
              </w:rPr>
            </w:pPr>
            <w:r>
              <w:rPr>
                <w:sz w:val="4"/>
                <w:szCs w:val="4"/>
              </w:rPr>
            </w:r>
          </w:p>
        </w:tc>
        <w:tc>
          <w:tcPr>
            <w:tcW w:w="512" w:type="dxa"/>
            <w:tcBorders/>
            <w:shd w:fill="FFFFFF" w:val="clear"/>
            <w:vAlign w:val="center"/>
          </w:tcPr>
          <w:p>
            <w:pPr>
              <w:pStyle w:val="TableContents"/>
              <w:bidi w:val="0"/>
              <w:spacing w:before="0" w:after="283"/>
              <w:jc w:val="left"/>
              <w:rPr>
                <w:sz w:val="4"/>
                <w:szCs w:val="4"/>
              </w:rPr>
            </w:pPr>
            <w:r>
              <w:rPr>
                <w:sz w:val="4"/>
                <w:szCs w:val="4"/>
              </w:rPr>
            </w:r>
          </w:p>
        </w:tc>
      </w:tr>
      <w:tr>
        <w:trPr/>
        <w:tc>
          <w:tcPr>
            <w:tcW w:w="775" w:type="dxa"/>
            <w:tcBorders/>
            <w:shd w:fill="CCEEFF" w:val="clear"/>
            <w:vAlign w:val="center"/>
          </w:tcPr>
          <w:p>
            <w:pPr>
              <w:pStyle w:val="TableContents"/>
              <w:bidi w:val="0"/>
              <w:spacing w:before="0" w:after="283"/>
              <w:ind w:left="0" w:right="0" w:firstLine="187"/>
              <w:jc w:val="left"/>
              <w:rPr>
                <w:sz w:val="4"/>
                <w:szCs w:val="4"/>
              </w:rPr>
            </w:pPr>
            <w:r>
              <w:rPr>
                <w:sz w:val="4"/>
                <w:szCs w:val="4"/>
              </w:rPr>
            </w:r>
          </w:p>
        </w:tc>
        <w:tc>
          <w:tcPr>
            <w:tcW w:w="8918" w:type="dxa"/>
            <w:tcBorders/>
            <w:shd w:fill="CCEEFF" w:val="clear"/>
            <w:vAlign w:val="center"/>
          </w:tcPr>
          <w:p>
            <w:pPr>
              <w:pStyle w:val="TableContents"/>
              <w:pBdr/>
              <w:bidi w:val="0"/>
              <w:spacing w:before="0" w:after="283"/>
              <w:ind w:left="0" w:right="0" w:hanging="187"/>
              <w:jc w:val="left"/>
              <w:rPr/>
            </w:pPr>
            <w:hyperlink w:anchor="statements_of_operations">
              <w:r>
                <w:rPr>
                  <w:rStyle w:val="InternetLink"/>
                  <w:rFonts w:ascii="Times New Roman" w:hAnsi="Times New Roman"/>
                  <w:b w:val="false"/>
                  <w:color w:val="0000FF"/>
                  <w:sz w:val="16"/>
                  <w:u w:val="single"/>
                </w:rPr>
                <w:t>Consolidated Statements of Operations for the three and nine months ended September 30, 2023 and 2022 (unaudited)</w:t>
              </w:r>
            </w:hyperlink>
          </w:p>
        </w:tc>
        <w:tc>
          <w:tcPr>
            <w:tcW w:w="512"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w:t>
            </w:r>
          </w:p>
        </w:tc>
      </w:tr>
      <w:tr>
        <w:trPr/>
        <w:tc>
          <w:tcPr>
            <w:tcW w:w="775" w:type="dxa"/>
            <w:tcBorders/>
            <w:shd w:fill="FFFFFF" w:val="clear"/>
            <w:vAlign w:val="center"/>
          </w:tcPr>
          <w:p>
            <w:pPr>
              <w:pStyle w:val="TableContents"/>
              <w:bidi w:val="0"/>
              <w:spacing w:before="0" w:after="283"/>
              <w:jc w:val="left"/>
              <w:rPr>
                <w:sz w:val="4"/>
                <w:szCs w:val="4"/>
              </w:rPr>
            </w:pPr>
            <w:r>
              <w:rPr>
                <w:sz w:val="4"/>
                <w:szCs w:val="4"/>
              </w:rPr>
            </w:r>
          </w:p>
        </w:tc>
        <w:tc>
          <w:tcPr>
            <w:tcW w:w="8918" w:type="dxa"/>
            <w:tcBorders/>
            <w:shd w:fill="FFFFFF" w:val="clear"/>
            <w:vAlign w:val="center"/>
          </w:tcPr>
          <w:p>
            <w:pPr>
              <w:pStyle w:val="TableContents"/>
              <w:bidi w:val="0"/>
              <w:spacing w:before="0" w:after="283"/>
              <w:jc w:val="left"/>
              <w:rPr>
                <w:sz w:val="4"/>
                <w:szCs w:val="4"/>
              </w:rPr>
            </w:pPr>
            <w:r>
              <w:rPr>
                <w:sz w:val="4"/>
                <w:szCs w:val="4"/>
              </w:rPr>
            </w:r>
          </w:p>
        </w:tc>
        <w:tc>
          <w:tcPr>
            <w:tcW w:w="512" w:type="dxa"/>
            <w:tcBorders/>
            <w:shd w:fill="FFFFFF" w:val="clear"/>
            <w:vAlign w:val="center"/>
          </w:tcPr>
          <w:p>
            <w:pPr>
              <w:pStyle w:val="TableContents"/>
              <w:bidi w:val="0"/>
              <w:spacing w:before="0" w:after="283"/>
              <w:jc w:val="left"/>
              <w:rPr>
                <w:sz w:val="4"/>
                <w:szCs w:val="4"/>
              </w:rPr>
            </w:pPr>
            <w:r>
              <w:rPr>
                <w:sz w:val="4"/>
                <w:szCs w:val="4"/>
              </w:rPr>
            </w:r>
          </w:p>
        </w:tc>
      </w:tr>
      <w:tr>
        <w:trPr/>
        <w:tc>
          <w:tcPr>
            <w:tcW w:w="775" w:type="dxa"/>
            <w:tcBorders/>
            <w:shd w:fill="CCEEFF" w:val="clear"/>
            <w:vAlign w:val="center"/>
          </w:tcPr>
          <w:p>
            <w:pPr>
              <w:pStyle w:val="TableContents"/>
              <w:bidi w:val="0"/>
              <w:spacing w:before="0" w:after="283"/>
              <w:ind w:left="0" w:right="0" w:firstLine="187"/>
              <w:jc w:val="left"/>
              <w:rPr>
                <w:sz w:val="4"/>
                <w:szCs w:val="4"/>
              </w:rPr>
            </w:pPr>
            <w:r>
              <w:rPr>
                <w:sz w:val="4"/>
                <w:szCs w:val="4"/>
              </w:rPr>
            </w:r>
          </w:p>
        </w:tc>
        <w:tc>
          <w:tcPr>
            <w:tcW w:w="8918" w:type="dxa"/>
            <w:tcBorders/>
            <w:shd w:fill="CCEEFF" w:val="clear"/>
            <w:vAlign w:val="center"/>
          </w:tcPr>
          <w:p>
            <w:pPr>
              <w:pStyle w:val="TableContents"/>
              <w:pBdr/>
              <w:bidi w:val="0"/>
              <w:spacing w:before="0" w:after="283"/>
              <w:ind w:left="0" w:right="0" w:hanging="187"/>
              <w:jc w:val="left"/>
              <w:rPr/>
            </w:pPr>
            <w:hyperlink w:anchor="statements_of_changes_in_net_assets">
              <w:r>
                <w:rPr>
                  <w:rStyle w:val="InternetLink"/>
                  <w:rFonts w:ascii="Times New Roman" w:hAnsi="Times New Roman"/>
                  <w:b w:val="false"/>
                  <w:color w:val="0000FF"/>
                  <w:sz w:val="16"/>
                  <w:u w:val="single"/>
                </w:rPr>
                <w:t>Consolidated Statements of Changes in Net Assets for the three and nine months ended September 30, 2023 and 2022 (unaudited)</w:t>
              </w:r>
            </w:hyperlink>
          </w:p>
        </w:tc>
        <w:tc>
          <w:tcPr>
            <w:tcW w:w="512"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w:t>
            </w:r>
          </w:p>
        </w:tc>
      </w:tr>
      <w:tr>
        <w:trPr/>
        <w:tc>
          <w:tcPr>
            <w:tcW w:w="775" w:type="dxa"/>
            <w:tcBorders/>
            <w:shd w:fill="FFFFFF" w:val="clear"/>
            <w:vAlign w:val="center"/>
          </w:tcPr>
          <w:p>
            <w:pPr>
              <w:pStyle w:val="TableContents"/>
              <w:bidi w:val="0"/>
              <w:spacing w:before="0" w:after="283"/>
              <w:jc w:val="left"/>
              <w:rPr>
                <w:sz w:val="4"/>
                <w:szCs w:val="4"/>
              </w:rPr>
            </w:pPr>
            <w:r>
              <w:rPr>
                <w:sz w:val="4"/>
                <w:szCs w:val="4"/>
              </w:rPr>
            </w:r>
          </w:p>
        </w:tc>
        <w:tc>
          <w:tcPr>
            <w:tcW w:w="8918" w:type="dxa"/>
            <w:tcBorders/>
            <w:shd w:fill="FFFFFF" w:val="clear"/>
            <w:vAlign w:val="center"/>
          </w:tcPr>
          <w:p>
            <w:pPr>
              <w:pStyle w:val="TableContents"/>
              <w:bidi w:val="0"/>
              <w:spacing w:before="0" w:after="283"/>
              <w:jc w:val="left"/>
              <w:rPr>
                <w:sz w:val="4"/>
                <w:szCs w:val="4"/>
              </w:rPr>
            </w:pPr>
            <w:r>
              <w:rPr>
                <w:sz w:val="4"/>
                <w:szCs w:val="4"/>
              </w:rPr>
            </w:r>
          </w:p>
        </w:tc>
        <w:tc>
          <w:tcPr>
            <w:tcW w:w="512" w:type="dxa"/>
            <w:tcBorders/>
            <w:shd w:fill="FFFFFF" w:val="clear"/>
            <w:vAlign w:val="center"/>
          </w:tcPr>
          <w:p>
            <w:pPr>
              <w:pStyle w:val="TableContents"/>
              <w:bidi w:val="0"/>
              <w:spacing w:before="0" w:after="283"/>
              <w:jc w:val="left"/>
              <w:rPr>
                <w:sz w:val="4"/>
                <w:szCs w:val="4"/>
              </w:rPr>
            </w:pPr>
            <w:r>
              <w:rPr>
                <w:sz w:val="4"/>
                <w:szCs w:val="4"/>
              </w:rPr>
            </w:r>
          </w:p>
        </w:tc>
      </w:tr>
      <w:tr>
        <w:trPr/>
        <w:tc>
          <w:tcPr>
            <w:tcW w:w="775" w:type="dxa"/>
            <w:tcBorders/>
            <w:shd w:fill="CCEEFF" w:val="clear"/>
            <w:vAlign w:val="center"/>
          </w:tcPr>
          <w:p>
            <w:pPr>
              <w:pStyle w:val="TableContents"/>
              <w:bidi w:val="0"/>
              <w:spacing w:before="0" w:after="283"/>
              <w:ind w:left="0" w:right="0" w:firstLine="187"/>
              <w:jc w:val="left"/>
              <w:rPr>
                <w:sz w:val="4"/>
                <w:szCs w:val="4"/>
              </w:rPr>
            </w:pPr>
            <w:r>
              <w:rPr>
                <w:sz w:val="4"/>
                <w:szCs w:val="4"/>
              </w:rPr>
            </w:r>
          </w:p>
        </w:tc>
        <w:tc>
          <w:tcPr>
            <w:tcW w:w="8918" w:type="dxa"/>
            <w:tcBorders/>
            <w:shd w:fill="CCEEFF" w:val="clear"/>
            <w:vAlign w:val="center"/>
          </w:tcPr>
          <w:p>
            <w:pPr>
              <w:pStyle w:val="TableContents"/>
              <w:pBdr/>
              <w:bidi w:val="0"/>
              <w:spacing w:before="0" w:after="283"/>
              <w:ind w:left="0" w:right="0" w:hanging="187"/>
              <w:jc w:val="left"/>
              <w:rPr/>
            </w:pPr>
            <w:hyperlink w:anchor="statements_of_cash_flows">
              <w:r>
                <w:rPr>
                  <w:rStyle w:val="InternetLink"/>
                  <w:rFonts w:ascii="Times New Roman" w:hAnsi="Times New Roman"/>
                  <w:b w:val="false"/>
                  <w:color w:val="0000FF"/>
                  <w:sz w:val="16"/>
                  <w:u w:val="single"/>
                </w:rPr>
                <w:t>Consolidated Statements of Cash Flows for the nine months ended September 30, 2023 and 2022 (unaudited)</w:t>
              </w:r>
            </w:hyperlink>
          </w:p>
        </w:tc>
        <w:tc>
          <w:tcPr>
            <w:tcW w:w="512"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w:t>
            </w:r>
          </w:p>
        </w:tc>
      </w:tr>
      <w:tr>
        <w:trPr/>
        <w:tc>
          <w:tcPr>
            <w:tcW w:w="775" w:type="dxa"/>
            <w:tcBorders/>
            <w:shd w:fill="FFFFFF" w:val="clear"/>
            <w:vAlign w:val="center"/>
          </w:tcPr>
          <w:p>
            <w:pPr>
              <w:pStyle w:val="TableContents"/>
              <w:bidi w:val="0"/>
              <w:spacing w:before="0" w:after="283"/>
              <w:jc w:val="left"/>
              <w:rPr>
                <w:sz w:val="4"/>
                <w:szCs w:val="4"/>
              </w:rPr>
            </w:pPr>
            <w:r>
              <w:rPr>
                <w:sz w:val="4"/>
                <w:szCs w:val="4"/>
              </w:rPr>
            </w:r>
          </w:p>
        </w:tc>
        <w:tc>
          <w:tcPr>
            <w:tcW w:w="8918" w:type="dxa"/>
            <w:tcBorders/>
            <w:shd w:fill="FFFFFF" w:val="clear"/>
            <w:vAlign w:val="center"/>
          </w:tcPr>
          <w:p>
            <w:pPr>
              <w:pStyle w:val="TableContents"/>
              <w:bidi w:val="0"/>
              <w:spacing w:before="0" w:after="283"/>
              <w:jc w:val="left"/>
              <w:rPr>
                <w:sz w:val="4"/>
                <w:szCs w:val="4"/>
              </w:rPr>
            </w:pPr>
            <w:r>
              <w:rPr>
                <w:sz w:val="4"/>
                <w:szCs w:val="4"/>
              </w:rPr>
            </w:r>
          </w:p>
        </w:tc>
        <w:tc>
          <w:tcPr>
            <w:tcW w:w="512" w:type="dxa"/>
            <w:tcBorders/>
            <w:shd w:fill="FFFFFF" w:val="clear"/>
            <w:vAlign w:val="center"/>
          </w:tcPr>
          <w:p>
            <w:pPr>
              <w:pStyle w:val="TableContents"/>
              <w:bidi w:val="0"/>
              <w:spacing w:before="0" w:after="283"/>
              <w:jc w:val="left"/>
              <w:rPr>
                <w:sz w:val="4"/>
                <w:szCs w:val="4"/>
              </w:rPr>
            </w:pPr>
            <w:r>
              <w:rPr>
                <w:sz w:val="4"/>
                <w:szCs w:val="4"/>
              </w:rPr>
            </w:r>
          </w:p>
        </w:tc>
      </w:tr>
      <w:tr>
        <w:trPr/>
        <w:tc>
          <w:tcPr>
            <w:tcW w:w="775" w:type="dxa"/>
            <w:tcBorders/>
            <w:shd w:fill="CCEEFF" w:val="clear"/>
            <w:vAlign w:val="center"/>
          </w:tcPr>
          <w:p>
            <w:pPr>
              <w:pStyle w:val="TableContents"/>
              <w:bidi w:val="0"/>
              <w:spacing w:before="0" w:after="283"/>
              <w:ind w:left="0" w:right="0" w:firstLine="187"/>
              <w:jc w:val="left"/>
              <w:rPr>
                <w:sz w:val="4"/>
                <w:szCs w:val="4"/>
              </w:rPr>
            </w:pPr>
            <w:r>
              <w:rPr>
                <w:sz w:val="4"/>
                <w:szCs w:val="4"/>
              </w:rPr>
            </w:r>
          </w:p>
        </w:tc>
        <w:tc>
          <w:tcPr>
            <w:tcW w:w="8918" w:type="dxa"/>
            <w:tcBorders/>
            <w:shd w:fill="CCEEFF" w:val="clear"/>
            <w:vAlign w:val="center"/>
          </w:tcPr>
          <w:p>
            <w:pPr>
              <w:pStyle w:val="TableContents"/>
              <w:pBdr/>
              <w:bidi w:val="0"/>
              <w:spacing w:before="0" w:after="283"/>
              <w:ind w:left="0" w:right="0" w:hanging="187"/>
              <w:jc w:val="left"/>
              <w:rPr/>
            </w:pPr>
            <w:hyperlink w:anchor="schedule_of_investments">
              <w:r>
                <w:rPr>
                  <w:rStyle w:val="InternetLink"/>
                  <w:rFonts w:ascii="Times New Roman" w:hAnsi="Times New Roman"/>
                  <w:b w:val="false"/>
                  <w:color w:val="0000FF"/>
                  <w:sz w:val="16"/>
                  <w:u w:val="single"/>
                </w:rPr>
                <w:t>Consolidated Schedules of Investments as of September 30, 2023 (unaudited) and December 31, 2022</w:t>
              </w:r>
            </w:hyperlink>
          </w:p>
        </w:tc>
        <w:tc>
          <w:tcPr>
            <w:tcW w:w="512"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w:t>
            </w:r>
          </w:p>
        </w:tc>
      </w:tr>
      <w:tr>
        <w:trPr/>
        <w:tc>
          <w:tcPr>
            <w:tcW w:w="775" w:type="dxa"/>
            <w:tcBorders/>
            <w:shd w:fill="FFFFFF" w:val="clear"/>
            <w:vAlign w:val="center"/>
          </w:tcPr>
          <w:p>
            <w:pPr>
              <w:pStyle w:val="TableContents"/>
              <w:bidi w:val="0"/>
              <w:spacing w:before="0" w:after="283"/>
              <w:jc w:val="left"/>
              <w:rPr>
                <w:sz w:val="4"/>
                <w:szCs w:val="4"/>
              </w:rPr>
            </w:pPr>
            <w:r>
              <w:rPr>
                <w:sz w:val="4"/>
                <w:szCs w:val="4"/>
              </w:rPr>
            </w:r>
          </w:p>
        </w:tc>
        <w:tc>
          <w:tcPr>
            <w:tcW w:w="8918" w:type="dxa"/>
            <w:tcBorders/>
            <w:shd w:fill="FFFFFF" w:val="clear"/>
            <w:vAlign w:val="center"/>
          </w:tcPr>
          <w:p>
            <w:pPr>
              <w:pStyle w:val="TableContents"/>
              <w:bidi w:val="0"/>
              <w:spacing w:before="0" w:after="283"/>
              <w:jc w:val="left"/>
              <w:rPr>
                <w:sz w:val="4"/>
                <w:szCs w:val="4"/>
              </w:rPr>
            </w:pPr>
            <w:r>
              <w:rPr>
                <w:sz w:val="4"/>
                <w:szCs w:val="4"/>
              </w:rPr>
            </w:r>
          </w:p>
        </w:tc>
        <w:tc>
          <w:tcPr>
            <w:tcW w:w="512" w:type="dxa"/>
            <w:tcBorders/>
            <w:shd w:fill="FFFFFF" w:val="clear"/>
            <w:vAlign w:val="center"/>
          </w:tcPr>
          <w:p>
            <w:pPr>
              <w:pStyle w:val="TableContents"/>
              <w:bidi w:val="0"/>
              <w:spacing w:before="0" w:after="283"/>
              <w:jc w:val="left"/>
              <w:rPr>
                <w:sz w:val="4"/>
                <w:szCs w:val="4"/>
              </w:rPr>
            </w:pPr>
            <w:r>
              <w:rPr>
                <w:sz w:val="4"/>
                <w:szCs w:val="4"/>
              </w:rPr>
            </w:r>
          </w:p>
        </w:tc>
      </w:tr>
      <w:tr>
        <w:trPr/>
        <w:tc>
          <w:tcPr>
            <w:tcW w:w="775" w:type="dxa"/>
            <w:tcBorders/>
            <w:shd w:fill="CCEEFF" w:val="clear"/>
            <w:vAlign w:val="center"/>
          </w:tcPr>
          <w:p>
            <w:pPr>
              <w:pStyle w:val="TableContents"/>
              <w:bidi w:val="0"/>
              <w:spacing w:before="0" w:after="283"/>
              <w:ind w:left="0" w:right="0" w:firstLine="187"/>
              <w:jc w:val="left"/>
              <w:rPr>
                <w:sz w:val="4"/>
                <w:szCs w:val="4"/>
              </w:rPr>
            </w:pPr>
            <w:r>
              <w:rPr>
                <w:sz w:val="4"/>
                <w:szCs w:val="4"/>
              </w:rPr>
            </w:r>
          </w:p>
        </w:tc>
        <w:tc>
          <w:tcPr>
            <w:tcW w:w="8918" w:type="dxa"/>
            <w:tcBorders/>
            <w:shd w:fill="CCEEFF" w:val="clear"/>
            <w:vAlign w:val="center"/>
          </w:tcPr>
          <w:p>
            <w:pPr>
              <w:pStyle w:val="TableContents"/>
              <w:pBdr/>
              <w:bidi w:val="0"/>
              <w:spacing w:before="0" w:after="283"/>
              <w:ind w:left="0" w:right="0" w:hanging="187"/>
              <w:jc w:val="left"/>
              <w:rPr/>
            </w:pPr>
            <w:hyperlink w:anchor="notes_to_consolidated_financial">
              <w:r>
                <w:rPr>
                  <w:rStyle w:val="InternetLink"/>
                  <w:rFonts w:ascii="Times New Roman" w:hAnsi="Times New Roman"/>
                  <w:b w:val="false"/>
                  <w:color w:val="0000FF"/>
                  <w:sz w:val="16"/>
                  <w:u w:val="single"/>
                </w:rPr>
                <w:t>Notes to Consolidated Financial Statements as of and for the period ended September 30, 2023 (unaudited)</w:t>
              </w:r>
            </w:hyperlink>
          </w:p>
        </w:tc>
        <w:tc>
          <w:tcPr>
            <w:tcW w:w="512"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w:t>
            </w:r>
          </w:p>
        </w:tc>
      </w:tr>
      <w:tr>
        <w:trPr/>
        <w:tc>
          <w:tcPr>
            <w:tcW w:w="775" w:type="dxa"/>
            <w:tcBorders/>
            <w:shd w:fill="FFFFFF" w:val="clear"/>
            <w:vAlign w:val="center"/>
          </w:tcPr>
          <w:p>
            <w:pPr>
              <w:pStyle w:val="TableContents"/>
              <w:bidi w:val="0"/>
              <w:spacing w:before="0" w:after="283"/>
              <w:jc w:val="left"/>
              <w:rPr>
                <w:sz w:val="4"/>
                <w:szCs w:val="4"/>
              </w:rPr>
            </w:pPr>
            <w:r>
              <w:rPr>
                <w:sz w:val="4"/>
                <w:szCs w:val="4"/>
              </w:rPr>
            </w:r>
          </w:p>
        </w:tc>
        <w:tc>
          <w:tcPr>
            <w:tcW w:w="8918" w:type="dxa"/>
            <w:tcBorders/>
            <w:shd w:fill="FFFFFF" w:val="clear"/>
            <w:vAlign w:val="center"/>
          </w:tcPr>
          <w:p>
            <w:pPr>
              <w:pStyle w:val="TableContents"/>
              <w:bidi w:val="0"/>
              <w:spacing w:before="0" w:after="283"/>
              <w:jc w:val="left"/>
              <w:rPr>
                <w:sz w:val="4"/>
                <w:szCs w:val="4"/>
              </w:rPr>
            </w:pPr>
            <w:r>
              <w:rPr>
                <w:sz w:val="4"/>
                <w:szCs w:val="4"/>
              </w:rPr>
            </w:r>
          </w:p>
        </w:tc>
        <w:tc>
          <w:tcPr>
            <w:tcW w:w="512" w:type="dxa"/>
            <w:tcBorders/>
            <w:shd w:fill="FFFFFF" w:val="clear"/>
            <w:vAlign w:val="center"/>
          </w:tcPr>
          <w:p>
            <w:pPr>
              <w:pStyle w:val="TableContents"/>
              <w:bidi w:val="0"/>
              <w:spacing w:before="0" w:after="283"/>
              <w:jc w:val="left"/>
              <w:rPr>
                <w:sz w:val="4"/>
                <w:szCs w:val="4"/>
              </w:rPr>
            </w:pPr>
            <w:r>
              <w:rPr>
                <w:sz w:val="4"/>
                <w:szCs w:val="4"/>
              </w:rPr>
            </w:r>
          </w:p>
        </w:tc>
      </w:tr>
      <w:tr>
        <w:trPr/>
        <w:tc>
          <w:tcPr>
            <w:tcW w:w="775" w:type="dxa"/>
            <w:tcBorders/>
            <w:shd w:fill="CCEEFF" w:val="clear"/>
            <w:vAlign w:val="center"/>
          </w:tcPr>
          <w:p>
            <w:pPr>
              <w:pStyle w:val="TableContents"/>
              <w:bidi w:val="0"/>
              <w:spacing w:before="0" w:after="283"/>
              <w:jc w:val="left"/>
              <w:rPr/>
            </w:pPr>
            <w:hyperlink w:anchor="item_2_management_discussion">
              <w:r>
                <w:rPr>
                  <w:rStyle w:val="InternetLink"/>
                  <w:rFonts w:ascii="Times New Roman" w:hAnsi="Times New Roman"/>
                  <w:b w:val="false"/>
                  <w:color w:val="0000FF"/>
                  <w:sz w:val="16"/>
                  <w:u w:val="single"/>
                </w:rPr>
                <w:t>Item 2.</w:t>
              </w:r>
            </w:hyperlink>
          </w:p>
        </w:tc>
        <w:tc>
          <w:tcPr>
            <w:tcW w:w="8918" w:type="dxa"/>
            <w:tcBorders/>
            <w:shd w:fill="CCEEFF" w:val="clear"/>
            <w:vAlign w:val="center"/>
          </w:tcPr>
          <w:p>
            <w:pPr>
              <w:pStyle w:val="TableContents"/>
              <w:bidi w:val="0"/>
              <w:spacing w:before="0" w:after="283"/>
              <w:jc w:val="left"/>
              <w:rPr/>
            </w:pPr>
            <w:hyperlink w:anchor="item_2_management_discussion">
              <w:r>
                <w:rPr>
                  <w:rStyle w:val="InternetLink"/>
                  <w:rFonts w:ascii="Times New Roman" w:hAnsi="Times New Roman"/>
                  <w:b w:val="false"/>
                  <w:color w:val="0000FF"/>
                  <w:sz w:val="16"/>
                  <w:u w:val="single"/>
                </w:rPr>
                <w:t>Management’s Discussion and Analysis of Financial Condition and Results of Operations</w:t>
              </w:r>
            </w:hyperlink>
          </w:p>
        </w:tc>
        <w:tc>
          <w:tcPr>
            <w:tcW w:w="512"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w:t>
            </w:r>
          </w:p>
        </w:tc>
      </w:tr>
      <w:tr>
        <w:trPr/>
        <w:tc>
          <w:tcPr>
            <w:tcW w:w="775" w:type="dxa"/>
            <w:tcBorders/>
            <w:shd w:fill="FFFFFF" w:val="clear"/>
            <w:vAlign w:val="center"/>
          </w:tcPr>
          <w:p>
            <w:pPr>
              <w:pStyle w:val="TableContents"/>
              <w:bidi w:val="0"/>
              <w:spacing w:before="0" w:after="283"/>
              <w:jc w:val="left"/>
              <w:rPr>
                <w:sz w:val="4"/>
                <w:szCs w:val="4"/>
              </w:rPr>
            </w:pPr>
            <w:r>
              <w:rPr>
                <w:sz w:val="4"/>
                <w:szCs w:val="4"/>
              </w:rPr>
            </w:r>
          </w:p>
        </w:tc>
        <w:tc>
          <w:tcPr>
            <w:tcW w:w="8918" w:type="dxa"/>
            <w:tcBorders/>
            <w:shd w:fill="FFFFFF" w:val="clear"/>
            <w:vAlign w:val="center"/>
          </w:tcPr>
          <w:p>
            <w:pPr>
              <w:pStyle w:val="TableContents"/>
              <w:bidi w:val="0"/>
              <w:spacing w:before="0" w:after="283"/>
              <w:jc w:val="left"/>
              <w:rPr>
                <w:sz w:val="4"/>
                <w:szCs w:val="4"/>
              </w:rPr>
            </w:pPr>
            <w:r>
              <w:rPr>
                <w:sz w:val="4"/>
                <w:szCs w:val="4"/>
              </w:rPr>
            </w:r>
          </w:p>
        </w:tc>
        <w:tc>
          <w:tcPr>
            <w:tcW w:w="512" w:type="dxa"/>
            <w:tcBorders/>
            <w:shd w:fill="FFFFFF" w:val="clear"/>
            <w:vAlign w:val="center"/>
          </w:tcPr>
          <w:p>
            <w:pPr>
              <w:pStyle w:val="TableContents"/>
              <w:bidi w:val="0"/>
              <w:spacing w:before="0" w:after="283"/>
              <w:jc w:val="right"/>
              <w:rPr/>
            </w:pPr>
            <w:r>
              <w:rPr/>
              <w:t> </w:t>
            </w:r>
          </w:p>
        </w:tc>
      </w:tr>
      <w:tr>
        <w:trPr/>
        <w:tc>
          <w:tcPr>
            <w:tcW w:w="775" w:type="dxa"/>
            <w:tcBorders/>
            <w:shd w:fill="CCEEFF" w:val="clear"/>
            <w:vAlign w:val="center"/>
          </w:tcPr>
          <w:p>
            <w:pPr>
              <w:pStyle w:val="TableContents"/>
              <w:bidi w:val="0"/>
              <w:spacing w:before="0" w:after="283"/>
              <w:jc w:val="left"/>
              <w:rPr/>
            </w:pPr>
            <w:hyperlink w:anchor="item_3_quantitative_and_qualitative">
              <w:r>
                <w:rPr>
                  <w:rStyle w:val="InternetLink"/>
                  <w:rFonts w:ascii="Times New Roman" w:hAnsi="Times New Roman"/>
                  <w:b w:val="false"/>
                  <w:color w:val="0000FF"/>
                  <w:sz w:val="16"/>
                  <w:u w:val="single"/>
                </w:rPr>
                <w:t>Item 3.</w:t>
              </w:r>
            </w:hyperlink>
          </w:p>
        </w:tc>
        <w:tc>
          <w:tcPr>
            <w:tcW w:w="8918" w:type="dxa"/>
            <w:tcBorders/>
            <w:shd w:fill="CCEEFF" w:val="clear"/>
            <w:vAlign w:val="center"/>
          </w:tcPr>
          <w:p>
            <w:pPr>
              <w:pStyle w:val="TableContents"/>
              <w:bidi w:val="0"/>
              <w:spacing w:before="0" w:after="283"/>
              <w:jc w:val="left"/>
              <w:rPr/>
            </w:pPr>
            <w:hyperlink w:anchor="item_3_quantitative_and_qualitative">
              <w:r>
                <w:rPr>
                  <w:rStyle w:val="InternetLink"/>
                  <w:rFonts w:ascii="Times New Roman" w:hAnsi="Times New Roman"/>
                  <w:b w:val="false"/>
                  <w:color w:val="0000FF"/>
                  <w:sz w:val="16"/>
                  <w:u w:val="single"/>
                </w:rPr>
                <w:t>Quantitative and Qualitative Disclosures About Market Risk</w:t>
              </w:r>
            </w:hyperlink>
          </w:p>
        </w:tc>
        <w:tc>
          <w:tcPr>
            <w:tcW w:w="512"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w:t>
            </w:r>
          </w:p>
        </w:tc>
      </w:tr>
      <w:tr>
        <w:trPr/>
        <w:tc>
          <w:tcPr>
            <w:tcW w:w="775" w:type="dxa"/>
            <w:tcBorders/>
            <w:shd w:fill="FFFFFF" w:val="clear"/>
            <w:vAlign w:val="center"/>
          </w:tcPr>
          <w:p>
            <w:pPr>
              <w:pStyle w:val="TableContents"/>
              <w:bidi w:val="0"/>
              <w:spacing w:before="0" w:after="283"/>
              <w:jc w:val="left"/>
              <w:rPr>
                <w:sz w:val="4"/>
                <w:szCs w:val="4"/>
              </w:rPr>
            </w:pPr>
            <w:r>
              <w:rPr>
                <w:sz w:val="4"/>
                <w:szCs w:val="4"/>
              </w:rPr>
            </w:r>
          </w:p>
        </w:tc>
        <w:tc>
          <w:tcPr>
            <w:tcW w:w="8918" w:type="dxa"/>
            <w:tcBorders/>
            <w:shd w:fill="FFFFFF" w:val="clear"/>
            <w:vAlign w:val="center"/>
          </w:tcPr>
          <w:p>
            <w:pPr>
              <w:pStyle w:val="TableContents"/>
              <w:bidi w:val="0"/>
              <w:spacing w:before="0" w:after="283"/>
              <w:jc w:val="left"/>
              <w:rPr>
                <w:sz w:val="4"/>
                <w:szCs w:val="4"/>
              </w:rPr>
            </w:pPr>
            <w:r>
              <w:rPr>
                <w:sz w:val="4"/>
                <w:szCs w:val="4"/>
              </w:rPr>
            </w:r>
          </w:p>
        </w:tc>
        <w:tc>
          <w:tcPr>
            <w:tcW w:w="512" w:type="dxa"/>
            <w:tcBorders/>
            <w:shd w:fill="FFFFFF" w:val="clear"/>
            <w:vAlign w:val="center"/>
          </w:tcPr>
          <w:p>
            <w:pPr>
              <w:pStyle w:val="TableContents"/>
              <w:bidi w:val="0"/>
              <w:spacing w:before="0" w:after="283"/>
              <w:jc w:val="right"/>
              <w:rPr/>
            </w:pPr>
            <w:r>
              <w:rPr/>
              <w:t> </w:t>
            </w:r>
          </w:p>
        </w:tc>
      </w:tr>
      <w:tr>
        <w:trPr/>
        <w:tc>
          <w:tcPr>
            <w:tcW w:w="775" w:type="dxa"/>
            <w:tcBorders/>
            <w:shd w:fill="CCEEFF" w:val="clear"/>
            <w:vAlign w:val="center"/>
          </w:tcPr>
          <w:p>
            <w:pPr>
              <w:pStyle w:val="TableContents"/>
              <w:bidi w:val="0"/>
              <w:spacing w:before="0" w:after="283"/>
              <w:jc w:val="left"/>
              <w:rPr/>
            </w:pPr>
            <w:hyperlink w:anchor="item_4_controls_and_procedures">
              <w:r>
                <w:rPr>
                  <w:rStyle w:val="InternetLink"/>
                  <w:rFonts w:ascii="Times New Roman" w:hAnsi="Times New Roman"/>
                  <w:b w:val="false"/>
                  <w:color w:val="0000FF"/>
                  <w:sz w:val="16"/>
                  <w:u w:val="single"/>
                </w:rPr>
                <w:t>Item 4.</w:t>
              </w:r>
            </w:hyperlink>
          </w:p>
        </w:tc>
        <w:tc>
          <w:tcPr>
            <w:tcW w:w="8918" w:type="dxa"/>
            <w:tcBorders/>
            <w:shd w:fill="CCEEFF" w:val="clear"/>
            <w:vAlign w:val="center"/>
          </w:tcPr>
          <w:p>
            <w:pPr>
              <w:pStyle w:val="TableContents"/>
              <w:bidi w:val="0"/>
              <w:spacing w:before="0" w:after="283"/>
              <w:jc w:val="left"/>
              <w:rPr/>
            </w:pPr>
            <w:hyperlink w:anchor="item_4_controls_and_procedures">
              <w:r>
                <w:rPr>
                  <w:rStyle w:val="InternetLink"/>
                  <w:rFonts w:ascii="Times New Roman" w:hAnsi="Times New Roman"/>
                  <w:b w:val="false"/>
                  <w:color w:val="0000FF"/>
                  <w:sz w:val="16"/>
                  <w:u w:val="single"/>
                </w:rPr>
                <w:t>Controls and Procedures</w:t>
              </w:r>
            </w:hyperlink>
          </w:p>
        </w:tc>
        <w:tc>
          <w:tcPr>
            <w:tcW w:w="512"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w:t>
            </w:r>
          </w:p>
        </w:tc>
      </w:tr>
      <w:tr>
        <w:trPr/>
        <w:tc>
          <w:tcPr>
            <w:tcW w:w="775" w:type="dxa"/>
            <w:tcBorders/>
            <w:shd w:fill="FFFFFF" w:val="clear"/>
            <w:vAlign w:val="center"/>
          </w:tcPr>
          <w:p>
            <w:pPr>
              <w:pStyle w:val="TableContents"/>
              <w:bidi w:val="0"/>
              <w:spacing w:before="0" w:after="283"/>
              <w:jc w:val="left"/>
              <w:rPr>
                <w:sz w:val="4"/>
                <w:szCs w:val="4"/>
              </w:rPr>
            </w:pPr>
            <w:r>
              <w:rPr>
                <w:sz w:val="4"/>
                <w:szCs w:val="4"/>
              </w:rPr>
            </w:r>
          </w:p>
        </w:tc>
        <w:tc>
          <w:tcPr>
            <w:tcW w:w="8918" w:type="dxa"/>
            <w:tcBorders/>
            <w:shd w:fill="FFFFFF" w:val="clear"/>
            <w:vAlign w:val="center"/>
          </w:tcPr>
          <w:p>
            <w:pPr>
              <w:pStyle w:val="TableContents"/>
              <w:bidi w:val="0"/>
              <w:spacing w:before="0" w:after="283"/>
              <w:jc w:val="left"/>
              <w:rPr>
                <w:sz w:val="4"/>
                <w:szCs w:val="4"/>
              </w:rPr>
            </w:pPr>
            <w:r>
              <w:rPr>
                <w:sz w:val="4"/>
                <w:szCs w:val="4"/>
              </w:rPr>
            </w:r>
          </w:p>
        </w:tc>
        <w:tc>
          <w:tcPr>
            <w:tcW w:w="512" w:type="dxa"/>
            <w:tcBorders/>
            <w:shd w:fill="FFFFFF" w:val="clear"/>
            <w:vAlign w:val="center"/>
          </w:tcPr>
          <w:p>
            <w:pPr>
              <w:pStyle w:val="TableContents"/>
              <w:bidi w:val="0"/>
              <w:spacing w:before="0" w:after="283"/>
              <w:jc w:val="right"/>
              <w:rPr/>
            </w:pPr>
            <w:r>
              <w:rPr/>
              <w:t> </w:t>
            </w:r>
          </w:p>
        </w:tc>
      </w:tr>
      <w:tr>
        <w:trPr/>
        <w:tc>
          <w:tcPr>
            <w:tcW w:w="775" w:type="dxa"/>
            <w:tcBorders/>
            <w:shd w:fill="CCEEFF" w:val="clear"/>
            <w:vAlign w:val="center"/>
          </w:tcPr>
          <w:p>
            <w:pPr>
              <w:pStyle w:val="TableContents"/>
              <w:bidi w:val="0"/>
              <w:spacing w:before="0" w:after="283"/>
              <w:jc w:val="left"/>
              <w:rPr/>
            </w:pPr>
            <w:hyperlink w:anchor="part_ii_other_information">
              <w:r>
                <w:rPr>
                  <w:rStyle w:val="InternetLink"/>
                  <w:rFonts w:ascii="Times New Roman" w:hAnsi="Times New Roman"/>
                  <w:b/>
                  <w:color w:val="0000FF"/>
                  <w:sz w:val="16"/>
                  <w:u w:val="single"/>
                </w:rPr>
                <w:t>PART II.</w:t>
              </w:r>
            </w:hyperlink>
          </w:p>
        </w:tc>
        <w:tc>
          <w:tcPr>
            <w:tcW w:w="8918" w:type="dxa"/>
            <w:tcBorders/>
            <w:shd w:fill="CCEEFF" w:val="clear"/>
            <w:vAlign w:val="center"/>
          </w:tcPr>
          <w:p>
            <w:pPr>
              <w:pStyle w:val="TableContents"/>
              <w:bidi w:val="0"/>
              <w:spacing w:before="0" w:after="283"/>
              <w:jc w:val="left"/>
              <w:rPr/>
            </w:pPr>
            <w:hyperlink w:anchor="part_ii_other_information">
              <w:r>
                <w:rPr>
                  <w:rStyle w:val="InternetLink"/>
                  <w:rFonts w:ascii="Times New Roman" w:hAnsi="Times New Roman"/>
                  <w:b/>
                  <w:color w:val="0000FF"/>
                  <w:sz w:val="16"/>
                  <w:u w:val="single"/>
                </w:rPr>
                <w:t>OTHER INFORMATION</w:t>
              </w:r>
            </w:hyperlink>
          </w:p>
        </w:tc>
        <w:tc>
          <w:tcPr>
            <w:tcW w:w="512"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w:t>
            </w:r>
          </w:p>
        </w:tc>
      </w:tr>
      <w:tr>
        <w:trPr/>
        <w:tc>
          <w:tcPr>
            <w:tcW w:w="775" w:type="dxa"/>
            <w:tcBorders/>
            <w:shd w:fill="FFFFFF" w:val="clear"/>
            <w:vAlign w:val="center"/>
          </w:tcPr>
          <w:p>
            <w:pPr>
              <w:pStyle w:val="TableContents"/>
              <w:bidi w:val="0"/>
              <w:spacing w:before="0" w:after="283"/>
              <w:jc w:val="left"/>
              <w:rPr>
                <w:sz w:val="4"/>
                <w:szCs w:val="4"/>
              </w:rPr>
            </w:pPr>
            <w:r>
              <w:rPr>
                <w:sz w:val="4"/>
                <w:szCs w:val="4"/>
              </w:rPr>
            </w:r>
          </w:p>
        </w:tc>
        <w:tc>
          <w:tcPr>
            <w:tcW w:w="8918" w:type="dxa"/>
            <w:tcBorders/>
            <w:shd w:fill="FFFFFF" w:val="clear"/>
            <w:vAlign w:val="center"/>
          </w:tcPr>
          <w:p>
            <w:pPr>
              <w:pStyle w:val="TableContents"/>
              <w:bidi w:val="0"/>
              <w:spacing w:before="0" w:after="283"/>
              <w:jc w:val="left"/>
              <w:rPr>
                <w:sz w:val="4"/>
                <w:szCs w:val="4"/>
              </w:rPr>
            </w:pPr>
            <w:r>
              <w:rPr>
                <w:sz w:val="4"/>
                <w:szCs w:val="4"/>
              </w:rPr>
            </w:r>
          </w:p>
        </w:tc>
        <w:tc>
          <w:tcPr>
            <w:tcW w:w="512" w:type="dxa"/>
            <w:tcBorders/>
            <w:shd w:fill="FFFFFF" w:val="clear"/>
            <w:vAlign w:val="center"/>
          </w:tcPr>
          <w:p>
            <w:pPr>
              <w:pStyle w:val="TableContents"/>
              <w:bidi w:val="0"/>
              <w:spacing w:before="0" w:after="283"/>
              <w:jc w:val="right"/>
              <w:rPr/>
            </w:pPr>
            <w:r>
              <w:rPr/>
              <w:t> </w:t>
            </w:r>
          </w:p>
        </w:tc>
      </w:tr>
      <w:tr>
        <w:trPr/>
        <w:tc>
          <w:tcPr>
            <w:tcW w:w="775" w:type="dxa"/>
            <w:tcBorders/>
            <w:shd w:fill="CCEEFF" w:val="clear"/>
            <w:vAlign w:val="center"/>
          </w:tcPr>
          <w:p>
            <w:pPr>
              <w:pStyle w:val="TableContents"/>
              <w:bidi w:val="0"/>
              <w:spacing w:before="0" w:after="283"/>
              <w:jc w:val="left"/>
              <w:rPr/>
            </w:pPr>
            <w:hyperlink w:anchor="item_1_legal_proceedings">
              <w:r>
                <w:rPr>
                  <w:rStyle w:val="InternetLink"/>
                  <w:rFonts w:ascii="Times New Roman" w:hAnsi="Times New Roman"/>
                  <w:b w:val="false"/>
                  <w:color w:val="0000FF"/>
                  <w:sz w:val="16"/>
                  <w:u w:val="single"/>
                </w:rPr>
                <w:t>Item 1.</w:t>
              </w:r>
            </w:hyperlink>
          </w:p>
        </w:tc>
        <w:tc>
          <w:tcPr>
            <w:tcW w:w="8918" w:type="dxa"/>
            <w:tcBorders/>
            <w:shd w:fill="CCEEFF" w:val="clear"/>
            <w:vAlign w:val="center"/>
          </w:tcPr>
          <w:p>
            <w:pPr>
              <w:pStyle w:val="TableContents"/>
              <w:bidi w:val="0"/>
              <w:spacing w:before="0" w:after="283"/>
              <w:jc w:val="left"/>
              <w:rPr/>
            </w:pPr>
            <w:hyperlink w:anchor="item_1_legal_proceedings">
              <w:r>
                <w:rPr>
                  <w:rStyle w:val="InternetLink"/>
                  <w:rFonts w:ascii="Times New Roman" w:hAnsi="Times New Roman"/>
                  <w:b w:val="false"/>
                  <w:color w:val="0000FF"/>
                  <w:sz w:val="16"/>
                  <w:u w:val="single"/>
                </w:rPr>
                <w:t>Legal Proceedings</w:t>
              </w:r>
            </w:hyperlink>
          </w:p>
        </w:tc>
        <w:tc>
          <w:tcPr>
            <w:tcW w:w="512"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w:t>
            </w:r>
          </w:p>
        </w:tc>
      </w:tr>
      <w:tr>
        <w:trPr/>
        <w:tc>
          <w:tcPr>
            <w:tcW w:w="775" w:type="dxa"/>
            <w:tcBorders/>
            <w:shd w:fill="FFFFFF" w:val="clear"/>
            <w:vAlign w:val="center"/>
          </w:tcPr>
          <w:p>
            <w:pPr>
              <w:pStyle w:val="TableContents"/>
              <w:bidi w:val="0"/>
              <w:spacing w:before="0" w:after="283"/>
              <w:jc w:val="left"/>
              <w:rPr>
                <w:sz w:val="4"/>
                <w:szCs w:val="4"/>
              </w:rPr>
            </w:pPr>
            <w:r>
              <w:rPr>
                <w:sz w:val="4"/>
                <w:szCs w:val="4"/>
              </w:rPr>
            </w:r>
          </w:p>
        </w:tc>
        <w:tc>
          <w:tcPr>
            <w:tcW w:w="8918" w:type="dxa"/>
            <w:tcBorders/>
            <w:shd w:fill="FFFFFF" w:val="clear"/>
            <w:vAlign w:val="center"/>
          </w:tcPr>
          <w:p>
            <w:pPr>
              <w:pStyle w:val="TableContents"/>
              <w:bidi w:val="0"/>
              <w:spacing w:before="0" w:after="283"/>
              <w:jc w:val="left"/>
              <w:rPr>
                <w:sz w:val="4"/>
                <w:szCs w:val="4"/>
              </w:rPr>
            </w:pPr>
            <w:r>
              <w:rPr>
                <w:sz w:val="4"/>
                <w:szCs w:val="4"/>
              </w:rPr>
            </w:r>
          </w:p>
        </w:tc>
        <w:tc>
          <w:tcPr>
            <w:tcW w:w="512" w:type="dxa"/>
            <w:tcBorders/>
            <w:shd w:fill="FFFFFF" w:val="clear"/>
            <w:vAlign w:val="center"/>
          </w:tcPr>
          <w:p>
            <w:pPr>
              <w:pStyle w:val="TableContents"/>
              <w:bidi w:val="0"/>
              <w:spacing w:before="0" w:after="283"/>
              <w:jc w:val="right"/>
              <w:rPr/>
            </w:pPr>
            <w:r>
              <w:rPr/>
              <w:t> </w:t>
            </w:r>
          </w:p>
        </w:tc>
      </w:tr>
      <w:tr>
        <w:trPr/>
        <w:tc>
          <w:tcPr>
            <w:tcW w:w="775" w:type="dxa"/>
            <w:tcBorders/>
            <w:shd w:fill="CCEEFF" w:val="clear"/>
            <w:vAlign w:val="center"/>
          </w:tcPr>
          <w:p>
            <w:pPr>
              <w:pStyle w:val="TableContents"/>
              <w:bidi w:val="0"/>
              <w:spacing w:before="0" w:after="283"/>
              <w:jc w:val="left"/>
              <w:rPr/>
            </w:pPr>
            <w:hyperlink w:anchor="item_1a_risk_factors">
              <w:r>
                <w:rPr>
                  <w:rStyle w:val="InternetLink"/>
                  <w:rFonts w:ascii="Times New Roman" w:hAnsi="Times New Roman"/>
                  <w:b w:val="false"/>
                  <w:color w:val="0000FF"/>
                  <w:sz w:val="16"/>
                  <w:u w:val="single"/>
                </w:rPr>
                <w:t>Item 1A.</w:t>
              </w:r>
            </w:hyperlink>
          </w:p>
        </w:tc>
        <w:tc>
          <w:tcPr>
            <w:tcW w:w="8918" w:type="dxa"/>
            <w:tcBorders/>
            <w:shd w:fill="CCEEFF" w:val="clear"/>
            <w:vAlign w:val="center"/>
          </w:tcPr>
          <w:p>
            <w:pPr>
              <w:pStyle w:val="TableContents"/>
              <w:bidi w:val="0"/>
              <w:spacing w:before="0" w:after="283"/>
              <w:jc w:val="left"/>
              <w:rPr/>
            </w:pPr>
            <w:hyperlink w:anchor="item_1a_risk_factors">
              <w:r>
                <w:rPr>
                  <w:rStyle w:val="InternetLink"/>
                  <w:rFonts w:ascii="Times New Roman" w:hAnsi="Times New Roman"/>
                  <w:b w:val="false"/>
                  <w:color w:val="0000FF"/>
                  <w:sz w:val="16"/>
                  <w:u w:val="single"/>
                </w:rPr>
                <w:t>Risk Factors</w:t>
              </w:r>
            </w:hyperlink>
          </w:p>
        </w:tc>
        <w:tc>
          <w:tcPr>
            <w:tcW w:w="512"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w:t>
            </w:r>
          </w:p>
        </w:tc>
      </w:tr>
      <w:tr>
        <w:trPr/>
        <w:tc>
          <w:tcPr>
            <w:tcW w:w="775" w:type="dxa"/>
            <w:tcBorders/>
            <w:shd w:fill="FFFFFF" w:val="clear"/>
            <w:vAlign w:val="center"/>
          </w:tcPr>
          <w:p>
            <w:pPr>
              <w:pStyle w:val="TableContents"/>
              <w:bidi w:val="0"/>
              <w:spacing w:before="0" w:after="283"/>
              <w:jc w:val="left"/>
              <w:rPr>
                <w:sz w:val="4"/>
                <w:szCs w:val="4"/>
              </w:rPr>
            </w:pPr>
            <w:r>
              <w:rPr>
                <w:sz w:val="4"/>
                <w:szCs w:val="4"/>
              </w:rPr>
            </w:r>
          </w:p>
        </w:tc>
        <w:tc>
          <w:tcPr>
            <w:tcW w:w="8918" w:type="dxa"/>
            <w:tcBorders/>
            <w:shd w:fill="FFFFFF" w:val="clear"/>
            <w:vAlign w:val="center"/>
          </w:tcPr>
          <w:p>
            <w:pPr>
              <w:pStyle w:val="TableContents"/>
              <w:bidi w:val="0"/>
              <w:spacing w:before="0" w:after="283"/>
              <w:jc w:val="left"/>
              <w:rPr>
                <w:sz w:val="4"/>
                <w:szCs w:val="4"/>
              </w:rPr>
            </w:pPr>
            <w:r>
              <w:rPr>
                <w:sz w:val="4"/>
                <w:szCs w:val="4"/>
              </w:rPr>
            </w:r>
          </w:p>
        </w:tc>
        <w:tc>
          <w:tcPr>
            <w:tcW w:w="512" w:type="dxa"/>
            <w:tcBorders/>
            <w:shd w:fill="FFFFFF" w:val="clear"/>
            <w:vAlign w:val="center"/>
          </w:tcPr>
          <w:p>
            <w:pPr>
              <w:pStyle w:val="TableContents"/>
              <w:bidi w:val="0"/>
              <w:spacing w:before="0" w:after="283"/>
              <w:jc w:val="right"/>
              <w:rPr/>
            </w:pPr>
            <w:r>
              <w:rPr/>
              <w:t> </w:t>
            </w:r>
          </w:p>
        </w:tc>
      </w:tr>
      <w:tr>
        <w:trPr/>
        <w:tc>
          <w:tcPr>
            <w:tcW w:w="775" w:type="dxa"/>
            <w:tcBorders/>
            <w:shd w:fill="CCEEFF" w:val="clear"/>
            <w:vAlign w:val="center"/>
          </w:tcPr>
          <w:p>
            <w:pPr>
              <w:pStyle w:val="TableContents"/>
              <w:bidi w:val="0"/>
              <w:spacing w:before="0" w:after="283"/>
              <w:jc w:val="left"/>
              <w:rPr/>
            </w:pPr>
            <w:hyperlink w:anchor="item_2_unregistered_sales_of_equity">
              <w:r>
                <w:rPr>
                  <w:rStyle w:val="InternetLink"/>
                  <w:rFonts w:ascii="Times New Roman" w:hAnsi="Times New Roman"/>
                  <w:b w:val="false"/>
                  <w:color w:val="0000FF"/>
                  <w:sz w:val="16"/>
                  <w:u w:val="single"/>
                </w:rPr>
                <w:t>Item 2.</w:t>
              </w:r>
            </w:hyperlink>
          </w:p>
        </w:tc>
        <w:tc>
          <w:tcPr>
            <w:tcW w:w="8918" w:type="dxa"/>
            <w:tcBorders/>
            <w:shd w:fill="CCEEFF" w:val="clear"/>
            <w:vAlign w:val="center"/>
          </w:tcPr>
          <w:p>
            <w:pPr>
              <w:pStyle w:val="TableContents"/>
              <w:bidi w:val="0"/>
              <w:spacing w:before="0" w:after="283"/>
              <w:jc w:val="left"/>
              <w:rPr/>
            </w:pPr>
            <w:hyperlink w:anchor="item_2_unregistered_sales_of_equity">
              <w:r>
                <w:rPr>
                  <w:rStyle w:val="InternetLink"/>
                  <w:rFonts w:ascii="Times New Roman" w:hAnsi="Times New Roman"/>
                  <w:b w:val="false"/>
                  <w:color w:val="0000FF"/>
                  <w:sz w:val="16"/>
                  <w:u w:val="single"/>
                </w:rPr>
                <w:t>Unregistered Sales of Equity Securities and Use of Proceeds</w:t>
              </w:r>
            </w:hyperlink>
          </w:p>
        </w:tc>
        <w:tc>
          <w:tcPr>
            <w:tcW w:w="512"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w:t>
            </w:r>
          </w:p>
        </w:tc>
      </w:tr>
      <w:tr>
        <w:trPr/>
        <w:tc>
          <w:tcPr>
            <w:tcW w:w="775" w:type="dxa"/>
            <w:tcBorders/>
            <w:shd w:fill="FFFFFF" w:val="clear"/>
            <w:vAlign w:val="center"/>
          </w:tcPr>
          <w:p>
            <w:pPr>
              <w:pStyle w:val="TableContents"/>
              <w:bidi w:val="0"/>
              <w:spacing w:before="0" w:after="283"/>
              <w:jc w:val="left"/>
              <w:rPr>
                <w:sz w:val="4"/>
                <w:szCs w:val="4"/>
              </w:rPr>
            </w:pPr>
            <w:r>
              <w:rPr>
                <w:sz w:val="4"/>
                <w:szCs w:val="4"/>
              </w:rPr>
            </w:r>
          </w:p>
        </w:tc>
        <w:tc>
          <w:tcPr>
            <w:tcW w:w="8918" w:type="dxa"/>
            <w:tcBorders/>
            <w:shd w:fill="FFFFFF" w:val="clear"/>
            <w:vAlign w:val="center"/>
          </w:tcPr>
          <w:p>
            <w:pPr>
              <w:pStyle w:val="TableContents"/>
              <w:bidi w:val="0"/>
              <w:spacing w:before="0" w:after="283"/>
              <w:jc w:val="left"/>
              <w:rPr>
                <w:sz w:val="4"/>
                <w:szCs w:val="4"/>
              </w:rPr>
            </w:pPr>
            <w:r>
              <w:rPr>
                <w:sz w:val="4"/>
                <w:szCs w:val="4"/>
              </w:rPr>
            </w:r>
          </w:p>
        </w:tc>
        <w:tc>
          <w:tcPr>
            <w:tcW w:w="512" w:type="dxa"/>
            <w:tcBorders/>
            <w:shd w:fill="FFFFFF" w:val="clear"/>
            <w:vAlign w:val="center"/>
          </w:tcPr>
          <w:p>
            <w:pPr>
              <w:pStyle w:val="TableContents"/>
              <w:bidi w:val="0"/>
              <w:spacing w:before="0" w:after="283"/>
              <w:jc w:val="right"/>
              <w:rPr/>
            </w:pPr>
            <w:r>
              <w:rPr/>
              <w:t> </w:t>
            </w:r>
          </w:p>
        </w:tc>
      </w:tr>
      <w:tr>
        <w:trPr/>
        <w:tc>
          <w:tcPr>
            <w:tcW w:w="775" w:type="dxa"/>
            <w:tcBorders/>
            <w:shd w:fill="CCEEFF" w:val="clear"/>
            <w:vAlign w:val="center"/>
          </w:tcPr>
          <w:p>
            <w:pPr>
              <w:pStyle w:val="TableContents"/>
              <w:bidi w:val="0"/>
              <w:spacing w:before="0" w:after="283"/>
              <w:jc w:val="left"/>
              <w:rPr/>
            </w:pPr>
            <w:hyperlink w:anchor="item_3_defaults_upon_senior_securities">
              <w:r>
                <w:rPr>
                  <w:rStyle w:val="InternetLink"/>
                  <w:rFonts w:ascii="Times New Roman" w:hAnsi="Times New Roman"/>
                  <w:b w:val="false"/>
                  <w:color w:val="0000FF"/>
                  <w:sz w:val="16"/>
                  <w:u w:val="single"/>
                </w:rPr>
                <w:t>Item 3.</w:t>
              </w:r>
            </w:hyperlink>
          </w:p>
        </w:tc>
        <w:tc>
          <w:tcPr>
            <w:tcW w:w="8918" w:type="dxa"/>
            <w:tcBorders/>
            <w:shd w:fill="CCEEFF" w:val="clear"/>
            <w:vAlign w:val="center"/>
          </w:tcPr>
          <w:p>
            <w:pPr>
              <w:pStyle w:val="TableContents"/>
              <w:bidi w:val="0"/>
              <w:spacing w:before="0" w:after="283"/>
              <w:jc w:val="left"/>
              <w:rPr/>
            </w:pPr>
            <w:hyperlink w:anchor="item_3_defaults_upon_senior_securities">
              <w:r>
                <w:rPr>
                  <w:rStyle w:val="InternetLink"/>
                  <w:rFonts w:ascii="Times New Roman" w:hAnsi="Times New Roman"/>
                  <w:b w:val="false"/>
                  <w:color w:val="0000FF"/>
                  <w:sz w:val="16"/>
                  <w:u w:val="single"/>
                </w:rPr>
                <w:t>Defaults Upon Senior Securities</w:t>
              </w:r>
            </w:hyperlink>
          </w:p>
        </w:tc>
        <w:tc>
          <w:tcPr>
            <w:tcW w:w="512"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w:t>
            </w:r>
          </w:p>
        </w:tc>
      </w:tr>
      <w:tr>
        <w:trPr/>
        <w:tc>
          <w:tcPr>
            <w:tcW w:w="775" w:type="dxa"/>
            <w:tcBorders/>
            <w:shd w:fill="FFFFFF" w:val="clear"/>
            <w:vAlign w:val="center"/>
          </w:tcPr>
          <w:p>
            <w:pPr>
              <w:pStyle w:val="TableContents"/>
              <w:bidi w:val="0"/>
              <w:spacing w:before="0" w:after="283"/>
              <w:jc w:val="left"/>
              <w:rPr>
                <w:sz w:val="4"/>
                <w:szCs w:val="4"/>
              </w:rPr>
            </w:pPr>
            <w:r>
              <w:rPr>
                <w:sz w:val="4"/>
                <w:szCs w:val="4"/>
              </w:rPr>
            </w:r>
          </w:p>
        </w:tc>
        <w:tc>
          <w:tcPr>
            <w:tcW w:w="8918" w:type="dxa"/>
            <w:tcBorders/>
            <w:shd w:fill="FFFFFF" w:val="clear"/>
            <w:vAlign w:val="center"/>
          </w:tcPr>
          <w:p>
            <w:pPr>
              <w:pStyle w:val="TableContents"/>
              <w:bidi w:val="0"/>
              <w:spacing w:before="0" w:after="283"/>
              <w:jc w:val="left"/>
              <w:rPr>
                <w:sz w:val="4"/>
                <w:szCs w:val="4"/>
              </w:rPr>
            </w:pPr>
            <w:r>
              <w:rPr>
                <w:sz w:val="4"/>
                <w:szCs w:val="4"/>
              </w:rPr>
            </w:r>
          </w:p>
        </w:tc>
        <w:tc>
          <w:tcPr>
            <w:tcW w:w="512" w:type="dxa"/>
            <w:tcBorders/>
            <w:shd w:fill="FFFFFF" w:val="clear"/>
            <w:vAlign w:val="center"/>
          </w:tcPr>
          <w:p>
            <w:pPr>
              <w:pStyle w:val="TableContents"/>
              <w:bidi w:val="0"/>
              <w:spacing w:before="0" w:after="283"/>
              <w:jc w:val="right"/>
              <w:rPr/>
            </w:pPr>
            <w:r>
              <w:rPr/>
              <w:t> </w:t>
            </w:r>
          </w:p>
        </w:tc>
      </w:tr>
      <w:tr>
        <w:trPr/>
        <w:tc>
          <w:tcPr>
            <w:tcW w:w="775" w:type="dxa"/>
            <w:tcBorders/>
            <w:shd w:fill="CCEEFF" w:val="clear"/>
            <w:vAlign w:val="center"/>
          </w:tcPr>
          <w:p>
            <w:pPr>
              <w:pStyle w:val="TableContents"/>
              <w:bidi w:val="0"/>
              <w:spacing w:before="0" w:after="283"/>
              <w:jc w:val="left"/>
              <w:rPr/>
            </w:pPr>
            <w:hyperlink w:anchor="item_4_mine_safety_disclosures">
              <w:r>
                <w:rPr>
                  <w:rStyle w:val="InternetLink"/>
                  <w:rFonts w:ascii="Times New Roman" w:hAnsi="Times New Roman"/>
                  <w:b w:val="false"/>
                  <w:color w:val="0000FF"/>
                  <w:sz w:val="16"/>
                  <w:u w:val="single"/>
                </w:rPr>
                <w:t>Item 4.</w:t>
              </w:r>
            </w:hyperlink>
          </w:p>
        </w:tc>
        <w:tc>
          <w:tcPr>
            <w:tcW w:w="8918" w:type="dxa"/>
            <w:tcBorders/>
            <w:shd w:fill="CCEEFF" w:val="clear"/>
            <w:vAlign w:val="center"/>
          </w:tcPr>
          <w:p>
            <w:pPr>
              <w:pStyle w:val="TableContents"/>
              <w:bidi w:val="0"/>
              <w:spacing w:before="0" w:after="283"/>
              <w:jc w:val="left"/>
              <w:rPr/>
            </w:pPr>
            <w:hyperlink w:anchor="item_4_mine_safety_disclosures">
              <w:r>
                <w:rPr>
                  <w:rStyle w:val="InternetLink"/>
                  <w:rFonts w:ascii="Times New Roman" w:hAnsi="Times New Roman"/>
                  <w:b w:val="false"/>
                  <w:color w:val="0000FF"/>
                  <w:sz w:val="16"/>
                  <w:u w:val="single"/>
                </w:rPr>
                <w:t>Mine Safety Disclosures</w:t>
              </w:r>
            </w:hyperlink>
          </w:p>
        </w:tc>
        <w:tc>
          <w:tcPr>
            <w:tcW w:w="512"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w:t>
            </w:r>
          </w:p>
        </w:tc>
      </w:tr>
      <w:tr>
        <w:trPr/>
        <w:tc>
          <w:tcPr>
            <w:tcW w:w="775" w:type="dxa"/>
            <w:tcBorders/>
            <w:shd w:fill="FFFFFF" w:val="clear"/>
            <w:vAlign w:val="center"/>
          </w:tcPr>
          <w:p>
            <w:pPr>
              <w:pStyle w:val="TableContents"/>
              <w:bidi w:val="0"/>
              <w:spacing w:before="0" w:after="283"/>
              <w:jc w:val="left"/>
              <w:rPr>
                <w:sz w:val="4"/>
                <w:szCs w:val="4"/>
              </w:rPr>
            </w:pPr>
            <w:r>
              <w:rPr>
                <w:sz w:val="4"/>
                <w:szCs w:val="4"/>
              </w:rPr>
            </w:r>
          </w:p>
        </w:tc>
        <w:tc>
          <w:tcPr>
            <w:tcW w:w="8918" w:type="dxa"/>
            <w:tcBorders/>
            <w:shd w:fill="FFFFFF" w:val="clear"/>
            <w:vAlign w:val="center"/>
          </w:tcPr>
          <w:p>
            <w:pPr>
              <w:pStyle w:val="TableContents"/>
              <w:bidi w:val="0"/>
              <w:spacing w:before="0" w:after="283"/>
              <w:jc w:val="left"/>
              <w:rPr>
                <w:sz w:val="4"/>
                <w:szCs w:val="4"/>
              </w:rPr>
            </w:pPr>
            <w:r>
              <w:rPr>
                <w:sz w:val="4"/>
                <w:szCs w:val="4"/>
              </w:rPr>
            </w:r>
          </w:p>
        </w:tc>
        <w:tc>
          <w:tcPr>
            <w:tcW w:w="512" w:type="dxa"/>
            <w:tcBorders/>
            <w:shd w:fill="FFFFFF" w:val="clear"/>
            <w:vAlign w:val="center"/>
          </w:tcPr>
          <w:p>
            <w:pPr>
              <w:pStyle w:val="TableContents"/>
              <w:bidi w:val="0"/>
              <w:spacing w:before="0" w:after="283"/>
              <w:jc w:val="right"/>
              <w:rPr/>
            </w:pPr>
            <w:r>
              <w:rPr/>
              <w:t> </w:t>
            </w:r>
          </w:p>
        </w:tc>
      </w:tr>
      <w:tr>
        <w:trPr/>
        <w:tc>
          <w:tcPr>
            <w:tcW w:w="775" w:type="dxa"/>
            <w:tcBorders/>
            <w:shd w:fill="CCEEFF" w:val="clear"/>
            <w:vAlign w:val="center"/>
          </w:tcPr>
          <w:p>
            <w:pPr>
              <w:pStyle w:val="TableContents"/>
              <w:bidi w:val="0"/>
              <w:spacing w:before="0" w:after="283"/>
              <w:jc w:val="left"/>
              <w:rPr/>
            </w:pPr>
            <w:hyperlink w:anchor="item_5_other_information">
              <w:r>
                <w:rPr>
                  <w:rStyle w:val="InternetLink"/>
                  <w:rFonts w:ascii="Times New Roman" w:hAnsi="Times New Roman"/>
                  <w:b w:val="false"/>
                  <w:color w:val="0000FF"/>
                  <w:sz w:val="16"/>
                  <w:u w:val="single"/>
                </w:rPr>
                <w:t>Item 5.</w:t>
              </w:r>
            </w:hyperlink>
          </w:p>
        </w:tc>
        <w:tc>
          <w:tcPr>
            <w:tcW w:w="8918" w:type="dxa"/>
            <w:tcBorders/>
            <w:shd w:fill="CCEEFF" w:val="clear"/>
            <w:vAlign w:val="center"/>
          </w:tcPr>
          <w:p>
            <w:pPr>
              <w:pStyle w:val="TableContents"/>
              <w:bidi w:val="0"/>
              <w:spacing w:before="0" w:after="283"/>
              <w:jc w:val="left"/>
              <w:rPr/>
            </w:pPr>
            <w:hyperlink w:anchor="item_5_other_information">
              <w:r>
                <w:rPr>
                  <w:rStyle w:val="InternetLink"/>
                  <w:rFonts w:ascii="Times New Roman" w:hAnsi="Times New Roman"/>
                  <w:b w:val="false"/>
                  <w:color w:val="0000FF"/>
                  <w:sz w:val="16"/>
                  <w:u w:val="single"/>
                </w:rPr>
                <w:t>Other Information</w:t>
              </w:r>
            </w:hyperlink>
          </w:p>
        </w:tc>
        <w:tc>
          <w:tcPr>
            <w:tcW w:w="512"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w:t>
            </w:r>
          </w:p>
        </w:tc>
      </w:tr>
      <w:tr>
        <w:trPr/>
        <w:tc>
          <w:tcPr>
            <w:tcW w:w="775" w:type="dxa"/>
            <w:tcBorders/>
            <w:shd w:fill="FFFFFF" w:val="clear"/>
            <w:vAlign w:val="center"/>
          </w:tcPr>
          <w:p>
            <w:pPr>
              <w:pStyle w:val="TableContents"/>
              <w:bidi w:val="0"/>
              <w:spacing w:before="0" w:after="283"/>
              <w:jc w:val="left"/>
              <w:rPr>
                <w:sz w:val="4"/>
                <w:szCs w:val="4"/>
              </w:rPr>
            </w:pPr>
            <w:r>
              <w:rPr>
                <w:sz w:val="4"/>
                <w:szCs w:val="4"/>
              </w:rPr>
            </w:r>
          </w:p>
        </w:tc>
        <w:tc>
          <w:tcPr>
            <w:tcW w:w="8918" w:type="dxa"/>
            <w:tcBorders/>
            <w:shd w:fill="FFFFFF" w:val="clear"/>
            <w:vAlign w:val="center"/>
          </w:tcPr>
          <w:p>
            <w:pPr>
              <w:pStyle w:val="TableContents"/>
              <w:bidi w:val="0"/>
              <w:spacing w:before="0" w:after="283"/>
              <w:jc w:val="left"/>
              <w:rPr>
                <w:sz w:val="4"/>
                <w:szCs w:val="4"/>
              </w:rPr>
            </w:pPr>
            <w:r>
              <w:rPr>
                <w:sz w:val="4"/>
                <w:szCs w:val="4"/>
              </w:rPr>
            </w:r>
          </w:p>
        </w:tc>
        <w:tc>
          <w:tcPr>
            <w:tcW w:w="512" w:type="dxa"/>
            <w:tcBorders/>
            <w:shd w:fill="FFFFFF" w:val="clear"/>
            <w:vAlign w:val="center"/>
          </w:tcPr>
          <w:p>
            <w:pPr>
              <w:pStyle w:val="TableContents"/>
              <w:bidi w:val="0"/>
              <w:spacing w:before="0" w:after="283"/>
              <w:jc w:val="right"/>
              <w:rPr/>
            </w:pPr>
            <w:r>
              <w:rPr/>
              <w:t> </w:t>
            </w:r>
          </w:p>
        </w:tc>
      </w:tr>
      <w:tr>
        <w:trPr/>
        <w:tc>
          <w:tcPr>
            <w:tcW w:w="775" w:type="dxa"/>
            <w:tcBorders/>
            <w:shd w:fill="CCEEFF" w:val="clear"/>
            <w:vAlign w:val="center"/>
          </w:tcPr>
          <w:p>
            <w:pPr>
              <w:pStyle w:val="TableContents"/>
              <w:bidi w:val="0"/>
              <w:spacing w:before="0" w:after="283"/>
              <w:jc w:val="left"/>
              <w:rPr/>
            </w:pPr>
            <w:hyperlink w:anchor="item_6_exhibits">
              <w:r>
                <w:rPr>
                  <w:rStyle w:val="InternetLink"/>
                  <w:rFonts w:ascii="Times New Roman" w:hAnsi="Times New Roman"/>
                  <w:b w:val="false"/>
                  <w:color w:val="0000FF"/>
                  <w:sz w:val="16"/>
                  <w:u w:val="single"/>
                </w:rPr>
                <w:t>Item 6.</w:t>
              </w:r>
            </w:hyperlink>
          </w:p>
        </w:tc>
        <w:tc>
          <w:tcPr>
            <w:tcW w:w="8918" w:type="dxa"/>
            <w:tcBorders/>
            <w:shd w:fill="CCEEFF" w:val="clear"/>
            <w:vAlign w:val="center"/>
          </w:tcPr>
          <w:p>
            <w:pPr>
              <w:pStyle w:val="TableContents"/>
              <w:bidi w:val="0"/>
              <w:spacing w:before="0" w:after="283"/>
              <w:jc w:val="left"/>
              <w:rPr/>
            </w:pPr>
            <w:hyperlink w:anchor="item_6_exhibits">
              <w:r>
                <w:rPr>
                  <w:rStyle w:val="InternetLink"/>
                  <w:rFonts w:ascii="Times New Roman" w:hAnsi="Times New Roman"/>
                  <w:b w:val="false"/>
                  <w:color w:val="0000FF"/>
                  <w:sz w:val="16"/>
                  <w:u w:val="single"/>
                </w:rPr>
                <w:t>Exhibits</w:t>
              </w:r>
            </w:hyperlink>
          </w:p>
        </w:tc>
        <w:tc>
          <w:tcPr>
            <w:tcW w:w="512"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w:t>
            </w:r>
          </w:p>
        </w:tc>
      </w:tr>
      <w:tr>
        <w:trPr/>
        <w:tc>
          <w:tcPr>
            <w:tcW w:w="9693" w:type="dxa"/>
            <w:gridSpan w:val="2"/>
            <w:tcBorders/>
            <w:shd w:fill="FFFFFF" w:val="clear"/>
            <w:vAlign w:val="center"/>
          </w:tcPr>
          <w:p>
            <w:pPr>
              <w:pStyle w:val="TableContents"/>
              <w:bidi w:val="0"/>
              <w:spacing w:before="0" w:after="283"/>
              <w:jc w:val="left"/>
              <w:rPr>
                <w:sz w:val="4"/>
                <w:szCs w:val="4"/>
              </w:rPr>
            </w:pPr>
            <w:r>
              <w:rPr>
                <w:sz w:val="4"/>
                <w:szCs w:val="4"/>
              </w:rPr>
            </w:r>
          </w:p>
        </w:tc>
        <w:tc>
          <w:tcPr>
            <w:tcW w:w="512" w:type="dxa"/>
            <w:tcBorders/>
            <w:shd w:fill="FFFFFF" w:val="clear"/>
            <w:vAlign w:val="center"/>
          </w:tcPr>
          <w:p>
            <w:pPr>
              <w:pStyle w:val="TableContents"/>
              <w:bidi w:val="0"/>
              <w:spacing w:before="0" w:after="283"/>
              <w:jc w:val="right"/>
              <w:rPr/>
            </w:pPr>
            <w:r>
              <w:rPr/>
              <w:t> </w:t>
            </w:r>
          </w:p>
        </w:tc>
      </w:tr>
      <w:tr>
        <w:trPr/>
        <w:tc>
          <w:tcPr>
            <w:tcW w:w="9693" w:type="dxa"/>
            <w:gridSpan w:val="2"/>
            <w:tcBorders/>
            <w:shd w:fill="CCEEFF" w:val="clear"/>
            <w:vAlign w:val="center"/>
          </w:tcPr>
          <w:p>
            <w:pPr>
              <w:pStyle w:val="TableContents"/>
              <w:bidi w:val="0"/>
              <w:spacing w:before="0" w:after="283"/>
              <w:jc w:val="left"/>
              <w:rPr/>
            </w:pPr>
            <w:hyperlink w:anchor="signatures">
              <w:r>
                <w:rPr>
                  <w:rStyle w:val="InternetLink"/>
                  <w:rFonts w:ascii="Times New Roman" w:hAnsi="Times New Roman"/>
                  <w:b w:val="false"/>
                  <w:color w:val="0000FF"/>
                  <w:sz w:val="16"/>
                  <w:u w:val="single"/>
                </w:rPr>
                <w:t>Signatures</w:t>
              </w:r>
            </w:hyperlink>
          </w:p>
        </w:tc>
        <w:tc>
          <w:tcPr>
            <w:tcW w:w="512" w:type="dxa"/>
            <w:tcBorders/>
            <w:shd w:fill="CCEE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bookmarkStart w:id="2" w:name="part_i_financial_information"/>
      <w:bookmarkEnd w:id="2"/>
      <w:r>
        <w:rPr>
          <w:rFonts w:ascii="Times New Roman" w:hAnsi="Times New Roman"/>
          <w:b/>
          <w:color w:val="000000"/>
          <w:sz w:val="16"/>
        </w:rPr>
        <w:t>PART I. FINANCIAL INFORMATION</w:t>
      </w:r>
    </w:p>
    <w:p>
      <w:pPr>
        <w:pStyle w:val="TextBody"/>
        <w:bidi w:val="0"/>
        <w:jc w:val="left"/>
        <w:rPr/>
      </w:pPr>
      <w:r>
        <w:rPr/>
        <w:t> </w:t>
      </w:r>
    </w:p>
    <w:p>
      <w:pPr>
        <w:pStyle w:val="TextBody"/>
        <w:bidi w:val="0"/>
        <w:jc w:val="center"/>
        <w:rPr>
          <w:rFonts w:ascii="Times New Roman" w:hAnsi="Times New Roman"/>
          <w:b/>
          <w:color w:val="000000"/>
          <w:sz w:val="16"/>
        </w:rPr>
      </w:pPr>
      <w:bookmarkStart w:id="3" w:name="consolidated_financial_statements"/>
      <w:bookmarkEnd w:id="3"/>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bookmarkStart w:id="4" w:name="statements_of_assets_and_liabilities"/>
      <w:bookmarkEnd w:id="4"/>
      <w:r>
        <w:rPr>
          <w:rFonts w:ascii="Times New Roman" w:hAnsi="Times New Roman"/>
          <w:b/>
          <w:color w:val="000000"/>
          <w:sz w:val="16"/>
        </w:rPr>
        <w:t>CONSOLIDATED STATEMENTS OF ASSETS AND LIABILITIES</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17"/>
        <w:gridCol w:w="146"/>
        <w:gridCol w:w="280"/>
        <w:gridCol w:w="991"/>
        <w:gridCol w:w="166"/>
        <w:gridCol w:w="146"/>
        <w:gridCol w:w="275"/>
        <w:gridCol w:w="971"/>
        <w:gridCol w:w="413"/>
      </w:tblGrid>
      <w:tr>
        <w:trPr/>
        <w:tc>
          <w:tcPr>
            <w:tcW w:w="6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681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br/>
              <w:t>2022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1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413" w:type="dxa"/>
            <w:tcBorders/>
            <w:shd w:fill="FFFFFF" w:val="clear"/>
            <w:vAlign w:val="center"/>
          </w:tcPr>
          <w:p>
            <w:pPr>
              <w:pStyle w:val="TableContents"/>
              <w:bidi w:val="0"/>
              <w:spacing w:before="0" w:after="283"/>
              <w:jc w:val="center"/>
              <w:rPr/>
            </w:pPr>
            <w:r>
              <w:rPr/>
              <w:t> </w:t>
            </w:r>
          </w:p>
        </w:tc>
      </w:tr>
      <w:tr>
        <w:trPr/>
        <w:tc>
          <w:tcPr>
            <w:tcW w:w="681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ASSETS</w:t>
            </w:r>
          </w:p>
        </w:tc>
        <w:tc>
          <w:tcPr>
            <w:tcW w:w="146" w:type="dxa"/>
            <w:tcBorders/>
            <w:shd w:fill="CFF0FC" w:val="clear"/>
            <w:vAlign w:val="center"/>
          </w:tcPr>
          <w:p>
            <w:pPr>
              <w:pStyle w:val="TableContents"/>
              <w:bidi w:val="0"/>
              <w:spacing w:before="0" w:after="283"/>
              <w:jc w:val="left"/>
              <w:rPr/>
            </w:pPr>
            <w:r>
              <w:rPr/>
              <w:t> </w:t>
            </w:r>
          </w:p>
        </w:tc>
        <w:tc>
          <w:tcPr>
            <w:tcW w:w="1271"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246" w:type="dxa"/>
            <w:gridSpan w:val="2"/>
            <w:tcBorders/>
            <w:shd w:fill="CFF0FC" w:val="clear"/>
            <w:vAlign w:val="center"/>
          </w:tcPr>
          <w:p>
            <w:pPr>
              <w:pStyle w:val="TableContents"/>
              <w:bidi w:val="0"/>
              <w:spacing w:before="0" w:after="283"/>
              <w:jc w:val="center"/>
              <w:rPr/>
            </w:pPr>
            <w:r>
              <w:rPr/>
              <w:t> </w:t>
            </w:r>
          </w:p>
        </w:tc>
        <w:tc>
          <w:tcPr>
            <w:tcW w:w="413" w:type="dxa"/>
            <w:tcBorders/>
            <w:shd w:fill="CFF0FC" w:val="clear"/>
            <w:vAlign w:val="center"/>
          </w:tcPr>
          <w:p>
            <w:pPr>
              <w:pStyle w:val="TableContents"/>
              <w:bidi w:val="0"/>
              <w:spacing w:before="0" w:after="283"/>
              <w:jc w:val="center"/>
              <w:rPr/>
            </w:pPr>
            <w:r>
              <w:rPr/>
              <w:t> </w:t>
            </w:r>
          </w:p>
        </w:tc>
      </w:tr>
      <w:tr>
        <w:trPr/>
        <w:tc>
          <w:tcPr>
            <w:tcW w:w="681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Investments at fair value:</w:t>
            </w:r>
          </w:p>
        </w:tc>
        <w:tc>
          <w:tcPr>
            <w:tcW w:w="146" w:type="dxa"/>
            <w:tcBorders/>
            <w:shd w:fill="FFFFFF" w:val="clear"/>
            <w:vAlign w:val="center"/>
          </w:tcPr>
          <w:p>
            <w:pPr>
              <w:pStyle w:val="TableContents"/>
              <w:bidi w:val="0"/>
              <w:spacing w:before="0" w:after="283"/>
              <w:jc w:val="left"/>
              <w:rPr/>
            </w:pPr>
            <w:r>
              <w:rPr/>
              <w:t> </w:t>
            </w:r>
          </w:p>
        </w:tc>
        <w:tc>
          <w:tcPr>
            <w:tcW w:w="12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6" w:type="dxa"/>
            <w:gridSpan w:val="2"/>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817"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16"/>
              </w:rPr>
              <w:t>Non-control/non-affiliate investments (amortized cost of $176,518</w:t>
            </w:r>
            <w:r>
              <w:rPr>
                <w:rFonts w:ascii="Times New Roman" w:hAnsi="Times New Roman"/>
                <w:color w:val="000000"/>
                <w:sz w:val="20"/>
              </w:rPr>
              <w:t> </w:t>
            </w:r>
            <w:r>
              <w:rPr>
                <w:rFonts w:ascii="Times New Roman" w:hAnsi="Times New Roman"/>
                <w:b w:val="false"/>
                <w:color w:val="000000"/>
                <w:sz w:val="16"/>
              </w:rPr>
              <w:t>and $191,435, respectively)</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159,255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177,268</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6817"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16"/>
              </w:rPr>
              <w:t>Affiliate investments (amortized cost of $26,169</w:t>
            </w:r>
            <w:r>
              <w:rPr>
                <w:rFonts w:ascii="Times New Roman" w:hAnsi="Times New Roman"/>
                <w:color w:val="000000"/>
                <w:sz w:val="20"/>
              </w:rPr>
              <w:t> </w:t>
            </w:r>
            <w:r>
              <w:rPr>
                <w:rFonts w:ascii="Times New Roman" w:hAnsi="Times New Roman"/>
                <w:b w:val="false"/>
                <w:color w:val="000000"/>
                <w:sz w:val="16"/>
              </w:rPr>
              <w:t>and $29,081, respectively)</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27,844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26,324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16"/>
              </w:rPr>
              <w:t>Total investments at fair value (amortized cost of $202,687</w:t>
            </w:r>
            <w:r>
              <w:rPr>
                <w:rFonts w:ascii="Times New Roman" w:hAnsi="Times New Roman"/>
                <w:color w:val="000000"/>
                <w:sz w:val="20"/>
              </w:rPr>
              <w:t> </w:t>
            </w:r>
            <w:r>
              <w:rPr>
                <w:rFonts w:ascii="Times New Roman" w:hAnsi="Times New Roman"/>
                <w:b w:val="false"/>
                <w:color w:val="000000"/>
                <w:sz w:val="16"/>
              </w:rPr>
              <w:t>and $220,516, respectively)</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187,099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203,592</w:t>
            </w:r>
          </w:p>
        </w:tc>
        <w:tc>
          <w:tcPr>
            <w:tcW w:w="413" w:type="dxa"/>
            <w:tcBorders/>
            <w:shd w:fill="CFF0FC" w:val="clear"/>
            <w:vAlign w:val="center"/>
          </w:tcPr>
          <w:p>
            <w:pPr>
              <w:pStyle w:val="TableContents"/>
              <w:bidi w:val="0"/>
              <w:spacing w:before="0" w:after="283"/>
              <w:jc w:val="left"/>
              <w:rPr/>
            </w:pPr>
            <w:r>
              <w:rPr/>
              <w:t> </w:t>
            </w:r>
          </w:p>
        </w:tc>
      </w:tr>
      <w:tr>
        <w:trPr/>
        <w:tc>
          <w:tcPr>
            <w:tcW w:w="681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Cash and cash equivalents</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6,793</w:t>
            </w:r>
          </w:p>
        </w:tc>
        <w:tc>
          <w:tcPr>
            <w:tcW w:w="413" w:type="dxa"/>
            <w:tcBorders/>
            <w:shd w:fill="FFFFFF" w:val="clear"/>
            <w:vAlign w:val="center"/>
          </w:tcPr>
          <w:p>
            <w:pPr>
              <w:pStyle w:val="TableContents"/>
              <w:bidi w:val="0"/>
              <w:spacing w:before="0" w:after="283"/>
              <w:jc w:val="left"/>
              <w:rPr/>
            </w:pPr>
            <w:r>
              <w:rPr/>
              <w:t> </w:t>
            </w:r>
          </w:p>
        </w:tc>
      </w:tr>
      <w:tr>
        <w:trPr/>
        <w:tc>
          <w:tcPr>
            <w:tcW w:w="681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Interest and dividend receivable</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1,578</w:t>
            </w:r>
          </w:p>
        </w:tc>
        <w:tc>
          <w:tcPr>
            <w:tcW w:w="413" w:type="dxa"/>
            <w:tcBorders/>
            <w:shd w:fill="CFF0FC" w:val="clear"/>
            <w:vAlign w:val="center"/>
          </w:tcPr>
          <w:p>
            <w:pPr>
              <w:pStyle w:val="TableContents"/>
              <w:bidi w:val="0"/>
              <w:spacing w:before="0" w:after="283"/>
              <w:jc w:val="left"/>
              <w:rPr/>
            </w:pPr>
            <w:r>
              <w:rPr/>
              <w:t> </w:t>
            </w:r>
          </w:p>
        </w:tc>
      </w:tr>
      <w:tr>
        <w:trPr/>
        <w:tc>
          <w:tcPr>
            <w:tcW w:w="681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Prepaid expenses</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2,682</w:t>
            </w:r>
          </w:p>
        </w:tc>
        <w:tc>
          <w:tcPr>
            <w:tcW w:w="413" w:type="dxa"/>
            <w:tcBorders/>
            <w:shd w:fill="FFFFFF" w:val="clear"/>
            <w:vAlign w:val="center"/>
          </w:tcPr>
          <w:p>
            <w:pPr>
              <w:pStyle w:val="TableContents"/>
              <w:bidi w:val="0"/>
              <w:spacing w:before="0" w:after="283"/>
              <w:jc w:val="left"/>
              <w:rPr/>
            </w:pPr>
            <w:r>
              <w:rPr/>
              <w:t> </w:t>
            </w:r>
          </w:p>
        </w:tc>
      </w:tr>
      <w:tr>
        <w:trPr/>
        <w:tc>
          <w:tcPr>
            <w:tcW w:w="681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Other assets</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Total assets</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196,902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214,710</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1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LIABILITIES</w:t>
            </w:r>
          </w:p>
        </w:tc>
        <w:tc>
          <w:tcPr>
            <w:tcW w:w="146" w:type="dxa"/>
            <w:tcBorders/>
            <w:shd w:fill="CFF0FC" w:val="clear"/>
            <w:vAlign w:val="center"/>
          </w:tcPr>
          <w:p>
            <w:pPr>
              <w:pStyle w:val="TableContents"/>
              <w:bidi w:val="0"/>
              <w:spacing w:before="0" w:after="283"/>
              <w:jc w:val="left"/>
              <w:rPr/>
            </w:pPr>
            <w:r>
              <w:rPr/>
              <w:t> </w:t>
            </w:r>
          </w:p>
        </w:tc>
        <w:tc>
          <w:tcPr>
            <w:tcW w:w="127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6" w:type="dxa"/>
            <w:gridSpan w:val="2"/>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pPr>
            <w:r>
              <w:rPr/>
              <w:t> </w:t>
            </w:r>
          </w:p>
        </w:tc>
      </w:tr>
      <w:tr>
        <w:trPr/>
        <w:tc>
          <w:tcPr>
            <w:tcW w:w="681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6"/>
              </w:rPr>
              <w:t>2026 Notes (net of deferred financing costs and original issue discount of $1,147</w:t>
            </w:r>
            <w:r>
              <w:rPr>
                <w:rFonts w:ascii="Times New Roman" w:hAnsi="Times New Roman"/>
                <w:color w:val="000000"/>
                <w:sz w:val="20"/>
              </w:rPr>
              <w:t> </w:t>
            </w:r>
            <w:r>
              <w:rPr>
                <w:rFonts w:ascii="Times New Roman" w:hAnsi="Times New Roman"/>
                <w:b w:val="false"/>
                <w:color w:val="000000"/>
                <w:sz w:val="16"/>
              </w:rPr>
              <w:t>and $1,421, respectively)</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48,853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48,579</w:t>
            </w:r>
          </w:p>
        </w:tc>
        <w:tc>
          <w:tcPr>
            <w:tcW w:w="413" w:type="dxa"/>
            <w:tcBorders/>
            <w:shd w:fill="FFFFFF" w:val="clear"/>
            <w:vAlign w:val="center"/>
          </w:tcPr>
          <w:p>
            <w:pPr>
              <w:pStyle w:val="TableContents"/>
              <w:bidi w:val="0"/>
              <w:spacing w:before="0" w:after="283"/>
              <w:jc w:val="left"/>
              <w:rPr/>
            </w:pPr>
            <w:r>
              <w:rPr/>
              <w:t> </w:t>
            </w:r>
          </w:p>
        </w:tc>
      </w:tr>
      <w:tr>
        <w:trPr/>
        <w:tc>
          <w:tcPr>
            <w:tcW w:w="681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6"/>
              </w:rPr>
              <w:t>2032 Convertible Notes (net of deferred financing costs and original issue discount of $1,029</w:t>
            </w:r>
            <w:r>
              <w:rPr>
                <w:rFonts w:ascii="Times New Roman" w:hAnsi="Times New Roman"/>
                <w:color w:val="000000"/>
                <w:sz w:val="20"/>
              </w:rPr>
              <w:t> </w:t>
            </w:r>
            <w:r>
              <w:rPr>
                <w:rFonts w:ascii="Times New Roman" w:hAnsi="Times New Roman"/>
                <w:b w:val="false"/>
                <w:color w:val="000000"/>
                <w:sz w:val="16"/>
              </w:rPr>
              <w:t>and $1,117, respectively)</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13,971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13,883</w:t>
            </w:r>
          </w:p>
        </w:tc>
        <w:tc>
          <w:tcPr>
            <w:tcW w:w="413" w:type="dxa"/>
            <w:tcBorders/>
            <w:shd w:fill="CFF0FC" w:val="clear"/>
            <w:vAlign w:val="center"/>
          </w:tcPr>
          <w:p>
            <w:pPr>
              <w:pStyle w:val="TableContents"/>
              <w:bidi w:val="0"/>
              <w:spacing w:before="0" w:after="283"/>
              <w:jc w:val="left"/>
              <w:rPr/>
            </w:pPr>
            <w:r>
              <w:rPr/>
              <w:t> </w:t>
            </w:r>
          </w:p>
        </w:tc>
      </w:tr>
      <w:tr>
        <w:trPr/>
        <w:tc>
          <w:tcPr>
            <w:tcW w:w="681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6"/>
              </w:rPr>
              <w:t>KeyBank Credit Facility (net of deferred financing costs of $1,068</w:t>
            </w:r>
            <w:r>
              <w:rPr>
                <w:rFonts w:ascii="Times New Roman" w:hAnsi="Times New Roman"/>
                <w:color w:val="000000"/>
                <w:sz w:val="20"/>
              </w:rPr>
              <w:t> </w:t>
            </w:r>
            <w:r>
              <w:rPr>
                <w:rFonts w:ascii="Times New Roman" w:hAnsi="Times New Roman"/>
                <w:b w:val="false"/>
                <w:color w:val="000000"/>
                <w:sz w:val="16"/>
              </w:rPr>
              <w:t>and $1,322, respectively)</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34,782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54,615</w:t>
            </w:r>
          </w:p>
        </w:tc>
        <w:tc>
          <w:tcPr>
            <w:tcW w:w="413" w:type="dxa"/>
            <w:tcBorders/>
            <w:shd w:fill="FFFFFF" w:val="clear"/>
            <w:vAlign w:val="center"/>
          </w:tcPr>
          <w:p>
            <w:pPr>
              <w:pStyle w:val="TableContents"/>
              <w:bidi w:val="0"/>
              <w:spacing w:before="0" w:after="283"/>
              <w:jc w:val="left"/>
              <w:rPr/>
            </w:pPr>
            <w:r>
              <w:rPr/>
              <w:t> </w:t>
            </w:r>
          </w:p>
        </w:tc>
      </w:tr>
      <w:tr>
        <w:trPr/>
        <w:tc>
          <w:tcPr>
            <w:tcW w:w="681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Management and incentive fees payable</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933</w:t>
            </w:r>
          </w:p>
        </w:tc>
        <w:tc>
          <w:tcPr>
            <w:tcW w:w="413" w:type="dxa"/>
            <w:tcBorders/>
            <w:shd w:fill="CFF0FC" w:val="clear"/>
            <w:vAlign w:val="center"/>
          </w:tcPr>
          <w:p>
            <w:pPr>
              <w:pStyle w:val="TableContents"/>
              <w:bidi w:val="0"/>
              <w:spacing w:before="0" w:after="283"/>
              <w:jc w:val="left"/>
              <w:rPr/>
            </w:pPr>
            <w:r>
              <w:rPr/>
              <w:t> </w:t>
            </w:r>
          </w:p>
        </w:tc>
      </w:tr>
      <w:tr>
        <w:trPr/>
        <w:tc>
          <w:tcPr>
            <w:tcW w:w="681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Interest and financing fees payable</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973</w:t>
            </w:r>
          </w:p>
        </w:tc>
        <w:tc>
          <w:tcPr>
            <w:tcW w:w="413" w:type="dxa"/>
            <w:tcBorders/>
            <w:shd w:fill="FFFFFF" w:val="clear"/>
            <w:vAlign w:val="center"/>
          </w:tcPr>
          <w:p>
            <w:pPr>
              <w:pStyle w:val="TableContents"/>
              <w:bidi w:val="0"/>
              <w:spacing w:before="0" w:after="283"/>
              <w:jc w:val="left"/>
              <w:rPr/>
            </w:pPr>
            <w:r>
              <w:rPr/>
              <w:t> </w:t>
            </w:r>
          </w:p>
        </w:tc>
      </w:tr>
      <w:tr>
        <w:trPr/>
        <w:tc>
          <w:tcPr>
            <w:tcW w:w="681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Accounts payable and accrued expenses</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722</w:t>
            </w:r>
          </w:p>
        </w:tc>
        <w:tc>
          <w:tcPr>
            <w:tcW w:w="413" w:type="dxa"/>
            <w:tcBorders/>
            <w:shd w:fill="CFF0FC" w:val="clear"/>
            <w:vAlign w:val="center"/>
          </w:tcPr>
          <w:p>
            <w:pPr>
              <w:pStyle w:val="TableContents"/>
              <w:bidi w:val="0"/>
              <w:spacing w:before="0" w:after="283"/>
              <w:jc w:val="left"/>
              <w:rPr/>
            </w:pPr>
            <w:r>
              <w:rPr/>
              <w:t> </w:t>
            </w:r>
          </w:p>
        </w:tc>
      </w:tr>
      <w:tr>
        <w:trPr/>
        <w:tc>
          <w:tcPr>
            <w:tcW w:w="681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Payable for unsettled trades</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Total liabilities</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103,694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119,705</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1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6"/>
              </w:rPr>
              <w:t>Commitments</w:t>
            </w:r>
            <w:r>
              <w:rPr>
                <w:rFonts w:ascii="Times New Roman" w:hAnsi="Times New Roman"/>
                <w:color w:val="000000"/>
                <w:sz w:val="16"/>
              </w:rPr>
              <w:t xml:space="preserve"> </w:t>
            </w:r>
            <w:r>
              <w:rPr>
                <w:rFonts w:ascii="Times New Roman" w:hAnsi="Times New Roman"/>
                <w:b w:val="false"/>
                <w:color w:val="000000"/>
                <w:sz w:val="16"/>
              </w:rPr>
              <w:t>and contingencies</w:t>
            </w:r>
            <w:r>
              <w:rPr>
                <w:rFonts w:ascii="Times New Roman" w:hAnsi="Times New Roman"/>
                <w:color w:val="000000"/>
                <w:sz w:val="20"/>
              </w:rPr>
              <w:t> </w:t>
            </w:r>
            <w:r>
              <w:rPr>
                <w:rFonts w:ascii="Times New Roman" w:hAnsi="Times New Roman"/>
                <w:b w:val="false"/>
                <w:color w:val="000000"/>
                <w:sz w:val="16"/>
              </w:rPr>
              <w:t>(Note 2)</w:t>
            </w:r>
          </w:p>
        </w:tc>
        <w:tc>
          <w:tcPr>
            <w:tcW w:w="146" w:type="dxa"/>
            <w:tcBorders/>
            <w:shd w:fill="FFFFFF" w:val="clear"/>
            <w:vAlign w:val="center"/>
          </w:tcPr>
          <w:p>
            <w:pPr>
              <w:pStyle w:val="TableContents"/>
              <w:bidi w:val="0"/>
              <w:spacing w:before="0" w:after="283"/>
              <w:jc w:val="left"/>
              <w:rPr/>
            </w:pPr>
            <w:r>
              <w:rPr/>
              <w:t> </w:t>
            </w:r>
          </w:p>
        </w:tc>
        <w:tc>
          <w:tcPr>
            <w:tcW w:w="12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6" w:type="dxa"/>
            <w:gridSpan w:val="2"/>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r>
      <w:tr>
        <w:trPr/>
        <w:tc>
          <w:tcPr>
            <w:tcW w:w="681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ASSETS</w:t>
            </w:r>
          </w:p>
        </w:tc>
        <w:tc>
          <w:tcPr>
            <w:tcW w:w="146" w:type="dxa"/>
            <w:tcBorders/>
            <w:shd w:fill="CFF0FC" w:val="clear"/>
            <w:vAlign w:val="center"/>
          </w:tcPr>
          <w:p>
            <w:pPr>
              <w:pStyle w:val="TableContents"/>
              <w:bidi w:val="0"/>
              <w:spacing w:before="0" w:after="283"/>
              <w:jc w:val="left"/>
              <w:rPr/>
            </w:pPr>
            <w:r>
              <w:rPr/>
              <w:t> </w:t>
            </w:r>
          </w:p>
        </w:tc>
        <w:tc>
          <w:tcPr>
            <w:tcW w:w="127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6" w:type="dxa"/>
            <w:gridSpan w:val="2"/>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pPr>
            <w:r>
              <w:rPr/>
              <w:t> </w:t>
            </w:r>
          </w:p>
        </w:tc>
      </w:tr>
      <w:tr>
        <w:trPr/>
        <w:tc>
          <w:tcPr>
            <w:tcW w:w="681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6"/>
              </w:rPr>
              <w:t>Common stock, par value $0.01, 100,000,000</w:t>
            </w:r>
            <w:r>
              <w:rPr>
                <w:rFonts w:ascii="Times New Roman" w:hAnsi="Times New Roman"/>
                <w:color w:val="000000"/>
                <w:sz w:val="20"/>
              </w:rPr>
              <w:t> </w:t>
            </w:r>
            <w:r>
              <w:rPr>
                <w:rFonts w:ascii="Times New Roman" w:hAnsi="Times New Roman"/>
                <w:b w:val="false"/>
                <w:color w:val="000000"/>
                <w:sz w:val="16"/>
              </w:rPr>
              <w:t>common shares authorized, 2,679,812</w:t>
            </w:r>
            <w:r>
              <w:rPr>
                <w:rFonts w:ascii="Times New Roman" w:hAnsi="Times New Roman"/>
                <w:color w:val="000000"/>
                <w:sz w:val="20"/>
              </w:rPr>
              <w:t> </w:t>
            </w:r>
            <w:r>
              <w:rPr>
                <w:rFonts w:ascii="Times New Roman" w:hAnsi="Times New Roman"/>
                <w:b w:val="false"/>
                <w:color w:val="000000"/>
                <w:sz w:val="16"/>
              </w:rPr>
              <w:t>and 2,711,068</w:t>
            </w:r>
            <w:r>
              <w:rPr>
                <w:rFonts w:ascii="Times New Roman" w:hAnsi="Times New Roman"/>
                <w:color w:val="000000"/>
                <w:sz w:val="20"/>
              </w:rPr>
              <w:t> </w:t>
            </w:r>
            <w:r>
              <w:rPr>
                <w:rFonts w:ascii="Times New Roman" w:hAnsi="Times New Roman"/>
                <w:b w:val="false"/>
                <w:color w:val="000000"/>
                <w:sz w:val="16"/>
              </w:rPr>
              <w:t>common shares issued and outstanding, respectively</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7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w:t>
            </w:r>
          </w:p>
        </w:tc>
        <w:tc>
          <w:tcPr>
            <w:tcW w:w="413" w:type="dxa"/>
            <w:tcBorders/>
            <w:shd w:fill="FFFFFF" w:val="clear"/>
            <w:vAlign w:val="center"/>
          </w:tcPr>
          <w:p>
            <w:pPr>
              <w:pStyle w:val="TableContents"/>
              <w:bidi w:val="0"/>
              <w:spacing w:before="0" w:after="283"/>
              <w:jc w:val="left"/>
              <w:rPr/>
            </w:pPr>
            <w:r>
              <w:rPr/>
              <w:t> </w:t>
            </w:r>
          </w:p>
        </w:tc>
      </w:tr>
      <w:tr>
        <w:trPr/>
        <w:tc>
          <w:tcPr>
            <w:tcW w:w="681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Additional paid in capital</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190,384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191,038</w:t>
            </w:r>
          </w:p>
        </w:tc>
        <w:tc>
          <w:tcPr>
            <w:tcW w:w="413" w:type="dxa"/>
            <w:tcBorders/>
            <w:shd w:fill="CFF0FC" w:val="clear"/>
            <w:vAlign w:val="center"/>
          </w:tcPr>
          <w:p>
            <w:pPr>
              <w:pStyle w:val="TableContents"/>
              <w:bidi w:val="0"/>
              <w:spacing w:before="0" w:after="283"/>
              <w:jc w:val="left"/>
              <w:rPr/>
            </w:pPr>
            <w:r>
              <w:rPr/>
              <w:t> </w:t>
            </w:r>
          </w:p>
        </w:tc>
      </w:tr>
      <w:tr>
        <w:trPr/>
        <w:tc>
          <w:tcPr>
            <w:tcW w:w="681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distributable loss</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(97,203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(96,060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681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Total net assets</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93,208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95,005</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1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liabilities and net assets</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196,902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214,710</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1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asset value per share</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35.04</w:t>
            </w:r>
          </w:p>
        </w:tc>
        <w:tc>
          <w:tcPr>
            <w:tcW w:w="413" w:type="dxa"/>
            <w:tcBorders/>
            <w:shd w:fill="CFF0FC"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val="false"/>
          <w:color w:val="000000"/>
          <w:sz w:val="16"/>
        </w:rPr>
      </w:pPr>
      <w:r>
        <w:rPr>
          <w:rFonts w:ascii="Times New Roman" w:hAnsi="Times New Roman"/>
          <w:b w:val="false"/>
          <w:color w:val="000000"/>
          <w:sz w:val="16"/>
        </w:rPr>
        <w:t>See accompanying notes to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sz w:val="20"/>
        </w:rPr>
      </w:pPr>
      <w:bookmarkStart w:id="5" w:name="statements_of_operations"/>
      <w:bookmarkEnd w:id="5"/>
      <w:r>
        <w:rPr>
          <w:rFonts w:ascii="Times New Roman" w:hAnsi="Times New Roman"/>
          <w:b/>
          <w:color w:val="000000"/>
          <w:sz w:val="16"/>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754"/>
        <w:gridCol w:w="146"/>
        <w:gridCol w:w="233"/>
        <w:gridCol w:w="981"/>
        <w:gridCol w:w="197"/>
        <w:gridCol w:w="173"/>
        <w:gridCol w:w="233"/>
        <w:gridCol w:w="981"/>
        <w:gridCol w:w="166"/>
        <w:gridCol w:w="146"/>
        <w:gridCol w:w="224"/>
        <w:gridCol w:w="948"/>
        <w:gridCol w:w="190"/>
        <w:gridCol w:w="244"/>
        <w:gridCol w:w="224"/>
        <w:gridCol w:w="948"/>
        <w:gridCol w:w="417"/>
      </w:tblGrid>
      <w:tr>
        <w:trPr/>
        <w:tc>
          <w:tcPr>
            <w:tcW w:w="3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375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vAlign w:val="center"/>
          </w:tcPr>
          <w:p>
            <w:pPr>
              <w:pStyle w:val="TableContents"/>
              <w:bidi w:val="0"/>
              <w:spacing w:before="0" w:after="283"/>
              <w:jc w:val="center"/>
              <w:rPr/>
            </w:pPr>
            <w:r>
              <w:rPr/>
              <w:t> </w:t>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 w:type="dxa"/>
            <w:tcBorders/>
            <w:shd w:fill="FFFFFF" w:val="cle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INVESTMENT INCOME</w:t>
            </w:r>
          </w:p>
        </w:tc>
        <w:tc>
          <w:tcPr>
            <w:tcW w:w="146" w:type="dxa"/>
            <w:tcBorders/>
            <w:shd w:fill="CFF0FC" w:val="clear"/>
            <w:vAlign w:val="center"/>
          </w:tcPr>
          <w:p>
            <w:pPr>
              <w:pStyle w:val="TableContents"/>
              <w:bidi w:val="0"/>
              <w:spacing w:before="0" w:after="283"/>
              <w:jc w:val="left"/>
              <w:rPr/>
            </w:pPr>
            <w:r>
              <w:rPr/>
              <w:t> </w:t>
            </w:r>
          </w:p>
        </w:tc>
        <w:tc>
          <w:tcPr>
            <w:tcW w:w="1214" w:type="dxa"/>
            <w:gridSpan w:val="2"/>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1214"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2" w:type="dxa"/>
            <w:gridSpan w:val="2"/>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1172" w:type="dxa"/>
            <w:gridSpan w:val="2"/>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pPr>
            <w:r>
              <w:rPr/>
              <w:t> </w:t>
            </w:r>
          </w:p>
        </w:tc>
      </w:tr>
      <w:tr>
        <w:trPr/>
        <w:tc>
          <w:tcPr>
            <w:tcW w:w="375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Interest income:</w:t>
            </w:r>
          </w:p>
        </w:tc>
        <w:tc>
          <w:tcPr>
            <w:tcW w:w="146" w:type="dxa"/>
            <w:tcBorders/>
            <w:shd w:fill="FFFFFF" w:val="clear"/>
            <w:vAlign w:val="center"/>
          </w:tcPr>
          <w:p>
            <w:pPr>
              <w:pStyle w:val="TableContents"/>
              <w:bidi w:val="0"/>
              <w:spacing w:before="0" w:after="283"/>
              <w:jc w:val="left"/>
              <w:rPr/>
            </w:pPr>
            <w:r>
              <w:rPr/>
              <w:t> </w:t>
            </w:r>
          </w:p>
        </w:tc>
        <w:tc>
          <w:tcPr>
            <w:tcW w:w="1214" w:type="dxa"/>
            <w:gridSpan w:val="2"/>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1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ind w:left="0" w:right="0" w:firstLine="200"/>
              <w:jc w:val="left"/>
              <w:rPr/>
            </w:pPr>
            <w:r>
              <w:rPr/>
              <w:t> </w:t>
            </w:r>
          </w:p>
        </w:tc>
      </w:tr>
      <w:tr>
        <w:trPr/>
        <w:tc>
          <w:tcPr>
            <w:tcW w:w="375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4,650</w:t>
            </w:r>
          </w:p>
        </w:tc>
        <w:tc>
          <w:tcPr>
            <w:tcW w:w="197"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4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14,027</w:t>
            </w:r>
          </w:p>
        </w:tc>
        <w:tc>
          <w:tcPr>
            <w:tcW w:w="190"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4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8,817</w:t>
            </w:r>
          </w:p>
        </w:tc>
        <w:tc>
          <w:tcPr>
            <w:tcW w:w="417" w:type="dxa"/>
            <w:tcBorders/>
            <w:shd w:fill="CFF0FC" w:val="clear"/>
            <w:vAlign w:val="center"/>
          </w:tcPr>
          <w:p>
            <w:pPr>
              <w:pStyle w:val="TableContents"/>
              <w:bidi w:val="0"/>
              <w:spacing w:before="0" w:after="283"/>
              <w:ind w:left="0" w:right="0" w:firstLine="200"/>
              <w:jc w:val="left"/>
              <w:rPr/>
            </w:pPr>
            <w:r>
              <w:rPr/>
              <w:t> </w:t>
            </w:r>
          </w:p>
        </w:tc>
      </w:tr>
      <w:tr>
        <w:trPr/>
        <w:tc>
          <w:tcPr>
            <w:tcW w:w="375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Affiliate investments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w:t>
            </w:r>
          </w:p>
        </w:tc>
        <w:tc>
          <w:tcPr>
            <w:tcW w:w="197"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413</w:t>
            </w:r>
          </w:p>
        </w:tc>
        <w:tc>
          <w:tcPr>
            <w:tcW w:w="19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521</w:t>
            </w:r>
          </w:p>
        </w:tc>
        <w:tc>
          <w:tcPr>
            <w:tcW w:w="417" w:type="dxa"/>
            <w:tcBorders/>
            <w:shd w:fill="FFFFFF" w:val="clear"/>
            <w:vAlign w:val="center"/>
          </w:tcPr>
          <w:p>
            <w:pPr>
              <w:pStyle w:val="TableContents"/>
              <w:bidi w:val="0"/>
              <w:spacing w:before="0" w:after="283"/>
              <w:ind w:left="0" w:right="0" w:firstLine="200"/>
              <w:jc w:val="left"/>
              <w:rPr/>
            </w:pPr>
            <w:r>
              <w:rPr/>
              <w:t> </w:t>
            </w:r>
          </w:p>
        </w:tc>
      </w:tr>
      <w:tr>
        <w:trPr/>
        <w:tc>
          <w:tcPr>
            <w:tcW w:w="375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Control investments</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228</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Total interest income</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4,765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14,440</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9,566</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Payment-in-kind interest and dividend income:</w:t>
            </w:r>
          </w:p>
        </w:tc>
        <w:tc>
          <w:tcPr>
            <w:tcW w:w="146" w:type="dxa"/>
            <w:tcBorders/>
            <w:shd w:fill="CFF0FC" w:val="clear"/>
            <w:vAlign w:val="center"/>
          </w:tcPr>
          <w:p>
            <w:pPr>
              <w:pStyle w:val="TableContents"/>
              <w:bidi w:val="0"/>
              <w:spacing w:before="0" w:after="283"/>
              <w:jc w:val="left"/>
              <w:rPr/>
            </w:pPr>
            <w:r>
              <w:rPr/>
              <w:t> </w:t>
            </w:r>
          </w:p>
        </w:tc>
        <w:tc>
          <w:tcPr>
            <w:tcW w:w="1214" w:type="dxa"/>
            <w:gridSpan w:val="2"/>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1214"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2" w:type="dxa"/>
            <w:gridSpan w:val="2"/>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1172" w:type="dxa"/>
            <w:gridSpan w:val="2"/>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ind w:left="0" w:right="0" w:firstLine="200"/>
              <w:jc w:val="left"/>
              <w:rPr/>
            </w:pPr>
            <w:r>
              <w:rPr/>
              <w:t> </w:t>
            </w:r>
          </w:p>
        </w:tc>
      </w:tr>
      <w:tr>
        <w:trPr/>
        <w:tc>
          <w:tcPr>
            <w:tcW w:w="375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Non-control/non-affiliate investments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325</w:t>
            </w:r>
          </w:p>
        </w:tc>
        <w:tc>
          <w:tcPr>
            <w:tcW w:w="197"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1,012</w:t>
            </w:r>
          </w:p>
        </w:tc>
        <w:tc>
          <w:tcPr>
            <w:tcW w:w="19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(1)</w:t>
            </w:r>
          </w:p>
        </w:tc>
        <w:tc>
          <w:tcPr>
            <w:tcW w:w="224"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597</w:t>
            </w:r>
          </w:p>
        </w:tc>
        <w:tc>
          <w:tcPr>
            <w:tcW w:w="417" w:type="dxa"/>
            <w:tcBorders/>
            <w:shd w:fill="FFFFFF" w:val="clear"/>
            <w:vAlign w:val="center"/>
          </w:tcPr>
          <w:p>
            <w:pPr>
              <w:pStyle w:val="TableContents"/>
              <w:bidi w:val="0"/>
              <w:spacing w:before="0" w:after="283"/>
              <w:ind w:left="0" w:right="0" w:firstLine="200"/>
              <w:jc w:val="left"/>
              <w:rPr/>
            </w:pPr>
            <w:r>
              <w:rPr/>
              <w:t> </w:t>
            </w:r>
          </w:p>
        </w:tc>
      </w:tr>
      <w:tr>
        <w:trPr/>
        <w:tc>
          <w:tcPr>
            <w:tcW w:w="375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Affiliate investments</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145</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140</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Total payment-in-kind interest and dividend income</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1,157</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737</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Dividend income:</w:t>
            </w:r>
          </w:p>
        </w:tc>
        <w:tc>
          <w:tcPr>
            <w:tcW w:w="146" w:type="dxa"/>
            <w:tcBorders/>
            <w:shd w:fill="CFF0FC" w:val="clear"/>
            <w:vAlign w:val="center"/>
          </w:tcPr>
          <w:p>
            <w:pPr>
              <w:pStyle w:val="TableContents"/>
              <w:bidi w:val="0"/>
              <w:spacing w:before="0" w:after="283"/>
              <w:jc w:val="left"/>
              <w:rPr/>
            </w:pPr>
            <w:r>
              <w:rPr/>
              <w:t> </w:t>
            </w:r>
          </w:p>
        </w:tc>
        <w:tc>
          <w:tcPr>
            <w:tcW w:w="1214" w:type="dxa"/>
            <w:gridSpan w:val="2"/>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1214"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2" w:type="dxa"/>
            <w:gridSpan w:val="2"/>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1172" w:type="dxa"/>
            <w:gridSpan w:val="2"/>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ind w:left="0" w:right="0" w:firstLine="200"/>
              <w:jc w:val="left"/>
              <w:rPr/>
            </w:pPr>
            <w:r>
              <w:rPr/>
              <w:t> </w:t>
            </w:r>
          </w:p>
        </w:tc>
      </w:tr>
      <w:tr>
        <w:trPr/>
        <w:tc>
          <w:tcPr>
            <w:tcW w:w="375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Affiliate investments</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Total dividend income</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Other income:</w:t>
            </w:r>
          </w:p>
        </w:tc>
        <w:tc>
          <w:tcPr>
            <w:tcW w:w="146" w:type="dxa"/>
            <w:tcBorders/>
            <w:shd w:fill="FFFFFF" w:val="clear"/>
            <w:vAlign w:val="center"/>
          </w:tcPr>
          <w:p>
            <w:pPr>
              <w:pStyle w:val="TableContents"/>
              <w:bidi w:val="0"/>
              <w:spacing w:before="0" w:after="283"/>
              <w:jc w:val="left"/>
              <w:rPr/>
            </w:pPr>
            <w:r>
              <w:rPr/>
              <w:t> </w:t>
            </w:r>
          </w:p>
        </w:tc>
        <w:tc>
          <w:tcPr>
            <w:tcW w:w="1214" w:type="dxa"/>
            <w:gridSpan w:val="2"/>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1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ind w:left="0" w:right="0" w:firstLine="200"/>
              <w:jc w:val="left"/>
              <w:rPr/>
            </w:pPr>
            <w:r>
              <w:rPr/>
              <w:t> </w:t>
            </w:r>
          </w:p>
        </w:tc>
      </w:tr>
      <w:tr>
        <w:trPr/>
        <w:tc>
          <w:tcPr>
            <w:tcW w:w="375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w:t>
            </w:r>
          </w:p>
        </w:tc>
        <w:tc>
          <w:tcPr>
            <w:tcW w:w="197"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w:t>
            </w:r>
          </w:p>
        </w:tc>
        <w:tc>
          <w:tcPr>
            <w:tcW w:w="190"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w:t>
            </w:r>
          </w:p>
        </w:tc>
        <w:tc>
          <w:tcPr>
            <w:tcW w:w="417" w:type="dxa"/>
            <w:tcBorders/>
            <w:shd w:fill="CFF0FC" w:val="clear"/>
            <w:vAlign w:val="center"/>
          </w:tcPr>
          <w:p>
            <w:pPr>
              <w:pStyle w:val="TableContents"/>
              <w:bidi w:val="0"/>
              <w:spacing w:before="0" w:after="283"/>
              <w:ind w:left="0" w:right="0" w:firstLine="200"/>
              <w:jc w:val="left"/>
              <w:rPr/>
            </w:pPr>
            <w:r>
              <w:rPr/>
              <w:t> </w:t>
            </w:r>
          </w:p>
        </w:tc>
      </w:tr>
      <w:tr>
        <w:trPr/>
        <w:tc>
          <w:tcPr>
            <w:tcW w:w="375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Affiliate investments</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Total other income</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118</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Total investment income</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5,162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15,762</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10,389</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EXPENSES</w:t>
            </w:r>
          </w:p>
        </w:tc>
        <w:tc>
          <w:tcPr>
            <w:tcW w:w="146" w:type="dxa"/>
            <w:tcBorders/>
            <w:shd w:fill="CFF0FC" w:val="clear"/>
            <w:vAlign w:val="center"/>
          </w:tcPr>
          <w:p>
            <w:pPr>
              <w:pStyle w:val="TableContents"/>
              <w:bidi w:val="0"/>
              <w:spacing w:before="0" w:after="283"/>
              <w:jc w:val="left"/>
              <w:rPr/>
            </w:pPr>
            <w:r>
              <w:rPr/>
              <w:t> </w:t>
            </w:r>
          </w:p>
        </w:tc>
        <w:tc>
          <w:tcPr>
            <w:tcW w:w="1214" w:type="dxa"/>
            <w:gridSpan w:val="2"/>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1214"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2" w:type="dxa"/>
            <w:gridSpan w:val="2"/>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1172" w:type="dxa"/>
            <w:gridSpan w:val="2"/>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pPr>
            <w:r>
              <w:rPr/>
              <w:t> </w:t>
            </w:r>
          </w:p>
        </w:tc>
      </w:tr>
      <w:tr>
        <w:trPr/>
        <w:tc>
          <w:tcPr>
            <w:tcW w:w="375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Interest and financing expenses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2,080</w:t>
            </w:r>
          </w:p>
        </w:tc>
        <w:tc>
          <w:tcPr>
            <w:tcW w:w="197"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6,385</w:t>
            </w:r>
          </w:p>
        </w:tc>
        <w:tc>
          <w:tcPr>
            <w:tcW w:w="19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5,877</w:t>
            </w:r>
          </w:p>
        </w:tc>
        <w:tc>
          <w:tcPr>
            <w:tcW w:w="417" w:type="dxa"/>
            <w:tcBorders/>
            <w:shd w:fill="FFFFFF" w:val="clear"/>
            <w:vAlign w:val="center"/>
          </w:tcPr>
          <w:p>
            <w:pPr>
              <w:pStyle w:val="TableContents"/>
              <w:bidi w:val="0"/>
              <w:spacing w:before="0" w:after="283"/>
              <w:jc w:val="left"/>
              <w:rPr/>
            </w:pPr>
            <w:r>
              <w:rPr/>
              <w:t> </w:t>
            </w:r>
          </w:p>
        </w:tc>
      </w:tr>
      <w:tr>
        <w:trPr/>
        <w:tc>
          <w:tcPr>
            <w:tcW w:w="375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Base management fee</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913</w:t>
            </w:r>
          </w:p>
        </w:tc>
        <w:tc>
          <w:tcPr>
            <w:tcW w:w="197"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2,789</w:t>
            </w:r>
          </w:p>
        </w:tc>
        <w:tc>
          <w:tcPr>
            <w:tcW w:w="190"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2,928</w:t>
            </w:r>
          </w:p>
        </w:tc>
        <w:tc>
          <w:tcPr>
            <w:tcW w:w="417" w:type="dxa"/>
            <w:tcBorders/>
            <w:shd w:fill="CFF0FC" w:val="clear"/>
            <w:vAlign w:val="center"/>
          </w:tcPr>
          <w:p>
            <w:pPr>
              <w:pStyle w:val="TableContents"/>
              <w:bidi w:val="0"/>
              <w:spacing w:before="0" w:after="283"/>
              <w:jc w:val="left"/>
              <w:rPr/>
            </w:pPr>
            <w:r>
              <w:rPr/>
              <w:t> </w:t>
            </w:r>
          </w:p>
        </w:tc>
      </w:tr>
      <w:tr>
        <w:trPr/>
        <w:tc>
          <w:tcPr>
            <w:tcW w:w="375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Directors' expense</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135</w:t>
            </w:r>
          </w:p>
        </w:tc>
        <w:tc>
          <w:tcPr>
            <w:tcW w:w="197"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405</w:t>
            </w:r>
          </w:p>
        </w:tc>
        <w:tc>
          <w:tcPr>
            <w:tcW w:w="19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358</w:t>
            </w:r>
          </w:p>
        </w:tc>
        <w:tc>
          <w:tcPr>
            <w:tcW w:w="417" w:type="dxa"/>
            <w:tcBorders/>
            <w:shd w:fill="FFFFFF" w:val="clear"/>
            <w:vAlign w:val="center"/>
          </w:tcPr>
          <w:p>
            <w:pPr>
              <w:pStyle w:val="TableContents"/>
              <w:bidi w:val="0"/>
              <w:spacing w:before="0" w:after="283"/>
              <w:jc w:val="left"/>
              <w:rPr/>
            </w:pPr>
            <w:r>
              <w:rPr/>
              <w:t> </w:t>
            </w:r>
          </w:p>
        </w:tc>
      </w:tr>
      <w:tr>
        <w:trPr/>
        <w:tc>
          <w:tcPr>
            <w:tcW w:w="375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Administrative service fees</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198</w:t>
            </w:r>
          </w:p>
        </w:tc>
        <w:tc>
          <w:tcPr>
            <w:tcW w:w="197"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679</w:t>
            </w:r>
          </w:p>
        </w:tc>
        <w:tc>
          <w:tcPr>
            <w:tcW w:w="190"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426</w:t>
            </w:r>
          </w:p>
        </w:tc>
        <w:tc>
          <w:tcPr>
            <w:tcW w:w="417" w:type="dxa"/>
            <w:tcBorders/>
            <w:shd w:fill="CFF0FC" w:val="clear"/>
            <w:vAlign w:val="center"/>
          </w:tcPr>
          <w:p>
            <w:pPr>
              <w:pStyle w:val="TableContents"/>
              <w:bidi w:val="0"/>
              <w:spacing w:before="0" w:after="283"/>
              <w:jc w:val="left"/>
              <w:rPr/>
            </w:pPr>
            <w:r>
              <w:rPr/>
              <w:t> </w:t>
            </w:r>
          </w:p>
        </w:tc>
      </w:tr>
      <w:tr>
        <w:trPr/>
        <w:tc>
          <w:tcPr>
            <w:tcW w:w="375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2,238</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2,597</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Total expenses</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4,008</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12,496</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12,186</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INVESTMENT INCOME (LOSS)</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3,266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(1,797</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375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REALIZED AND UNREALIZED (LOSS) GAIN ON INVESTMENTS</w:t>
            </w:r>
          </w:p>
        </w:tc>
        <w:tc>
          <w:tcPr>
            <w:tcW w:w="146" w:type="dxa"/>
            <w:tcBorders/>
            <w:shd w:fill="CFF0FC" w:val="clear"/>
            <w:vAlign w:val="center"/>
          </w:tcPr>
          <w:p>
            <w:pPr>
              <w:pStyle w:val="TableContents"/>
              <w:bidi w:val="0"/>
              <w:spacing w:before="0" w:after="283"/>
              <w:jc w:val="left"/>
              <w:rPr/>
            </w:pPr>
            <w:r>
              <w:rPr/>
              <w:t> </w:t>
            </w:r>
          </w:p>
        </w:tc>
        <w:tc>
          <w:tcPr>
            <w:tcW w:w="1214" w:type="dxa"/>
            <w:gridSpan w:val="2"/>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1214"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2" w:type="dxa"/>
            <w:gridSpan w:val="2"/>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1172" w:type="dxa"/>
            <w:gridSpan w:val="2"/>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pPr>
            <w:r>
              <w:rPr/>
              <w:t> </w:t>
            </w:r>
          </w:p>
        </w:tc>
      </w:tr>
      <w:tr>
        <w:trPr/>
        <w:tc>
          <w:tcPr>
            <w:tcW w:w="375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realized (loss) gain on investments:</w:t>
            </w:r>
          </w:p>
        </w:tc>
        <w:tc>
          <w:tcPr>
            <w:tcW w:w="146" w:type="dxa"/>
            <w:tcBorders/>
            <w:shd w:fill="FFFFFF" w:val="clear"/>
            <w:vAlign w:val="center"/>
          </w:tcPr>
          <w:p>
            <w:pPr>
              <w:pStyle w:val="TableContents"/>
              <w:bidi w:val="0"/>
              <w:spacing w:before="0" w:after="283"/>
              <w:jc w:val="left"/>
              <w:rPr/>
            </w:pPr>
            <w:r>
              <w:rPr/>
              <w:t> </w:t>
            </w:r>
          </w:p>
        </w:tc>
        <w:tc>
          <w:tcPr>
            <w:tcW w:w="1214" w:type="dxa"/>
            <w:gridSpan w:val="2"/>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1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ind w:left="0" w:right="0" w:firstLine="200"/>
              <w:jc w:val="left"/>
              <w:rPr/>
            </w:pPr>
            <w:r>
              <w:rPr/>
              <w:t> </w:t>
            </w:r>
          </w:p>
        </w:tc>
      </w:tr>
      <w:tr>
        <w:trPr/>
        <w:tc>
          <w:tcPr>
            <w:tcW w:w="375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w:t>
            </w:r>
          </w:p>
        </w:tc>
        <w:tc>
          <w:tcPr>
            <w:tcW w:w="19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3"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(3,963</w:t>
            </w:r>
          </w:p>
        </w:tc>
        <w:tc>
          <w:tcPr>
            <w:tcW w:w="19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44"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15,489</w:t>
            </w:r>
          </w:p>
        </w:tc>
        <w:tc>
          <w:tcPr>
            <w:tcW w:w="417" w:type="dxa"/>
            <w:tcBorders/>
            <w:shd w:fill="CFF0FC" w:val="clear"/>
            <w:vAlign w:val="center"/>
          </w:tcPr>
          <w:p>
            <w:pPr>
              <w:pStyle w:val="TableContents"/>
              <w:bidi w:val="0"/>
              <w:spacing w:before="0" w:after="283"/>
              <w:ind w:left="0" w:right="0" w:firstLine="200"/>
              <w:jc w:val="left"/>
              <w:rPr/>
            </w:pPr>
            <w:r>
              <w:rPr/>
              <w:t> </w:t>
            </w:r>
          </w:p>
        </w:tc>
      </w:tr>
      <w:tr>
        <w:trPr/>
        <w:tc>
          <w:tcPr>
            <w:tcW w:w="375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Control investments</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(5,215</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375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realized (loss) gain on investments</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3"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(3,963</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44"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10,274</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change in unrealized (depreciation) appreciation on investments:</w:t>
            </w:r>
          </w:p>
        </w:tc>
        <w:tc>
          <w:tcPr>
            <w:tcW w:w="146" w:type="dxa"/>
            <w:tcBorders/>
            <w:shd w:fill="FFFFFF" w:val="clear"/>
            <w:vAlign w:val="center"/>
          </w:tcPr>
          <w:p>
            <w:pPr>
              <w:pStyle w:val="TableContents"/>
              <w:bidi w:val="0"/>
              <w:spacing w:before="0" w:after="283"/>
              <w:jc w:val="left"/>
              <w:rPr/>
            </w:pPr>
            <w:r>
              <w:rPr/>
              <w:t> </w:t>
            </w:r>
          </w:p>
        </w:tc>
        <w:tc>
          <w:tcPr>
            <w:tcW w:w="1214" w:type="dxa"/>
            <w:gridSpan w:val="2"/>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1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ind w:left="0" w:right="0" w:firstLine="200"/>
              <w:jc w:val="left"/>
              <w:rPr/>
            </w:pPr>
            <w:r>
              <w:rPr/>
              <w:t> </w:t>
            </w:r>
          </w:p>
        </w:tc>
      </w:tr>
      <w:tr>
        <w:trPr/>
        <w:tc>
          <w:tcPr>
            <w:tcW w:w="375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(2,356</w:t>
            </w:r>
          </w:p>
        </w:tc>
        <w:tc>
          <w:tcPr>
            <w:tcW w:w="19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3"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(3,096</w:t>
            </w:r>
          </w:p>
        </w:tc>
        <w:tc>
          <w:tcPr>
            <w:tcW w:w="19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44"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(16,993</w:t>
            </w:r>
          </w:p>
        </w:tc>
        <w:tc>
          <w:tcPr>
            <w:tcW w:w="417"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375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Affiliate investments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(654</w:t>
            </w:r>
          </w:p>
        </w:tc>
        <w:tc>
          <w:tcPr>
            <w:tcW w:w="19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3"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(3,825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4,432</w:t>
            </w:r>
          </w:p>
        </w:tc>
        <w:tc>
          <w:tcPr>
            <w:tcW w:w="19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(2,348</w:t>
            </w:r>
          </w:p>
        </w:tc>
        <w:tc>
          <w:tcPr>
            <w:tcW w:w="417"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375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Control investments</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2,011</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change in unrealized (depreciation) appreciation on investments</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(3,010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3"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1,336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(17,330</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375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Total net realized and change in unrealized loss on investments</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(3,105</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3"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(2,627</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44"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(7,056</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375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(DECREASE) INCREASE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(1,951</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3"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639</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(8,853</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375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xml:space="preserve">NET (DECREASE) INCREASE IN NET ASSETS PER SHARE RESULTING </w:t>
              <w:br/>
              <w:t>   FROM OPERATIONS – BASIC &amp; DILUTED (SEE NOTE 9)</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(0.73</w:t>
            </w:r>
          </w:p>
        </w:tc>
        <w:tc>
          <w:tcPr>
            <w:tcW w:w="19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3"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4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0.24</w:t>
            </w:r>
          </w:p>
        </w:tc>
        <w:tc>
          <w:tcPr>
            <w:tcW w:w="190"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4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(3.27</w:t>
            </w:r>
          </w:p>
        </w:tc>
        <w:tc>
          <w:tcPr>
            <w:tcW w:w="41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375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xml:space="preserve">WEIGHTED AVERAGE COMMON STOCK OUTSTANDING </w:t>
              <w:br/>
              <w:t>   – BASIC &amp; DILUTED (SEE NOTE 9)</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2,688,826</w:t>
            </w:r>
          </w:p>
        </w:tc>
        <w:tc>
          <w:tcPr>
            <w:tcW w:w="197"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2,711,068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2,701,133</w:t>
            </w:r>
          </w:p>
        </w:tc>
        <w:tc>
          <w:tcPr>
            <w:tcW w:w="19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2,711,068</w:t>
            </w:r>
          </w:p>
        </w:tc>
        <w:tc>
          <w:tcPr>
            <w:tcW w:w="417" w:type="dxa"/>
            <w:tcBorders/>
            <w:shd w:fill="FFFFFF" w:val="clear"/>
            <w:vAlign w:val="center"/>
          </w:tcPr>
          <w:p>
            <w:pPr>
              <w:pStyle w:val="TableContents"/>
              <w:bidi w:val="0"/>
              <w:spacing w:before="0" w:after="283"/>
              <w:jc w:val="left"/>
              <w:rPr/>
            </w:pPr>
            <w:r>
              <w:rPr/>
              <w:t> </w:t>
            </w:r>
          </w:p>
        </w:tc>
      </w:tr>
      <w:tr>
        <w:trPr/>
        <w:tc>
          <w:tcPr>
            <w:tcW w:w="375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DISTRIBUTIONS PAID PER SHARE</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0.26</w:t>
            </w:r>
          </w:p>
        </w:tc>
        <w:tc>
          <w:tcPr>
            <w:tcW w:w="197"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4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0.66</w:t>
            </w:r>
          </w:p>
        </w:tc>
        <w:tc>
          <w:tcPr>
            <w:tcW w:w="190"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48" w:type="dxa"/>
            <w:tcBorders/>
            <w:shd w:fill="CFF0FC" w:val="clear"/>
            <w:vAlign w:val="center"/>
          </w:tcPr>
          <w:p>
            <w:pPr>
              <w:pStyle w:val="TableContents"/>
              <w:bidi w:val="0"/>
              <w:spacing w:before="0" w:after="283"/>
              <w:jc w:val="right"/>
              <w:rPr>
                <w:color w:val="000000"/>
              </w:rPr>
            </w:pPr>
            <w:r>
              <w:rPr>
                <w:color w:val="000000"/>
              </w:rPr>
              <w:t>—</w:t>
            </w:r>
          </w:p>
        </w:tc>
        <w:tc>
          <w:tcPr>
            <w:tcW w:w="417" w:type="dxa"/>
            <w:tcBorders/>
            <w:shd w:fill="CFF0FC" w:val="clear"/>
            <w:vAlign w:val="center"/>
          </w:tcPr>
          <w:p>
            <w:pPr>
              <w:pStyle w:val="TableContents"/>
              <w:bidi w:val="0"/>
              <w:spacing w:before="0" w:after="283"/>
              <w:jc w:val="left"/>
              <w:rPr/>
            </w:pPr>
            <w:r>
              <w:rPr/>
              <w:t> </w:t>
            </w:r>
          </w:p>
        </w:tc>
      </w:tr>
    </w:tbl>
    <w:p>
      <w:pPr>
        <w:pStyle w:val="TextBody"/>
        <w:pBdr>
          <w:top w:val="single" w:sz="6" w:space="1" w:color="000000"/>
        </w:pBdr>
        <w:bidi w:val="0"/>
        <w:spacing w:before="120" w:after="283"/>
        <w:jc w:val="both"/>
        <w:rPr/>
      </w:pPr>
      <w:r>
        <w:rPr/>
        <w:t> </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(1)</w:t>
      </w:r>
    </w:p>
    <w:p>
      <w:pPr>
        <w:pStyle w:val="TextBody"/>
        <w:bidi w:val="0"/>
        <w:jc w:val="both"/>
        <w:rPr/>
      </w:pPr>
      <w:r>
        <w:rPr>
          <w:rFonts w:ascii="Times New Roman" w:hAnsi="Times New Roman"/>
          <w:b w:val="false"/>
          <w:color w:val="000000"/>
          <w:sz w:val="14"/>
        </w:rPr>
        <w:t>During the nine months ended September 30, 2023, the Company received $0.2</w:t>
      </w:r>
      <w:r>
        <w:rPr>
          <w:color w:val="000000"/>
        </w:rPr>
        <w:t xml:space="preserve"> </w:t>
      </w:r>
      <w:r>
        <w:rPr>
          <w:rFonts w:ascii="Times New Roman" w:hAnsi="Times New Roman"/>
          <w:b w:val="false"/>
          <w:color w:val="000000"/>
          <w:sz w:val="14"/>
        </w:rPr>
        <w:t>million of non-recurring fee income that was paid in-kind and included in this financial statement line item.</w:t>
      </w:r>
    </w:p>
    <w:p>
      <w:pPr>
        <w:pStyle w:val="TextBody"/>
        <w:bidi w:val="0"/>
        <w:jc w:val="both"/>
        <w:rPr/>
      </w:pPr>
      <w:r>
        <w:rPr/>
        <w:t> </w:t>
      </w:r>
    </w:p>
    <w:p>
      <w:pPr>
        <w:pStyle w:val="TextBody"/>
        <w:bidi w:val="0"/>
        <w:jc w:val="center"/>
        <w:rPr>
          <w:rFonts w:ascii="Times New Roman" w:hAnsi="Times New Roman"/>
          <w:b w:val="false"/>
          <w:color w:val="000000"/>
          <w:sz w:val="16"/>
        </w:rPr>
      </w:pPr>
      <w:r>
        <w:rPr>
          <w:rFonts w:ascii="Times New Roman" w:hAnsi="Times New Roman"/>
          <w:b w:val="false"/>
          <w:color w:val="000000"/>
          <w:sz w:val="16"/>
        </w:rPr>
        <w:t>See accompanying notes to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bookmarkStart w:id="6" w:name="statements_of_changes_in_net_assets"/>
      <w:bookmarkEnd w:id="6"/>
      <w:r>
        <w:rPr>
          <w:rFonts w:ascii="Times New Roman" w:hAnsi="Times New Roman"/>
          <w:b/>
          <w:color w:val="000000"/>
          <w:sz w:val="16"/>
        </w:rPr>
        <w:t>CONSOLIDATED STATEMENTS OF CHANGES IN NET ASSETS</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data)</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60"/>
        <w:gridCol w:w="146"/>
        <w:gridCol w:w="826"/>
        <w:gridCol w:w="166"/>
        <w:gridCol w:w="146"/>
        <w:gridCol w:w="292"/>
        <w:gridCol w:w="515"/>
        <w:gridCol w:w="146"/>
        <w:gridCol w:w="146"/>
        <w:gridCol w:w="196"/>
        <w:gridCol w:w="691"/>
        <w:gridCol w:w="166"/>
        <w:gridCol w:w="146"/>
        <w:gridCol w:w="240"/>
        <w:gridCol w:w="811"/>
        <w:gridCol w:w="166"/>
        <w:gridCol w:w="146"/>
        <w:gridCol w:w="196"/>
        <w:gridCol w:w="691"/>
        <w:gridCol w:w="313"/>
      </w:tblGrid>
      <w:tr>
        <w:trPr/>
        <w:tc>
          <w:tcPr>
            <w:tcW w:w="40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4060" w:type="dxa"/>
            <w:tcBorders/>
            <w:shd w:fill="FFFFFF" w:val="clear"/>
            <w:vAlign w:val="center"/>
          </w:tcPr>
          <w:p>
            <w:pPr>
              <w:pStyle w:val="TableContents"/>
              <w:bidi w:val="0"/>
              <w:spacing w:before="0" w:after="283"/>
              <w:jc w:val="left"/>
              <w:rPr/>
            </w:pPr>
            <w:r>
              <w:rPr/>
              <w:t> </w:t>
            </w:r>
          </w:p>
        </w:tc>
        <w:tc>
          <w:tcPr>
            <w:tcW w:w="20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313" w:type="dxa"/>
            <w:tcBorders/>
            <w:shd w:fill="FFFFFF" w:val="clear"/>
            <w:vAlign w:val="center"/>
          </w:tcPr>
          <w:p>
            <w:pPr>
              <w:pStyle w:val="TableContents"/>
              <w:bidi w:val="0"/>
              <w:spacing w:before="0" w:after="283"/>
              <w:jc w:val="center"/>
              <w:rPr/>
            </w:pPr>
            <w:r>
              <w:rPr/>
              <w:t> </w:t>
            </w:r>
          </w:p>
        </w:tc>
      </w:tr>
      <w:tr>
        <w:trPr/>
        <w:tc>
          <w:tcPr>
            <w:tcW w:w="4060"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 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313" w:type="dxa"/>
            <w:tcBorders/>
            <w:shd w:fill="FFFFFF" w:val="clear"/>
            <w:vAlign w:val="center"/>
          </w:tcPr>
          <w:p>
            <w:pPr>
              <w:pStyle w:val="TableContents"/>
              <w:bidi w:val="0"/>
              <w:spacing w:before="0" w:after="283"/>
              <w:jc w:val="center"/>
              <w:rPr/>
            </w:pPr>
            <w:r>
              <w:rPr/>
              <w:t> </w:t>
            </w:r>
          </w:p>
        </w:tc>
      </w:tr>
      <w:tr>
        <w:trPr/>
        <w:tc>
          <w:tcPr>
            <w:tcW w:w="4060"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For the Three Months Ended September 30, 2023 and 2022</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June 30, 2023</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2,697,143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190,752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(94,553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96,226</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4060"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Net investment income</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1,154</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4060"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Net realized loss on investments</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left"/>
              <w:rPr/>
            </w:pPr>
            <w:r>
              <w:rPr/>
              <w:t> </w:t>
            </w:r>
          </w:p>
        </w:tc>
        <w:tc>
          <w:tcPr>
            <w:tcW w:w="5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w:t>
            </w:r>
          </w:p>
        </w:tc>
        <w:tc>
          <w:tcPr>
            <w:tcW w:w="313"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w:t>
            </w:r>
          </w:p>
        </w:tc>
      </w:tr>
      <w:tr>
        <w:trPr/>
        <w:tc>
          <w:tcPr>
            <w:tcW w:w="4060"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Net change in unrealized depreciation on investments</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(3,010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(3,010</w:t>
            </w:r>
          </w:p>
        </w:tc>
        <w:tc>
          <w:tcPr>
            <w:tcW w:w="313"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w:t>
            </w:r>
          </w:p>
        </w:tc>
      </w:tr>
      <w:tr>
        <w:trPr/>
        <w:tc>
          <w:tcPr>
            <w:tcW w:w="4060"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Repurchase of common stock</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(17,384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left"/>
              <w:rPr/>
            </w:pPr>
            <w:r>
              <w:rPr/>
              <w:t> </w:t>
            </w:r>
          </w:p>
        </w:tc>
        <w:tc>
          <w:tcPr>
            <w:tcW w:w="5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(369</w:t>
            </w:r>
          </w:p>
        </w:tc>
        <w:tc>
          <w:tcPr>
            <w:tcW w:w="313"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w:t>
            </w:r>
          </w:p>
        </w:tc>
      </w:tr>
      <w:tr>
        <w:trPr/>
        <w:tc>
          <w:tcPr>
            <w:tcW w:w="4060"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Stock issued under dividend reinvestment plan</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4060"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Distributions declared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(699</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06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September 30,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2,679,812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190,384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(97,203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93,208</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0"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13" w:type="dxa"/>
            <w:tcBorders/>
            <w:shd w:fill="CFF0FC" w:val="clear"/>
            <w:vAlign w:val="center"/>
          </w:tcPr>
          <w:p>
            <w:pPr>
              <w:pStyle w:val="TableContents"/>
              <w:bidi w:val="0"/>
              <w:spacing w:before="0" w:after="283"/>
              <w:jc w:val="right"/>
              <w:rPr/>
            </w:pPr>
            <w:r>
              <w:rPr/>
              <w:t> </w:t>
            </w:r>
          </w:p>
        </w:tc>
      </w:tr>
      <w:tr>
        <w:trPr/>
        <w:tc>
          <w:tcPr>
            <w:tcW w:w="406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June 30, 2022</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2,711,068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188,846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(87,736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101,137</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4060"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Net investment income</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left"/>
              <w:rPr/>
            </w:pPr>
            <w:r>
              <w:rPr/>
              <w:t> </w:t>
            </w:r>
          </w:p>
        </w:tc>
        <w:tc>
          <w:tcPr>
            <w:tcW w:w="5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182</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4060"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Net realized loss on investments</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(5,192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(5,192</w:t>
            </w:r>
          </w:p>
        </w:tc>
        <w:tc>
          <w:tcPr>
            <w:tcW w:w="313"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w:t>
            </w:r>
          </w:p>
        </w:tc>
      </w:tr>
      <w:tr>
        <w:trPr/>
        <w:tc>
          <w:tcPr>
            <w:tcW w:w="4060"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Net change in unrealized appreciation on investments</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left"/>
              <w:rPr/>
            </w:pPr>
            <w:r>
              <w:rPr/>
              <w:t> </w:t>
            </w:r>
          </w:p>
        </w:tc>
        <w:tc>
          <w:tcPr>
            <w:tcW w:w="5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2,049</w:t>
            </w:r>
          </w:p>
        </w:tc>
        <w:tc>
          <w:tcPr>
            <w:tcW w:w="313" w:type="dxa"/>
            <w:tcBorders/>
            <w:shd w:fill="CFF0FC" w:val="clear"/>
            <w:vAlign w:val="center"/>
          </w:tcPr>
          <w:p>
            <w:pPr>
              <w:pStyle w:val="TableContents"/>
              <w:bidi w:val="0"/>
              <w:spacing w:before="0" w:after="283"/>
              <w:jc w:val="left"/>
              <w:rPr/>
            </w:pPr>
            <w:r>
              <w:rPr/>
              <w:t> </w:t>
            </w:r>
          </w:p>
        </w:tc>
      </w:tr>
      <w:tr>
        <w:trPr/>
        <w:tc>
          <w:tcPr>
            <w:tcW w:w="406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September 30, 2022</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2,711,068</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188,846</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(90,697</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98,176</w:t>
            </w:r>
          </w:p>
        </w:tc>
        <w:tc>
          <w:tcPr>
            <w:tcW w:w="313"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53"/>
        <w:gridCol w:w="146"/>
        <w:gridCol w:w="826"/>
        <w:gridCol w:w="166"/>
        <w:gridCol w:w="146"/>
        <w:gridCol w:w="295"/>
        <w:gridCol w:w="520"/>
        <w:gridCol w:w="146"/>
        <w:gridCol w:w="146"/>
        <w:gridCol w:w="196"/>
        <w:gridCol w:w="691"/>
        <w:gridCol w:w="166"/>
        <w:gridCol w:w="146"/>
        <w:gridCol w:w="240"/>
        <w:gridCol w:w="811"/>
        <w:gridCol w:w="166"/>
        <w:gridCol w:w="146"/>
        <w:gridCol w:w="196"/>
        <w:gridCol w:w="691"/>
        <w:gridCol w:w="312"/>
      </w:tblGrid>
      <w:tr>
        <w:trPr/>
        <w:tc>
          <w:tcPr>
            <w:tcW w:w="40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4053" w:type="dxa"/>
            <w:tcBorders/>
            <w:shd w:fill="FFFFFF" w:val="clear"/>
            <w:vAlign w:val="center"/>
          </w:tcPr>
          <w:p>
            <w:pPr>
              <w:pStyle w:val="TableContents"/>
              <w:bidi w:val="0"/>
              <w:spacing w:before="0" w:after="283"/>
              <w:jc w:val="left"/>
              <w:rPr/>
            </w:pPr>
            <w:r>
              <w:rPr/>
              <w:t> </w:t>
            </w:r>
          </w:p>
        </w:tc>
        <w:tc>
          <w:tcPr>
            <w:tcW w:w="20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312" w:type="dxa"/>
            <w:tcBorders/>
            <w:shd w:fill="FFFFFF" w:val="clear"/>
            <w:vAlign w:val="center"/>
          </w:tcPr>
          <w:p>
            <w:pPr>
              <w:pStyle w:val="TableContents"/>
              <w:bidi w:val="0"/>
              <w:spacing w:before="0" w:after="283"/>
              <w:jc w:val="center"/>
              <w:rPr/>
            </w:pPr>
            <w:r>
              <w:rPr/>
              <w:t> </w:t>
            </w:r>
          </w:p>
        </w:tc>
      </w:tr>
      <w:tr>
        <w:trPr/>
        <w:tc>
          <w:tcPr>
            <w:tcW w:w="4053"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 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312" w:type="dxa"/>
            <w:tcBorders/>
            <w:shd w:fill="FFFFFF" w:val="clear"/>
            <w:vAlign w:val="center"/>
          </w:tcPr>
          <w:p>
            <w:pPr>
              <w:pStyle w:val="TableContents"/>
              <w:bidi w:val="0"/>
              <w:spacing w:before="0" w:after="283"/>
              <w:jc w:val="center"/>
              <w:rPr/>
            </w:pPr>
            <w:r>
              <w:rPr/>
              <w:t> </w:t>
            </w:r>
          </w:p>
        </w:tc>
      </w:tr>
      <w:tr>
        <w:trPr/>
        <w:tc>
          <w:tcPr>
            <w:tcW w:w="4053"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For the Nine Months Ended September 30, 2023 and 2022</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December 31, 2022</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2,711,068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2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191,038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(96,060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95,005</w:t>
            </w:r>
          </w:p>
        </w:tc>
        <w:tc>
          <w:tcPr>
            <w:tcW w:w="312" w:type="dxa"/>
            <w:tcBorders/>
            <w:shd w:fill="CFF0FC" w:val="clear"/>
            <w:vAlign w:val="center"/>
          </w:tcPr>
          <w:p>
            <w:pPr>
              <w:pStyle w:val="TableContents"/>
              <w:bidi w:val="0"/>
              <w:spacing w:before="0" w:after="283"/>
              <w:ind w:left="0" w:right="0" w:firstLine="100"/>
              <w:jc w:val="left"/>
              <w:rPr/>
            </w:pPr>
            <w:r>
              <w:rPr/>
              <w:t> </w:t>
            </w:r>
          </w:p>
        </w:tc>
      </w:tr>
      <w:tr>
        <w:trPr/>
        <w:tc>
          <w:tcPr>
            <w:tcW w:w="4053"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Net investment income</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3,266</w:t>
            </w:r>
          </w:p>
        </w:tc>
        <w:tc>
          <w:tcPr>
            <w:tcW w:w="312" w:type="dxa"/>
            <w:tcBorders/>
            <w:shd w:fill="FFFFFF" w:val="clear"/>
            <w:vAlign w:val="center"/>
          </w:tcPr>
          <w:p>
            <w:pPr>
              <w:pStyle w:val="TableContents"/>
              <w:bidi w:val="0"/>
              <w:spacing w:before="0" w:after="283"/>
              <w:ind w:left="0" w:right="0" w:firstLine="100"/>
              <w:jc w:val="left"/>
              <w:rPr/>
            </w:pPr>
            <w:r>
              <w:rPr/>
              <w:t> </w:t>
            </w:r>
          </w:p>
        </w:tc>
      </w:tr>
      <w:tr>
        <w:trPr/>
        <w:tc>
          <w:tcPr>
            <w:tcW w:w="4053"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Net realized loss on investments</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(3,963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(3,963</w:t>
            </w:r>
          </w:p>
        </w:tc>
        <w:tc>
          <w:tcPr>
            <w:tcW w:w="312"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w:t>
            </w:r>
          </w:p>
        </w:tc>
      </w:tr>
      <w:tr>
        <w:trPr/>
        <w:tc>
          <w:tcPr>
            <w:tcW w:w="4053"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Net change in unrealized appreciation on investments</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1,336</w:t>
            </w:r>
          </w:p>
        </w:tc>
        <w:tc>
          <w:tcPr>
            <w:tcW w:w="312" w:type="dxa"/>
            <w:tcBorders/>
            <w:shd w:fill="FFFFFF" w:val="clear"/>
            <w:vAlign w:val="center"/>
          </w:tcPr>
          <w:p>
            <w:pPr>
              <w:pStyle w:val="TableContents"/>
              <w:bidi w:val="0"/>
              <w:spacing w:before="0" w:after="283"/>
              <w:ind w:left="0" w:right="0" w:firstLine="100"/>
              <w:jc w:val="left"/>
              <w:rPr/>
            </w:pPr>
            <w:r>
              <w:rPr/>
              <w:t> </w:t>
            </w:r>
          </w:p>
        </w:tc>
      </w:tr>
      <w:tr>
        <w:trPr/>
        <w:tc>
          <w:tcPr>
            <w:tcW w:w="4053"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Repurchase of common stock</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(31,496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(659</w:t>
            </w:r>
          </w:p>
        </w:tc>
        <w:tc>
          <w:tcPr>
            <w:tcW w:w="312"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w:t>
            </w:r>
          </w:p>
        </w:tc>
      </w:tr>
      <w:tr>
        <w:trPr/>
        <w:tc>
          <w:tcPr>
            <w:tcW w:w="4053"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Stock issued under dividend reinvestment plan</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w:t>
            </w:r>
          </w:p>
        </w:tc>
        <w:tc>
          <w:tcPr>
            <w:tcW w:w="312" w:type="dxa"/>
            <w:tcBorders/>
            <w:shd w:fill="FFFFFF" w:val="clear"/>
            <w:vAlign w:val="center"/>
          </w:tcPr>
          <w:p>
            <w:pPr>
              <w:pStyle w:val="TableContents"/>
              <w:bidi w:val="0"/>
              <w:spacing w:before="0" w:after="283"/>
              <w:ind w:left="0" w:right="0" w:firstLine="100"/>
              <w:jc w:val="left"/>
              <w:rPr/>
            </w:pPr>
            <w:r>
              <w:rPr/>
              <w:t> </w:t>
            </w:r>
          </w:p>
        </w:tc>
      </w:tr>
      <w:tr>
        <w:trPr/>
        <w:tc>
          <w:tcPr>
            <w:tcW w:w="4053"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Distributions declared</w:t>
            </w:r>
          </w:p>
        </w:tc>
        <w:tc>
          <w:tcPr>
            <w:tcW w:w="9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(1,782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(1,782</w:t>
            </w:r>
          </w:p>
        </w:tc>
        <w:tc>
          <w:tcPr>
            <w:tcW w:w="31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05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September 30, 2023</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2,679,812</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190,384</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(97,203</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93,208</w:t>
            </w:r>
          </w:p>
        </w:tc>
        <w:tc>
          <w:tcPr>
            <w:tcW w:w="312"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053"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12" w:type="dxa"/>
            <w:tcBorders/>
            <w:shd w:fill="FFFFFF" w:val="clear"/>
            <w:vAlign w:val="center"/>
          </w:tcPr>
          <w:p>
            <w:pPr>
              <w:pStyle w:val="TableContents"/>
              <w:bidi w:val="0"/>
              <w:spacing w:before="0" w:after="283"/>
              <w:jc w:val="right"/>
              <w:rPr/>
            </w:pPr>
            <w:r>
              <w:rPr/>
              <w:t> </w:t>
            </w:r>
          </w:p>
        </w:tc>
      </w:tr>
      <w:tr>
        <w:trPr/>
        <w:tc>
          <w:tcPr>
            <w:tcW w:w="405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December 31, 2021</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2,711,068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2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188,846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(81,844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107,029</w:t>
            </w:r>
          </w:p>
        </w:tc>
        <w:tc>
          <w:tcPr>
            <w:tcW w:w="312" w:type="dxa"/>
            <w:tcBorders/>
            <w:shd w:fill="CFF0FC" w:val="clear"/>
            <w:vAlign w:val="center"/>
          </w:tcPr>
          <w:p>
            <w:pPr>
              <w:pStyle w:val="TableContents"/>
              <w:bidi w:val="0"/>
              <w:spacing w:before="0" w:after="283"/>
              <w:ind w:left="0" w:right="0" w:firstLine="100"/>
              <w:jc w:val="left"/>
              <w:rPr/>
            </w:pPr>
            <w:r>
              <w:rPr/>
              <w:t> </w:t>
            </w:r>
          </w:p>
        </w:tc>
      </w:tr>
      <w:tr>
        <w:trPr/>
        <w:tc>
          <w:tcPr>
            <w:tcW w:w="4053"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Net investment loss</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(1,797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(1,797</w:t>
            </w:r>
          </w:p>
        </w:tc>
        <w:tc>
          <w:tcPr>
            <w:tcW w:w="312"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w:t>
            </w:r>
          </w:p>
        </w:tc>
      </w:tr>
      <w:tr>
        <w:trPr/>
        <w:tc>
          <w:tcPr>
            <w:tcW w:w="4053"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Net realized gain on investments</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10,274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10,274</w:t>
            </w:r>
          </w:p>
        </w:tc>
        <w:tc>
          <w:tcPr>
            <w:tcW w:w="312" w:type="dxa"/>
            <w:tcBorders/>
            <w:shd w:fill="CFF0FC" w:val="clear"/>
            <w:vAlign w:val="center"/>
          </w:tcPr>
          <w:p>
            <w:pPr>
              <w:pStyle w:val="TableContents"/>
              <w:bidi w:val="0"/>
              <w:spacing w:before="0" w:after="283"/>
              <w:ind w:left="0" w:right="0" w:firstLine="100"/>
              <w:jc w:val="left"/>
              <w:rPr/>
            </w:pPr>
            <w:r>
              <w:rPr/>
              <w:t> </w:t>
            </w:r>
          </w:p>
        </w:tc>
      </w:tr>
      <w:tr>
        <w:trPr/>
        <w:tc>
          <w:tcPr>
            <w:tcW w:w="4053"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Net change in unrealized depreciation on investments</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(17,330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(17,330</w:t>
            </w:r>
          </w:p>
        </w:tc>
        <w:tc>
          <w:tcPr>
            <w:tcW w:w="31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05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September 30, 2022</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2,711,068</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2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188,846</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(90,697</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98,176</w:t>
            </w:r>
          </w:p>
        </w:tc>
        <w:tc>
          <w:tcPr>
            <w:tcW w:w="312"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val="false"/>
          <w:color w:val="000000"/>
          <w:sz w:val="16"/>
        </w:rPr>
      </w:pPr>
      <w:r>
        <w:rPr>
          <w:rFonts w:ascii="Times New Roman" w:hAnsi="Times New Roman"/>
          <w:b w:val="false"/>
          <w:color w:val="000000"/>
          <w:sz w:val="16"/>
        </w:rPr>
        <w:t>See accompanying notes to consolidated financial statements.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sz w:val="20"/>
        </w:rPr>
      </w:pPr>
      <w:bookmarkStart w:id="7" w:name="statements_of_cash_flows"/>
      <w:bookmarkEnd w:id="7"/>
      <w:r>
        <w:rPr>
          <w:rFonts w:ascii="Times New Roman" w:hAnsi="Times New Roman"/>
          <w:b/>
          <w:color w:val="000000"/>
          <w:sz w:val="16"/>
        </w:rPr>
        <w:t>CONSOLIDATED STATEMENTS</w:t>
      </w:r>
      <w:r>
        <w:rPr>
          <w:rFonts w:ascii="Times New Roman" w:hAnsi="Times New Roman"/>
          <w:color w:val="000000"/>
          <w:sz w:val="20"/>
        </w:rPr>
        <w:t xml:space="preserve"> </w:t>
      </w:r>
      <w:r>
        <w:rPr>
          <w:rFonts w:ascii="Times New Roman" w:hAnsi="Times New Roman"/>
          <w:b/>
          <w:color w:val="000000"/>
          <w:sz w:val="16"/>
        </w:rPr>
        <w:t>OF CASH FLOWS</w:t>
      </w:r>
    </w:p>
    <w:p>
      <w:pPr>
        <w:pStyle w:val="TextBody"/>
        <w:bidi w:val="0"/>
        <w:jc w:val="center"/>
        <w:rPr>
          <w:rFonts w:ascii="Times New Roman" w:hAnsi="Times New Roman"/>
          <w:b/>
          <w:color w:val="000000"/>
          <w:sz w:val="16"/>
        </w:rPr>
      </w:pPr>
      <w:r>
        <w:rPr>
          <w:rFonts w:ascii="Times New Roman" w:hAnsi="Times New Roman"/>
          <w:b/>
          <w:color w:val="000000"/>
          <w:sz w:val="16"/>
        </w:rPr>
        <w:t>(in thousands)</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797"/>
        <w:gridCol w:w="146"/>
        <w:gridCol w:w="265"/>
        <w:gridCol w:w="897"/>
        <w:gridCol w:w="225"/>
        <w:gridCol w:w="198"/>
        <w:gridCol w:w="265"/>
        <w:gridCol w:w="897"/>
        <w:gridCol w:w="515"/>
      </w:tblGrid>
      <w:tr>
        <w:trPr/>
        <w:tc>
          <w:tcPr>
            <w:tcW w:w="6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679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center"/>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9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vAlign w:val="center"/>
          </w:tcPr>
          <w:p>
            <w:pPr>
              <w:pStyle w:val="TableContents"/>
              <w:bidi w:val="0"/>
              <w:spacing w:before="0" w:after="283"/>
              <w:jc w:val="right"/>
              <w:rPr/>
            </w:pPr>
            <w:r>
              <w:rPr/>
              <w:t> </w:t>
            </w:r>
          </w:p>
        </w:tc>
        <w:tc>
          <w:tcPr>
            <w:tcW w:w="1162" w:type="dxa"/>
            <w:gridSpan w:val="2"/>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right"/>
              <w:rPr/>
            </w:pPr>
            <w:r>
              <w:rPr/>
              <w:t> </w:t>
            </w:r>
          </w:p>
        </w:tc>
        <w:tc>
          <w:tcPr>
            <w:tcW w:w="1162" w:type="dxa"/>
            <w:gridSpan w:val="2"/>
            <w:tcBorders/>
            <w:shd w:fill="CFF0FC" w:val="clear"/>
            <w:vAlign w:val="center"/>
          </w:tcPr>
          <w:p>
            <w:pPr>
              <w:pStyle w:val="TableContents"/>
              <w:bidi w:val="0"/>
              <w:spacing w:before="0" w:after="283"/>
              <w:jc w:val="right"/>
              <w:rPr/>
            </w:pPr>
            <w:r>
              <w:rPr/>
              <w:t> </w:t>
            </w:r>
          </w:p>
        </w:tc>
        <w:tc>
          <w:tcPr>
            <w:tcW w:w="515" w:type="dxa"/>
            <w:tcBorders/>
            <w:shd w:fill="CFF0FC" w:val="clear"/>
            <w:vAlign w:val="center"/>
          </w:tcPr>
          <w:p>
            <w:pPr>
              <w:pStyle w:val="TableContents"/>
              <w:bidi w:val="0"/>
              <w:spacing w:before="0" w:after="283"/>
              <w:ind w:left="0" w:right="0" w:firstLine="100"/>
              <w:jc w:val="right"/>
              <w:rPr/>
            </w:pPr>
            <w:r>
              <w:rPr/>
              <w:t> </w:t>
            </w:r>
          </w:p>
        </w:tc>
      </w:tr>
      <w:tr>
        <w:trPr/>
        <w:tc>
          <w:tcPr>
            <w:tcW w:w="6797"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Net increase (decrease) in net assets resulting from operations</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639</w:t>
            </w:r>
          </w:p>
        </w:tc>
        <w:tc>
          <w:tcPr>
            <w:tcW w:w="22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(8,853</w:t>
            </w:r>
          </w:p>
        </w:tc>
        <w:tc>
          <w:tcPr>
            <w:tcW w:w="515"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w:t>
            </w:r>
          </w:p>
        </w:tc>
      </w:tr>
      <w:tr>
        <w:trPr/>
        <w:tc>
          <w:tcPr>
            <w:tcW w:w="6797"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Adjustments to reconcile net increase (decrease) in net assets resulting from operations to net cash provided by (used in) operating activities:</w:t>
            </w:r>
          </w:p>
        </w:tc>
        <w:tc>
          <w:tcPr>
            <w:tcW w:w="146" w:type="dxa"/>
            <w:tcBorders/>
            <w:shd w:fill="CFF0FC" w:val="clear"/>
            <w:vAlign w:val="center"/>
          </w:tcPr>
          <w:p>
            <w:pPr>
              <w:pStyle w:val="TableContents"/>
              <w:bidi w:val="0"/>
              <w:spacing w:before="0" w:after="283"/>
              <w:jc w:val="right"/>
              <w:rPr/>
            </w:pPr>
            <w:r>
              <w:rPr/>
              <w:t> </w:t>
            </w:r>
          </w:p>
        </w:tc>
        <w:tc>
          <w:tcPr>
            <w:tcW w:w="1162" w:type="dxa"/>
            <w:gridSpan w:val="2"/>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right"/>
              <w:rPr/>
            </w:pPr>
            <w:r>
              <w:rPr/>
              <w:t> </w:t>
            </w:r>
          </w:p>
        </w:tc>
        <w:tc>
          <w:tcPr>
            <w:tcW w:w="1162" w:type="dxa"/>
            <w:gridSpan w:val="2"/>
            <w:tcBorders/>
            <w:shd w:fill="CFF0FC" w:val="clear"/>
            <w:vAlign w:val="center"/>
          </w:tcPr>
          <w:p>
            <w:pPr>
              <w:pStyle w:val="TableContents"/>
              <w:bidi w:val="0"/>
              <w:spacing w:before="0" w:after="283"/>
              <w:jc w:val="right"/>
              <w:rPr/>
            </w:pPr>
            <w:r>
              <w:rPr/>
              <w:t> </w:t>
            </w:r>
          </w:p>
        </w:tc>
        <w:tc>
          <w:tcPr>
            <w:tcW w:w="515" w:type="dxa"/>
            <w:tcBorders/>
            <w:shd w:fill="CFF0FC" w:val="clear"/>
            <w:vAlign w:val="center"/>
          </w:tcPr>
          <w:p>
            <w:pPr>
              <w:pStyle w:val="TableContents"/>
              <w:bidi w:val="0"/>
              <w:spacing w:before="0" w:after="283"/>
              <w:ind w:left="0" w:right="0" w:firstLine="200"/>
              <w:jc w:val="right"/>
              <w:rPr/>
            </w:pPr>
            <w:r>
              <w:rPr/>
              <w:t> </w:t>
            </w:r>
          </w:p>
        </w:tc>
      </w:tr>
      <w:tr>
        <w:trPr/>
        <w:tc>
          <w:tcPr>
            <w:tcW w:w="679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Purchase of investments</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(18,384</w:t>
            </w:r>
          </w:p>
        </w:tc>
        <w:tc>
          <w:tcPr>
            <w:tcW w:w="22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8"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(83,795</w:t>
            </w:r>
          </w:p>
        </w:tc>
        <w:tc>
          <w:tcPr>
            <w:tcW w:w="515"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679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Repayments and sales of investments</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34,462</w:t>
            </w:r>
          </w:p>
        </w:tc>
        <w:tc>
          <w:tcPr>
            <w:tcW w:w="225"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83,800</w:t>
            </w:r>
          </w:p>
        </w:tc>
        <w:tc>
          <w:tcPr>
            <w:tcW w:w="515" w:type="dxa"/>
            <w:tcBorders/>
            <w:shd w:fill="CFF0FC" w:val="clear"/>
            <w:vAlign w:val="center"/>
          </w:tcPr>
          <w:p>
            <w:pPr>
              <w:pStyle w:val="TableContents"/>
              <w:bidi w:val="0"/>
              <w:spacing w:before="0" w:after="283"/>
              <w:ind w:left="0" w:right="0" w:firstLine="200"/>
              <w:jc w:val="left"/>
              <w:rPr/>
            </w:pPr>
            <w:r>
              <w:rPr/>
              <w:t> </w:t>
            </w:r>
          </w:p>
        </w:tc>
      </w:tr>
      <w:tr>
        <w:trPr/>
        <w:tc>
          <w:tcPr>
            <w:tcW w:w="679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realized loss (gain) on investments</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3,963</w:t>
            </w:r>
          </w:p>
        </w:tc>
        <w:tc>
          <w:tcPr>
            <w:tcW w:w="22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(10,274</w:t>
            </w:r>
          </w:p>
        </w:tc>
        <w:tc>
          <w:tcPr>
            <w:tcW w:w="515"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679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change in unrealized (appreciation) depreciation on investments</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(1,336</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8"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17,330</w:t>
            </w:r>
          </w:p>
        </w:tc>
        <w:tc>
          <w:tcPr>
            <w:tcW w:w="515" w:type="dxa"/>
            <w:tcBorders/>
            <w:shd w:fill="CFF0FC" w:val="clear"/>
            <w:vAlign w:val="center"/>
          </w:tcPr>
          <w:p>
            <w:pPr>
              <w:pStyle w:val="TableContents"/>
              <w:bidi w:val="0"/>
              <w:spacing w:before="0" w:after="283"/>
              <w:ind w:left="0" w:right="0" w:firstLine="200"/>
              <w:jc w:val="left"/>
              <w:rPr/>
            </w:pPr>
            <w:r>
              <w:rPr/>
              <w:t> </w:t>
            </w:r>
          </w:p>
        </w:tc>
      </w:tr>
      <w:tr>
        <w:trPr/>
        <w:tc>
          <w:tcPr>
            <w:tcW w:w="679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Payment-in-kind interest and dividends</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(1,157</w:t>
            </w:r>
          </w:p>
        </w:tc>
        <w:tc>
          <w:tcPr>
            <w:tcW w:w="22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8"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(737</w:t>
            </w:r>
          </w:p>
        </w:tc>
        <w:tc>
          <w:tcPr>
            <w:tcW w:w="515"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679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Accretion of original issue discount on investments</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(1,055</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8"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(1,255</w:t>
            </w:r>
          </w:p>
        </w:tc>
        <w:tc>
          <w:tcPr>
            <w:tcW w:w="515"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679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Amortization of deferred financing fees and original issue discount</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616</w:t>
            </w:r>
          </w:p>
        </w:tc>
        <w:tc>
          <w:tcPr>
            <w:tcW w:w="22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729</w:t>
            </w:r>
          </w:p>
        </w:tc>
        <w:tc>
          <w:tcPr>
            <w:tcW w:w="515" w:type="dxa"/>
            <w:tcBorders/>
            <w:shd w:fill="FFFFFF" w:val="clear"/>
            <w:vAlign w:val="center"/>
          </w:tcPr>
          <w:p>
            <w:pPr>
              <w:pStyle w:val="TableContents"/>
              <w:bidi w:val="0"/>
              <w:spacing w:before="0" w:after="283"/>
              <w:ind w:left="0" w:right="0" w:firstLine="200"/>
              <w:jc w:val="left"/>
              <w:rPr/>
            </w:pPr>
            <w:r>
              <w:rPr/>
              <w:t> </w:t>
            </w:r>
          </w:p>
        </w:tc>
      </w:tr>
      <w:tr>
        <w:trPr/>
        <w:tc>
          <w:tcPr>
            <w:tcW w:w="679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Changes in assets and liabilities:</w:t>
            </w:r>
          </w:p>
        </w:tc>
        <w:tc>
          <w:tcPr>
            <w:tcW w:w="146" w:type="dxa"/>
            <w:tcBorders/>
            <w:shd w:fill="CFF0FC" w:val="clear"/>
            <w:vAlign w:val="center"/>
          </w:tcPr>
          <w:p>
            <w:pPr>
              <w:pStyle w:val="TableContents"/>
              <w:bidi w:val="0"/>
              <w:spacing w:before="0" w:after="283"/>
              <w:jc w:val="right"/>
              <w:rPr/>
            </w:pPr>
            <w:r>
              <w:rPr/>
              <w:t> </w:t>
            </w:r>
          </w:p>
        </w:tc>
        <w:tc>
          <w:tcPr>
            <w:tcW w:w="1162" w:type="dxa"/>
            <w:gridSpan w:val="2"/>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right"/>
              <w:rPr/>
            </w:pPr>
            <w:r>
              <w:rPr/>
              <w:t> </w:t>
            </w:r>
          </w:p>
        </w:tc>
        <w:tc>
          <w:tcPr>
            <w:tcW w:w="1162" w:type="dxa"/>
            <w:gridSpan w:val="2"/>
            <w:tcBorders/>
            <w:shd w:fill="CFF0FC" w:val="clear"/>
            <w:vAlign w:val="center"/>
          </w:tcPr>
          <w:p>
            <w:pPr>
              <w:pStyle w:val="TableContents"/>
              <w:bidi w:val="0"/>
              <w:spacing w:before="0" w:after="283"/>
              <w:jc w:val="right"/>
              <w:rPr/>
            </w:pPr>
            <w:r>
              <w:rPr/>
              <w:t> </w:t>
            </w:r>
          </w:p>
        </w:tc>
        <w:tc>
          <w:tcPr>
            <w:tcW w:w="515" w:type="dxa"/>
            <w:tcBorders/>
            <w:shd w:fill="CFF0FC" w:val="clear"/>
            <w:vAlign w:val="center"/>
          </w:tcPr>
          <w:p>
            <w:pPr>
              <w:pStyle w:val="TableContents"/>
              <w:bidi w:val="0"/>
              <w:spacing w:before="0" w:after="283"/>
              <w:ind w:left="0" w:right="0" w:firstLine="300"/>
              <w:jc w:val="right"/>
              <w:rPr/>
            </w:pPr>
            <w:r>
              <w:rPr/>
              <w:t> </w:t>
            </w:r>
          </w:p>
        </w:tc>
      </w:tr>
      <w:tr>
        <w:trPr/>
        <w:tc>
          <w:tcPr>
            <w:tcW w:w="6797"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16"/>
              </w:rPr>
            </w:pPr>
            <w:r>
              <w:rPr>
                <w:rFonts w:ascii="Times New Roman" w:hAnsi="Times New Roman"/>
                <w:b w:val="false"/>
                <w:color w:val="000000"/>
                <w:sz w:val="16"/>
              </w:rPr>
              <w:t>Interest and dividend receivable</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(715</w:t>
            </w:r>
          </w:p>
        </w:tc>
        <w:tc>
          <w:tcPr>
            <w:tcW w:w="22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8"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(233</w:t>
            </w:r>
          </w:p>
        </w:tc>
        <w:tc>
          <w:tcPr>
            <w:tcW w:w="515" w:type="dxa"/>
            <w:tcBorders/>
            <w:shd w:fill="FFFFFF" w:val="clear"/>
            <w:vAlign w:val="center"/>
          </w:tcPr>
          <w:p>
            <w:pPr>
              <w:pStyle w:val="TableContents"/>
              <w:bidi w:val="0"/>
              <w:spacing w:before="0" w:after="283"/>
              <w:ind w:left="0" w:right="0" w:firstLine="300"/>
              <w:jc w:val="left"/>
              <w:rPr>
                <w:rFonts w:ascii="Times New Roman" w:hAnsi="Times New Roman"/>
                <w:b w:val="false"/>
                <w:color w:val="000000"/>
                <w:sz w:val="16"/>
              </w:rPr>
            </w:pPr>
            <w:r>
              <w:rPr>
                <w:rFonts w:ascii="Times New Roman" w:hAnsi="Times New Roman"/>
                <w:b w:val="false"/>
                <w:color w:val="000000"/>
                <w:sz w:val="16"/>
              </w:rPr>
              <w:t>)</w:t>
            </w:r>
          </w:p>
        </w:tc>
      </w:tr>
      <w:tr>
        <w:trPr/>
        <w:tc>
          <w:tcPr>
            <w:tcW w:w="6797"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16"/>
              </w:rPr>
            </w:pPr>
            <w:r>
              <w:rPr>
                <w:rFonts w:ascii="Times New Roman" w:hAnsi="Times New Roman"/>
                <w:b w:val="false"/>
                <w:color w:val="000000"/>
                <w:sz w:val="16"/>
              </w:rPr>
              <w:t>Prepaid expenses</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301</w:t>
            </w:r>
          </w:p>
        </w:tc>
        <w:tc>
          <w:tcPr>
            <w:tcW w:w="225"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450</w:t>
            </w:r>
          </w:p>
        </w:tc>
        <w:tc>
          <w:tcPr>
            <w:tcW w:w="515" w:type="dxa"/>
            <w:tcBorders/>
            <w:shd w:fill="CFF0FC" w:val="clear"/>
            <w:vAlign w:val="center"/>
          </w:tcPr>
          <w:p>
            <w:pPr>
              <w:pStyle w:val="TableContents"/>
              <w:bidi w:val="0"/>
              <w:spacing w:before="0" w:after="283"/>
              <w:ind w:left="0" w:right="0" w:firstLine="300"/>
              <w:jc w:val="left"/>
              <w:rPr/>
            </w:pPr>
            <w:r>
              <w:rPr/>
              <w:t> </w:t>
            </w:r>
          </w:p>
        </w:tc>
      </w:tr>
      <w:tr>
        <w:trPr/>
        <w:tc>
          <w:tcPr>
            <w:tcW w:w="6797"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16"/>
              </w:rPr>
            </w:pPr>
            <w:r>
              <w:rPr>
                <w:rFonts w:ascii="Times New Roman" w:hAnsi="Times New Roman"/>
                <w:b w:val="false"/>
                <w:color w:val="000000"/>
                <w:sz w:val="16"/>
              </w:rPr>
              <w:t>Receivable for unsettled trades</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color w:val="000000"/>
              </w:rPr>
            </w:pPr>
            <w:r>
              <w:rPr>
                <w:color w:val="000000"/>
              </w:rPr>
              <w:t>—</w:t>
            </w:r>
          </w:p>
        </w:tc>
        <w:tc>
          <w:tcPr>
            <w:tcW w:w="22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685</w:t>
            </w:r>
          </w:p>
        </w:tc>
        <w:tc>
          <w:tcPr>
            <w:tcW w:w="515" w:type="dxa"/>
            <w:tcBorders/>
            <w:shd w:fill="FFFFFF" w:val="clear"/>
            <w:vAlign w:val="center"/>
          </w:tcPr>
          <w:p>
            <w:pPr>
              <w:pStyle w:val="TableContents"/>
              <w:bidi w:val="0"/>
              <w:spacing w:before="0" w:after="283"/>
              <w:ind w:left="0" w:right="0" w:firstLine="300"/>
              <w:jc w:val="left"/>
              <w:rPr/>
            </w:pPr>
            <w:r>
              <w:rPr/>
              <w:t> </w:t>
            </w:r>
          </w:p>
        </w:tc>
      </w:tr>
      <w:tr>
        <w:trPr/>
        <w:tc>
          <w:tcPr>
            <w:tcW w:w="6797"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16"/>
              </w:rPr>
            </w:pPr>
            <w:r>
              <w:rPr>
                <w:rFonts w:ascii="Times New Roman" w:hAnsi="Times New Roman"/>
                <w:b w:val="false"/>
                <w:color w:val="000000"/>
                <w:sz w:val="16"/>
              </w:rPr>
              <w:t>Other assets</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w:t>
            </w:r>
          </w:p>
        </w:tc>
        <w:tc>
          <w:tcPr>
            <w:tcW w:w="225"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w:t>
            </w:r>
          </w:p>
        </w:tc>
        <w:tc>
          <w:tcPr>
            <w:tcW w:w="515" w:type="dxa"/>
            <w:tcBorders/>
            <w:shd w:fill="CFF0FC" w:val="clear"/>
            <w:vAlign w:val="center"/>
          </w:tcPr>
          <w:p>
            <w:pPr>
              <w:pStyle w:val="TableContents"/>
              <w:bidi w:val="0"/>
              <w:spacing w:before="0" w:after="283"/>
              <w:ind w:left="0" w:right="0" w:firstLine="300"/>
              <w:jc w:val="left"/>
              <w:rPr>
                <w:rFonts w:ascii="Times New Roman" w:hAnsi="Times New Roman"/>
                <w:b w:val="false"/>
                <w:color w:val="000000"/>
                <w:sz w:val="16"/>
              </w:rPr>
            </w:pPr>
            <w:r>
              <w:rPr>
                <w:rFonts w:ascii="Times New Roman" w:hAnsi="Times New Roman"/>
                <w:b w:val="false"/>
                <w:color w:val="000000"/>
                <w:sz w:val="16"/>
              </w:rPr>
              <w:t>)</w:t>
            </w:r>
          </w:p>
        </w:tc>
      </w:tr>
      <w:tr>
        <w:trPr/>
        <w:tc>
          <w:tcPr>
            <w:tcW w:w="6797"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16"/>
              </w:rPr>
            </w:pPr>
            <w:r>
              <w:rPr>
                <w:rFonts w:ascii="Times New Roman" w:hAnsi="Times New Roman"/>
                <w:b w:val="false"/>
                <w:color w:val="000000"/>
                <w:sz w:val="16"/>
              </w:rPr>
              <w:t>Management and incentive fees payable</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w:t>
            </w:r>
          </w:p>
        </w:tc>
        <w:tc>
          <w:tcPr>
            <w:tcW w:w="22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8"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(138</w:t>
            </w:r>
          </w:p>
        </w:tc>
        <w:tc>
          <w:tcPr>
            <w:tcW w:w="515" w:type="dxa"/>
            <w:tcBorders/>
            <w:shd w:fill="FFFFFF" w:val="clear"/>
            <w:vAlign w:val="center"/>
          </w:tcPr>
          <w:p>
            <w:pPr>
              <w:pStyle w:val="TableContents"/>
              <w:bidi w:val="0"/>
              <w:spacing w:before="0" w:after="283"/>
              <w:ind w:left="0" w:right="0" w:firstLine="300"/>
              <w:jc w:val="left"/>
              <w:rPr>
                <w:rFonts w:ascii="Times New Roman" w:hAnsi="Times New Roman"/>
                <w:b w:val="false"/>
                <w:color w:val="000000"/>
                <w:sz w:val="16"/>
              </w:rPr>
            </w:pPr>
            <w:r>
              <w:rPr>
                <w:rFonts w:ascii="Times New Roman" w:hAnsi="Times New Roman"/>
                <w:b w:val="false"/>
                <w:color w:val="000000"/>
                <w:sz w:val="16"/>
              </w:rPr>
              <w:t>)</w:t>
            </w:r>
          </w:p>
        </w:tc>
      </w:tr>
      <w:tr>
        <w:trPr/>
        <w:tc>
          <w:tcPr>
            <w:tcW w:w="6797"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16"/>
              </w:rPr>
            </w:pPr>
            <w:r>
              <w:rPr>
                <w:rFonts w:ascii="Times New Roman" w:hAnsi="Times New Roman"/>
                <w:b w:val="false"/>
                <w:color w:val="000000"/>
                <w:sz w:val="16"/>
              </w:rPr>
              <w:t>Interest and financing fees payable</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428</w:t>
            </w:r>
          </w:p>
        </w:tc>
        <w:tc>
          <w:tcPr>
            <w:tcW w:w="225"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378</w:t>
            </w:r>
          </w:p>
        </w:tc>
        <w:tc>
          <w:tcPr>
            <w:tcW w:w="515" w:type="dxa"/>
            <w:tcBorders/>
            <w:shd w:fill="CFF0FC" w:val="clear"/>
            <w:vAlign w:val="center"/>
          </w:tcPr>
          <w:p>
            <w:pPr>
              <w:pStyle w:val="TableContents"/>
              <w:bidi w:val="0"/>
              <w:spacing w:before="0" w:after="283"/>
              <w:ind w:left="0" w:right="0" w:firstLine="300"/>
              <w:jc w:val="left"/>
              <w:rPr/>
            </w:pPr>
            <w:r>
              <w:rPr/>
              <w:t> </w:t>
            </w:r>
          </w:p>
        </w:tc>
      </w:tr>
      <w:tr>
        <w:trPr/>
        <w:tc>
          <w:tcPr>
            <w:tcW w:w="6797"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16"/>
              </w:rPr>
            </w:pPr>
            <w:r>
              <w:rPr>
                <w:rFonts w:ascii="Times New Roman" w:hAnsi="Times New Roman"/>
                <w:b w:val="false"/>
                <w:color w:val="000000"/>
                <w:sz w:val="16"/>
              </w:rPr>
              <w:t>Payable for unsettled trades</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2,314</w:t>
            </w:r>
          </w:p>
        </w:tc>
        <w:tc>
          <w:tcPr>
            <w:tcW w:w="22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(8,884</w:t>
            </w:r>
          </w:p>
        </w:tc>
        <w:tc>
          <w:tcPr>
            <w:tcW w:w="515" w:type="dxa"/>
            <w:tcBorders/>
            <w:shd w:fill="FFFFFF" w:val="clear"/>
            <w:vAlign w:val="center"/>
          </w:tcPr>
          <w:p>
            <w:pPr>
              <w:pStyle w:val="TableContents"/>
              <w:bidi w:val="0"/>
              <w:spacing w:before="0" w:after="283"/>
              <w:ind w:left="0" w:right="0" w:firstLine="300"/>
              <w:jc w:val="left"/>
              <w:rPr>
                <w:rFonts w:ascii="Times New Roman" w:hAnsi="Times New Roman"/>
                <w:b w:val="false"/>
                <w:color w:val="000000"/>
                <w:sz w:val="16"/>
              </w:rPr>
            </w:pPr>
            <w:r>
              <w:rPr>
                <w:rFonts w:ascii="Times New Roman" w:hAnsi="Times New Roman"/>
                <w:b w:val="false"/>
                <w:color w:val="000000"/>
                <w:sz w:val="16"/>
              </w:rPr>
              <w:t>)</w:t>
            </w:r>
          </w:p>
        </w:tc>
      </w:tr>
      <w:tr>
        <w:trPr/>
        <w:tc>
          <w:tcPr>
            <w:tcW w:w="6797"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16"/>
              </w:rPr>
            </w:pPr>
            <w:r>
              <w:rPr>
                <w:rFonts w:ascii="Times New Roman" w:hAnsi="Times New Roman"/>
                <w:b w:val="false"/>
                <w:color w:val="000000"/>
                <w:sz w:val="16"/>
              </w:rPr>
              <w:t>Accounts payable and accrued expenses</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738</w:t>
            </w:r>
          </w:p>
        </w:tc>
        <w:tc>
          <w:tcPr>
            <w:tcW w:w="225"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(164</w:t>
            </w:r>
          </w:p>
        </w:tc>
        <w:tc>
          <w:tcPr>
            <w:tcW w:w="51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679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CASH PROVIDED BY (USED IN) OPERATING ACTIVITIES</w:t>
            </w:r>
          </w:p>
        </w:tc>
        <w:tc>
          <w:tcPr>
            <w:tcW w:w="146" w:type="dxa"/>
            <w:tcBorders/>
            <w:shd w:fill="FFFFFF" w:val="clear"/>
            <w:vAlign w:val="center"/>
          </w:tcPr>
          <w:p>
            <w:pPr>
              <w:pStyle w:val="TableContents"/>
              <w:bidi w:val="0"/>
              <w:spacing w:before="0" w:after="283"/>
              <w:jc w:val="right"/>
              <w:rPr/>
            </w:pPr>
            <w:r>
              <w:rPr/>
              <w:t> </w:t>
            </w:r>
          </w:p>
        </w:tc>
        <w:tc>
          <w:tcPr>
            <w:tcW w:w="26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20,845</w:t>
            </w:r>
          </w:p>
        </w:tc>
        <w:tc>
          <w:tcPr>
            <w:tcW w:w="22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right"/>
              <w:rPr/>
            </w:pPr>
            <w:r>
              <w:rPr/>
              <w:t> </w:t>
            </w:r>
          </w:p>
        </w:tc>
        <w:tc>
          <w:tcPr>
            <w:tcW w:w="26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(10,991</w:t>
            </w:r>
          </w:p>
        </w:tc>
        <w:tc>
          <w:tcPr>
            <w:tcW w:w="515"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679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CFF0FC" w:val="clear"/>
            <w:vAlign w:val="center"/>
          </w:tcPr>
          <w:p>
            <w:pPr>
              <w:pStyle w:val="TableContents"/>
              <w:bidi w:val="0"/>
              <w:spacing w:before="0" w:after="283"/>
              <w:jc w:val="right"/>
              <w:rPr/>
            </w:pPr>
            <w:r>
              <w:rPr/>
              <w:t> </w:t>
            </w:r>
          </w:p>
        </w:tc>
        <w:tc>
          <w:tcPr>
            <w:tcW w:w="1162" w:type="dxa"/>
            <w:gridSpan w:val="2"/>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right"/>
              <w:rPr/>
            </w:pPr>
            <w:r>
              <w:rPr/>
              <w:t> </w:t>
            </w:r>
          </w:p>
        </w:tc>
        <w:tc>
          <w:tcPr>
            <w:tcW w:w="1162" w:type="dxa"/>
            <w:gridSpan w:val="2"/>
            <w:tcBorders/>
            <w:shd w:fill="CFF0FC" w:val="clear"/>
            <w:vAlign w:val="center"/>
          </w:tcPr>
          <w:p>
            <w:pPr>
              <w:pStyle w:val="TableContents"/>
              <w:bidi w:val="0"/>
              <w:spacing w:before="0" w:after="283"/>
              <w:jc w:val="right"/>
              <w:rPr/>
            </w:pPr>
            <w:r>
              <w:rPr/>
              <w:t> </w:t>
            </w:r>
          </w:p>
        </w:tc>
        <w:tc>
          <w:tcPr>
            <w:tcW w:w="515" w:type="dxa"/>
            <w:tcBorders/>
            <w:shd w:fill="CFF0FC" w:val="clear"/>
            <w:vAlign w:val="center"/>
          </w:tcPr>
          <w:p>
            <w:pPr>
              <w:pStyle w:val="TableContents"/>
              <w:bidi w:val="0"/>
              <w:spacing w:before="0" w:after="283"/>
              <w:ind w:left="0" w:right="0" w:firstLine="100"/>
              <w:jc w:val="right"/>
              <w:rPr/>
            </w:pPr>
            <w:r>
              <w:rPr/>
              <w:t> </w:t>
            </w:r>
          </w:p>
        </w:tc>
      </w:tr>
      <w:tr>
        <w:trPr/>
        <w:tc>
          <w:tcPr>
            <w:tcW w:w="6797"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Proceeds from issuance of 2032 Notes</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color w:val="000000"/>
              </w:rPr>
            </w:pPr>
            <w:r>
              <w:rPr>
                <w:color w:val="000000"/>
              </w:rPr>
              <w:t>—</w:t>
            </w:r>
          </w:p>
        </w:tc>
        <w:tc>
          <w:tcPr>
            <w:tcW w:w="22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13,950</w:t>
            </w:r>
          </w:p>
        </w:tc>
        <w:tc>
          <w:tcPr>
            <w:tcW w:w="515" w:type="dxa"/>
            <w:tcBorders/>
            <w:shd w:fill="FFFFFF" w:val="clear"/>
            <w:vAlign w:val="center"/>
          </w:tcPr>
          <w:p>
            <w:pPr>
              <w:pStyle w:val="TableContents"/>
              <w:bidi w:val="0"/>
              <w:spacing w:before="0" w:after="283"/>
              <w:ind w:left="0" w:right="0" w:firstLine="100"/>
              <w:jc w:val="left"/>
              <w:rPr/>
            </w:pPr>
            <w:r>
              <w:rPr/>
              <w:t> </w:t>
            </w:r>
          </w:p>
        </w:tc>
      </w:tr>
      <w:tr>
        <w:trPr/>
        <w:tc>
          <w:tcPr>
            <w:tcW w:w="6797"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Repayment of 2022 Notes</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color w:val="000000"/>
              </w:rPr>
            </w:pPr>
            <w:r>
              <w:rPr>
                <w:color w:val="000000"/>
              </w:rPr>
              <w:t>—</w:t>
            </w:r>
          </w:p>
        </w:tc>
        <w:tc>
          <w:tcPr>
            <w:tcW w:w="225"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(22,833</w:t>
            </w:r>
          </w:p>
        </w:tc>
        <w:tc>
          <w:tcPr>
            <w:tcW w:w="515"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w:t>
            </w:r>
          </w:p>
        </w:tc>
      </w:tr>
      <w:tr>
        <w:trPr/>
        <w:tc>
          <w:tcPr>
            <w:tcW w:w="6797"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Repayment of 2022 Convertible Notes</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color w:val="000000"/>
              </w:rPr>
            </w:pPr>
            <w:r>
              <w:rPr>
                <w:color w:val="000000"/>
              </w:rPr>
              <w:t>—</w:t>
            </w:r>
          </w:p>
        </w:tc>
        <w:tc>
          <w:tcPr>
            <w:tcW w:w="22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(52,088</w:t>
            </w:r>
          </w:p>
        </w:tc>
        <w:tc>
          <w:tcPr>
            <w:tcW w:w="515"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w:t>
            </w:r>
          </w:p>
        </w:tc>
      </w:tr>
      <w:tr>
        <w:trPr/>
        <w:tc>
          <w:tcPr>
            <w:tcW w:w="6797"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Borrowings under KeyBank Credit Facility</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14,000</w:t>
            </w:r>
          </w:p>
        </w:tc>
        <w:tc>
          <w:tcPr>
            <w:tcW w:w="225"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71,776</w:t>
            </w:r>
          </w:p>
        </w:tc>
        <w:tc>
          <w:tcPr>
            <w:tcW w:w="515" w:type="dxa"/>
            <w:tcBorders/>
            <w:shd w:fill="CFF0FC" w:val="clear"/>
            <w:vAlign w:val="center"/>
          </w:tcPr>
          <w:p>
            <w:pPr>
              <w:pStyle w:val="TableContents"/>
              <w:bidi w:val="0"/>
              <w:spacing w:before="0" w:after="283"/>
              <w:ind w:left="0" w:right="0" w:firstLine="100"/>
              <w:jc w:val="left"/>
              <w:rPr/>
            </w:pPr>
            <w:r>
              <w:rPr/>
              <w:t> </w:t>
            </w:r>
          </w:p>
        </w:tc>
      </w:tr>
      <w:tr>
        <w:trPr/>
        <w:tc>
          <w:tcPr>
            <w:tcW w:w="6797"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Repayments under KeyBank Credit Facility</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(34,087</w:t>
            </w:r>
          </w:p>
        </w:tc>
        <w:tc>
          <w:tcPr>
            <w:tcW w:w="22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8"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(26,000</w:t>
            </w:r>
          </w:p>
        </w:tc>
        <w:tc>
          <w:tcPr>
            <w:tcW w:w="515"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w:t>
            </w:r>
          </w:p>
        </w:tc>
      </w:tr>
      <w:tr>
        <w:trPr/>
        <w:tc>
          <w:tcPr>
            <w:tcW w:w="6797"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Distributions paid to shareholders</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(1,777</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8"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color w:val="000000"/>
              </w:rPr>
            </w:pPr>
            <w:r>
              <w:rPr>
                <w:color w:val="000000"/>
              </w:rPr>
              <w:t>—</w:t>
            </w:r>
          </w:p>
        </w:tc>
        <w:tc>
          <w:tcPr>
            <w:tcW w:w="515" w:type="dxa"/>
            <w:tcBorders/>
            <w:shd w:fill="CFF0FC" w:val="clear"/>
            <w:vAlign w:val="center"/>
          </w:tcPr>
          <w:p>
            <w:pPr>
              <w:pStyle w:val="TableContents"/>
              <w:bidi w:val="0"/>
              <w:spacing w:before="0" w:after="283"/>
              <w:ind w:left="0" w:right="0" w:firstLine="100"/>
              <w:jc w:val="left"/>
              <w:rPr/>
            </w:pPr>
            <w:r>
              <w:rPr/>
              <w:t> </w:t>
            </w:r>
          </w:p>
        </w:tc>
      </w:tr>
      <w:tr>
        <w:trPr/>
        <w:tc>
          <w:tcPr>
            <w:tcW w:w="6797"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Repurchase of common stock</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(659</w:t>
            </w:r>
          </w:p>
        </w:tc>
        <w:tc>
          <w:tcPr>
            <w:tcW w:w="22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8"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color w:val="000000"/>
              </w:rPr>
            </w:pPr>
            <w:r>
              <w:rPr>
                <w:color w:val="000000"/>
              </w:rPr>
              <w:t>—</w:t>
            </w:r>
          </w:p>
        </w:tc>
        <w:tc>
          <w:tcPr>
            <w:tcW w:w="515" w:type="dxa"/>
            <w:tcBorders/>
            <w:shd w:fill="FFFFFF" w:val="clear"/>
            <w:vAlign w:val="center"/>
          </w:tcPr>
          <w:p>
            <w:pPr>
              <w:pStyle w:val="TableContents"/>
              <w:bidi w:val="0"/>
              <w:spacing w:before="0" w:after="283"/>
              <w:ind w:left="0" w:right="0" w:firstLine="100"/>
              <w:jc w:val="left"/>
              <w:rPr/>
            </w:pPr>
            <w:r>
              <w:rPr/>
              <w:t> </w:t>
            </w:r>
          </w:p>
        </w:tc>
      </w:tr>
      <w:tr>
        <w:trPr/>
        <w:tc>
          <w:tcPr>
            <w:tcW w:w="6797"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Deferred financing fees paid</w:t>
            </w:r>
          </w:p>
        </w:tc>
        <w:tc>
          <w:tcPr>
            <w:tcW w:w="146" w:type="dxa"/>
            <w:tcBorders/>
            <w:shd w:fill="CFF0FC" w:val="clear"/>
            <w:vAlign w:val="center"/>
          </w:tcPr>
          <w:p>
            <w:pPr>
              <w:pStyle w:val="TableContents"/>
              <w:bidi w:val="0"/>
              <w:spacing w:before="0" w:after="283"/>
              <w:jc w:val="righ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righ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(1,607</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679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CASH USED IN FINANCING ACTIVITIES</w:t>
            </w:r>
          </w:p>
        </w:tc>
        <w:tc>
          <w:tcPr>
            <w:tcW w:w="146" w:type="dxa"/>
            <w:tcBorders/>
            <w:shd w:fill="FFFFFF" w:val="cle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(22,523</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8" w:type="dxa"/>
            <w:tcBorders/>
            <w:shd w:fill="FFFFFF" w:val="cle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(16,802</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679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(1,678</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8"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(27,793</w:t>
            </w:r>
          </w:p>
        </w:tc>
        <w:tc>
          <w:tcPr>
            <w:tcW w:w="51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679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CASH AND CASH EQUIVALENTS, beginning of period</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6,793</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39,056</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9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CASH AND CASH EQUIVALENTS, end of period</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5,115</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11,263</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SUPPLEMENTAL DISCLOSURE OF CASH FLOW INFORMATION</w:t>
            </w:r>
          </w:p>
        </w:tc>
        <w:tc>
          <w:tcPr>
            <w:tcW w:w="146" w:type="dxa"/>
            <w:tcBorders/>
            <w:shd w:fill="FFFFFF" w:val="clear"/>
            <w:vAlign w:val="center"/>
          </w:tcPr>
          <w:p>
            <w:pPr>
              <w:pStyle w:val="TableContents"/>
              <w:bidi w:val="0"/>
              <w:spacing w:before="0" w:after="283"/>
              <w:jc w:val="right"/>
              <w:rPr/>
            </w:pPr>
            <w:r>
              <w:rPr/>
              <w:t> </w:t>
            </w:r>
          </w:p>
        </w:tc>
        <w:tc>
          <w:tcPr>
            <w:tcW w:w="1162" w:type="dxa"/>
            <w:gridSpan w:val="2"/>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right"/>
              <w:rPr/>
            </w:pPr>
            <w:r>
              <w:rPr/>
              <w:t> </w:t>
            </w:r>
          </w:p>
        </w:tc>
        <w:tc>
          <w:tcPr>
            <w:tcW w:w="1162" w:type="dxa"/>
            <w:gridSpan w:val="2"/>
            <w:tcBorders/>
            <w:shd w:fill="FFFFFF" w:val="clear"/>
            <w:vAlign w:val="center"/>
          </w:tcPr>
          <w:p>
            <w:pPr>
              <w:pStyle w:val="TableContents"/>
              <w:bidi w:val="0"/>
              <w:spacing w:before="0" w:after="283"/>
              <w:jc w:val="right"/>
              <w:rPr/>
            </w:pPr>
            <w:r>
              <w:rPr/>
              <w:t> </w:t>
            </w:r>
          </w:p>
        </w:tc>
        <w:tc>
          <w:tcPr>
            <w:tcW w:w="515" w:type="dxa"/>
            <w:tcBorders/>
            <w:shd w:fill="FFFFFF" w:val="clear"/>
            <w:vAlign w:val="center"/>
          </w:tcPr>
          <w:p>
            <w:pPr>
              <w:pStyle w:val="TableContents"/>
              <w:bidi w:val="0"/>
              <w:spacing w:before="0" w:after="283"/>
              <w:ind w:left="0" w:right="0" w:firstLine="100"/>
              <w:jc w:val="right"/>
              <w:rPr/>
            </w:pPr>
            <w:r>
              <w:rPr/>
              <w:t> </w:t>
            </w:r>
          </w:p>
        </w:tc>
      </w:tr>
      <w:tr>
        <w:trPr/>
        <w:tc>
          <w:tcPr>
            <w:tcW w:w="6797"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Cash paid for interest</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5,305</w:t>
            </w:r>
          </w:p>
        </w:tc>
        <w:tc>
          <w:tcPr>
            <w:tcW w:w="225"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4,401</w:t>
            </w:r>
          </w:p>
        </w:tc>
        <w:tc>
          <w:tcPr>
            <w:tcW w:w="515" w:type="dxa"/>
            <w:tcBorders/>
            <w:shd w:fill="CFF0FC" w:val="clear"/>
            <w:vAlign w:val="center"/>
          </w:tcPr>
          <w:p>
            <w:pPr>
              <w:pStyle w:val="TableContents"/>
              <w:bidi w:val="0"/>
              <w:spacing w:before="0" w:after="283"/>
              <w:jc w:val="left"/>
              <w:rPr/>
            </w:pPr>
            <w:r>
              <w:rPr/>
              <w:t> </w:t>
            </w:r>
          </w:p>
        </w:tc>
      </w:tr>
      <w:tr>
        <w:trPr/>
        <w:tc>
          <w:tcPr>
            <w:tcW w:w="679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SUPPLEMENTAL DISCLOSURE OF NON-CASH INVESTING AND</w:t>
              <w:br/>
              <w:t>   FINANCING TRANSACTIONS</w:t>
            </w:r>
          </w:p>
        </w:tc>
        <w:tc>
          <w:tcPr>
            <w:tcW w:w="146" w:type="dxa"/>
            <w:tcBorders/>
            <w:shd w:fill="FFFFFF" w:val="clear"/>
            <w:vAlign w:val="center"/>
          </w:tcPr>
          <w:p>
            <w:pPr>
              <w:pStyle w:val="TableContents"/>
              <w:bidi w:val="0"/>
              <w:spacing w:before="0" w:after="283"/>
              <w:jc w:val="right"/>
              <w:rPr/>
            </w:pPr>
            <w:r>
              <w:rPr/>
              <w:t> </w:t>
            </w:r>
          </w:p>
        </w:tc>
        <w:tc>
          <w:tcPr>
            <w:tcW w:w="1162" w:type="dxa"/>
            <w:gridSpan w:val="2"/>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right"/>
              <w:rPr/>
            </w:pPr>
            <w:r>
              <w:rPr/>
              <w:t> </w:t>
            </w:r>
          </w:p>
        </w:tc>
        <w:tc>
          <w:tcPr>
            <w:tcW w:w="1162" w:type="dxa"/>
            <w:gridSpan w:val="2"/>
            <w:tcBorders/>
            <w:shd w:fill="FFFFFF" w:val="clear"/>
            <w:vAlign w:val="center"/>
          </w:tcPr>
          <w:p>
            <w:pPr>
              <w:pStyle w:val="TableContents"/>
              <w:bidi w:val="0"/>
              <w:spacing w:before="0" w:after="283"/>
              <w:jc w:val="right"/>
              <w:rPr/>
            </w:pPr>
            <w:r>
              <w:rPr/>
              <w:t> </w:t>
            </w:r>
          </w:p>
        </w:tc>
        <w:tc>
          <w:tcPr>
            <w:tcW w:w="515" w:type="dxa"/>
            <w:tcBorders/>
            <w:shd w:fill="FFFFFF" w:val="clear"/>
            <w:vAlign w:val="center"/>
          </w:tcPr>
          <w:p>
            <w:pPr>
              <w:pStyle w:val="TableContents"/>
              <w:bidi w:val="0"/>
              <w:spacing w:before="0" w:after="283"/>
              <w:ind w:left="0" w:right="0" w:firstLine="100"/>
              <w:jc w:val="right"/>
              <w:rPr/>
            </w:pPr>
            <w:r>
              <w:rPr/>
              <w:t> </w:t>
            </w:r>
          </w:p>
        </w:tc>
      </w:tr>
      <w:tr>
        <w:trPr/>
        <w:tc>
          <w:tcPr>
            <w:tcW w:w="6797"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Distributions paid through dividend reinvestment plan share issuances</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w:t>
            </w:r>
          </w:p>
        </w:tc>
        <w:tc>
          <w:tcPr>
            <w:tcW w:w="225"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97" w:type="dxa"/>
            <w:tcBorders/>
            <w:shd w:fill="CFF0FC" w:val="clear"/>
            <w:vAlign w:val="center"/>
          </w:tcPr>
          <w:p>
            <w:pPr>
              <w:pStyle w:val="TableContents"/>
              <w:bidi w:val="0"/>
              <w:spacing w:before="0" w:after="283"/>
              <w:jc w:val="right"/>
              <w:rPr>
                <w:color w:val="000000"/>
              </w:rPr>
            </w:pPr>
            <w:r>
              <w:rPr>
                <w:color w:val="000000"/>
              </w:rPr>
              <w:t>—</w:t>
            </w:r>
          </w:p>
        </w:tc>
        <w:tc>
          <w:tcPr>
            <w:tcW w:w="515" w:type="dxa"/>
            <w:tcBorders/>
            <w:shd w:fill="CFF0FC"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val="false"/>
          <w:color w:val="000000"/>
          <w:sz w:val="16"/>
        </w:rPr>
      </w:pPr>
      <w:r>
        <w:rPr>
          <w:rFonts w:ascii="Times New Roman" w:hAnsi="Times New Roman"/>
          <w:b w:val="false"/>
          <w:color w:val="000000"/>
          <w:sz w:val="16"/>
        </w:rPr>
        <w:t>See accompanying notes to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bookmarkStart w:id="8" w:name="schedule_of_investments"/>
      <w:bookmarkEnd w:id="8"/>
      <w:r>
        <w:rPr>
          <w:rFonts w:ascii="Times New Roman" w:hAnsi="Times New Roman"/>
          <w:b/>
          <w:color w:val="000000"/>
          <w:sz w:val="16"/>
        </w:rPr>
        <w:t>CONSOLIDATED SCHEDULE OF INVESTMENTS</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for units/shares)</w:t>
      </w:r>
    </w:p>
    <w:p>
      <w:pPr>
        <w:pStyle w:val="TextBody"/>
        <w:bidi w:val="0"/>
        <w:jc w:val="center"/>
        <w:rPr>
          <w:rFonts w:ascii="Times New Roman" w:hAnsi="Times New Roman"/>
          <w:b/>
          <w:color w:val="000000"/>
          <w:sz w:val="16"/>
        </w:rPr>
      </w:pPr>
      <w:r>
        <w:rPr>
          <w:rFonts w:ascii="Times New Roman" w:hAnsi="Times New Roman"/>
          <w:b/>
          <w:color w:val="000000"/>
          <w:sz w:val="16"/>
        </w:rPr>
        <w:t>September 30,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43"/>
        <w:gridCol w:w="146"/>
        <w:gridCol w:w="1203"/>
        <w:gridCol w:w="146"/>
        <w:gridCol w:w="706"/>
        <w:gridCol w:w="146"/>
        <w:gridCol w:w="976"/>
        <w:gridCol w:w="146"/>
        <w:gridCol w:w="464"/>
        <w:gridCol w:w="146"/>
        <w:gridCol w:w="608"/>
        <w:gridCol w:w="146"/>
        <w:gridCol w:w="171"/>
        <w:gridCol w:w="583"/>
        <w:gridCol w:w="146"/>
        <w:gridCol w:w="146"/>
        <w:gridCol w:w="166"/>
        <w:gridCol w:w="496"/>
        <w:gridCol w:w="151"/>
        <w:gridCol w:w="146"/>
        <w:gridCol w:w="166"/>
        <w:gridCol w:w="496"/>
        <w:gridCol w:w="151"/>
        <w:gridCol w:w="146"/>
        <w:gridCol w:w="665"/>
      </w:tblGrid>
      <w:tr>
        <w:trPr/>
        <w:tc>
          <w:tcPr>
            <w:tcW w:w="1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(1), (2), (3), (4), (5)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5676" w:type="dxa"/>
            <w:gridSpan w:val="9"/>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Investments in Non-Control, Non-Affiliate Portfolio Companies - 170.9%</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4"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3092"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Lien/Senior Secured Debt - 126.9%</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Accordion Partners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11.66%</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+ 6.27%</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0.75%</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08/29/2029</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5,427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5,322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5,394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Accordion Partners LLC (Revolver)</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Industrials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+ 6.25%</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0.75%</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08/31/2028</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(12)(17)</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Accurate Background,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11.65%</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+ 6.00%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03/26/2027</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4,424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4,157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4,275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AIDC Intermediateco 2, LLC (Peak Technologies)</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11.75%</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+ 6.40%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07/22/2027</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4,895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4,885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Alternative Biomedical Solutions,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8.00%</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06/30/2023</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7,426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4,997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American Academy Holdings,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16.43%</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+ 5.75%, 5.25% PIK</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01/01/2025</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2,570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2,597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American Clinical Solutions,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15.50%</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 + 7.00%, 8.50% PIK</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12/31/2024</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4,941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4,528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AP Core Holdings II,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10.93%</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+ 5.50%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0.75%</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07/21/2027</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1,114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1,109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AP Core Holdings II,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10.93%</w:t>
            </w:r>
          </w:p>
        </w:tc>
        <w:tc>
          <w:tcPr>
            <w:tcW w:w="146" w:type="dxa"/>
            <w:tcBorders/>
            <w:shd w:fill="CFF0FC" w:val="clear"/>
            <w:vAlign w:val="center"/>
          </w:tcPr>
          <w:p>
            <w:pPr>
              <w:pStyle w:val="TableContents"/>
              <w:bidi w:val="0"/>
              <w:spacing w:before="0" w:after="283"/>
              <w:jc w:val="right"/>
              <w:rPr/>
            </w:pPr>
            <w:r>
              <w:rPr/>
              <w:t> </w:t>
            </w:r>
          </w:p>
        </w:tc>
        <w:tc>
          <w:tcPr>
            <w:tcW w:w="97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+ 5.50%</w:t>
            </w:r>
          </w:p>
        </w:tc>
        <w:tc>
          <w:tcPr>
            <w:tcW w:w="146" w:type="dxa"/>
            <w:tcBorders/>
            <w:shd w:fill="CFF0FC" w:val="clear"/>
            <w:vAlign w:val="center"/>
          </w:tcPr>
          <w:p>
            <w:pPr>
              <w:pStyle w:val="TableContents"/>
              <w:bidi w:val="0"/>
              <w:spacing w:before="0" w:after="283"/>
              <w:jc w:val="right"/>
              <w:rPr/>
            </w:pPr>
            <w:r>
              <w:rPr/>
              <w:t> </w:t>
            </w:r>
          </w:p>
        </w:tc>
        <w:tc>
          <w:tcPr>
            <w:tcW w:w="464"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0.75%</w:t>
            </w:r>
          </w:p>
        </w:tc>
        <w:tc>
          <w:tcPr>
            <w:tcW w:w="146" w:type="dxa"/>
            <w:tcBorders/>
            <w:shd w:fill="CFF0FC" w:val="clear"/>
            <w:vAlign w:val="center"/>
          </w:tcPr>
          <w:p>
            <w:pPr>
              <w:pStyle w:val="TableContents"/>
              <w:bidi w:val="0"/>
              <w:spacing w:before="0" w:after="283"/>
              <w:jc w:val="right"/>
              <w:rPr/>
            </w:pPr>
            <w:r>
              <w:rPr/>
              <w:t> </w:t>
            </w:r>
          </w:p>
        </w:tc>
        <w:tc>
          <w:tcPr>
            <w:tcW w:w="608"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07/21/2027</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1,238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1,218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BetaNXT, Inc.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11.14%</w:t>
            </w:r>
          </w:p>
        </w:tc>
        <w:tc>
          <w:tcPr>
            <w:tcW w:w="146" w:type="dxa"/>
            <w:tcBorders/>
            <w:shd w:fill="FFFFFF" w:val="clear"/>
            <w:vAlign w:val="center"/>
          </w:tcPr>
          <w:p>
            <w:pPr>
              <w:pStyle w:val="TableContents"/>
              <w:bidi w:val="0"/>
              <w:spacing w:before="0" w:after="283"/>
              <w:jc w:val="right"/>
              <w:rPr/>
            </w:pPr>
            <w:r>
              <w:rPr/>
              <w:t> </w:t>
            </w:r>
          </w:p>
        </w:tc>
        <w:tc>
          <w:tcPr>
            <w:tcW w:w="97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+ 5.75%</w:t>
            </w:r>
          </w:p>
        </w:tc>
        <w:tc>
          <w:tcPr>
            <w:tcW w:w="146" w:type="dxa"/>
            <w:tcBorders/>
            <w:shd w:fill="FFFFFF" w:val="clear"/>
            <w:vAlign w:val="center"/>
          </w:tcPr>
          <w:p>
            <w:pPr>
              <w:pStyle w:val="TableContents"/>
              <w:bidi w:val="0"/>
              <w:spacing w:before="0" w:after="283"/>
              <w:jc w:val="right"/>
              <w:rPr/>
            </w:pPr>
            <w:r>
              <w:rPr/>
              <w:t> </w:t>
            </w:r>
          </w:p>
        </w:tc>
        <w:tc>
          <w:tcPr>
            <w:tcW w:w="4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60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07/02/2029</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2,802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2,774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BetaNXT, Inc. (Revolver)</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97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+ 4.25%</w:t>
            </w:r>
          </w:p>
        </w:tc>
        <w:tc>
          <w:tcPr>
            <w:tcW w:w="146" w:type="dxa"/>
            <w:tcBorders/>
            <w:shd w:fill="CFF0FC" w:val="clear"/>
            <w:vAlign w:val="center"/>
          </w:tcPr>
          <w:p>
            <w:pPr>
              <w:pStyle w:val="TableContents"/>
              <w:bidi w:val="0"/>
              <w:spacing w:before="0" w:after="283"/>
              <w:jc w:val="righ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608"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07/01/2027</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(12)(17)</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Bradshaw International, Inc.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Consumer Discretionary</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11.17%</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+ 5.75%</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10/21/2027</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Bradshaw International, Inc. (Revolver)</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+ 5.75%</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10/21/2026</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(12)(17)</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Critical Nurse Staffing,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11.27%</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+ 5.75%</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10/30/2026</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5,744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5,819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(12)(16)</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Critical Nurse Staffing, LLC (Revolver)</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+ 5.75%</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10/30/2026</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Datalink,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12.17%</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+ 6.75%</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11/23/2026</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5,795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5,817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Dentive,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12.38%</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+ 7.00%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12/26/2028</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1,316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1,324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(12)(16)</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Dentive, LLC (Revolver)</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+ 7.00%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12/23/2028</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(12)(17)</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Dodge Data &amp; Analytics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10.14%</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+ 4.75%</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02/12/2029</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1,464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1,226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Epic Staffing Group</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Industrials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11.14%</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+ 5.75%</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06/28/2029</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4,251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4,021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4,033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(12)(16)</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Florida Food Products,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Consumer Staples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10.32%</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+ 5.00%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0.75%</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10/18/2028</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1,889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1,922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Grindr Capital,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13.63%</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+ 8.00%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1.50%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11/15/2027</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1,957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1,971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Hudson Hospital OpCo,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13.43%</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+ 8.00%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3.00%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11/04/2023</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3,060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3,054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HUMC Opco,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13.43%</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+ 8.00%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3.00%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11/04/2023</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3,903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3,856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H.W. Lochner, Inc.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12.17%</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+ 6.75%</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07/02/2027</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893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898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IDC Infusion Services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11.97%</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+ 6.50%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07/07/2028</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2,142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2,141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(12)(16)</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IJKG OpCo,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13.43%</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+ 8.00%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3.00%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11/04/2023</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2,040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2,038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JO ET Holdings Limited</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18.41%</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+ 6.00%, 7.00% PIK</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12/15/2026</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1,109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Keg Logistics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11.53%</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+ 6.00%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11/23/2027</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7,326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7,213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Keg Logistics LLC (Revolver)</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Consumer Discretionary</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11.52%</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+ 6.00%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11/23/2027</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863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850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Lucky Bucks, LLC (DIP)</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15.33%</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+ 10.00%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10/16/2023</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Lucky Bucks, LLC (OpCo Rolled)</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Consumer Discretionary</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15.33%</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+ 10.00%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10/16/2023</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Lucky Bucks,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07/21/2027</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2,630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765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(7)</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Material Handling Systems, Inc.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Industrials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10.76%</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+ 5.50%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06/08/2029</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1,809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1,760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Money Transfer Acquisition Inc.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13.67%</w:t>
            </w:r>
          </w:p>
        </w:tc>
        <w:tc>
          <w:tcPr>
            <w:tcW w:w="146" w:type="dxa"/>
            <w:tcBorders/>
            <w:shd w:fill="CFF0FC" w:val="clear"/>
            <w:vAlign w:val="center"/>
          </w:tcPr>
          <w:p>
            <w:pPr>
              <w:pStyle w:val="TableContents"/>
              <w:bidi w:val="0"/>
              <w:spacing w:before="0" w:after="283"/>
              <w:jc w:val="right"/>
              <w:rPr/>
            </w:pPr>
            <w:r>
              <w:rPr/>
              <w:t> </w:t>
            </w:r>
          </w:p>
        </w:tc>
        <w:tc>
          <w:tcPr>
            <w:tcW w:w="97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+ 8.25%</w:t>
            </w:r>
          </w:p>
        </w:tc>
        <w:tc>
          <w:tcPr>
            <w:tcW w:w="146" w:type="dxa"/>
            <w:tcBorders/>
            <w:shd w:fill="CFF0FC" w:val="clear"/>
            <w:vAlign w:val="center"/>
          </w:tcPr>
          <w:p>
            <w:pPr>
              <w:pStyle w:val="TableContents"/>
              <w:bidi w:val="0"/>
              <w:spacing w:before="0" w:after="283"/>
              <w:jc w:val="right"/>
              <w:rPr/>
            </w:pPr>
            <w:r>
              <w:rPr/>
              <w:t> </w:t>
            </w:r>
          </w:p>
        </w:tc>
        <w:tc>
          <w:tcPr>
            <w:tcW w:w="464"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CFF0FC" w:val="clear"/>
            <w:vAlign w:val="center"/>
          </w:tcPr>
          <w:p>
            <w:pPr>
              <w:pStyle w:val="TableContents"/>
              <w:bidi w:val="0"/>
              <w:spacing w:before="0" w:after="283"/>
              <w:jc w:val="right"/>
              <w:rPr/>
            </w:pPr>
            <w:r>
              <w:rPr/>
              <w:t> </w:t>
            </w:r>
          </w:p>
        </w:tc>
        <w:tc>
          <w:tcPr>
            <w:tcW w:w="608"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12/14/2027</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6,869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6,753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6,762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Neptune BidCo US Inc.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Communication Services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10.40%</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+ 5.00%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04/11/2029</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1,350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1,352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Orthopaedic (ITC) Buyer,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11.90%</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+ 6.50%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07/31/2028</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2,314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2,314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(12)(16)</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Phynet Dermatology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11.87%</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+ 6.50%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0.75%</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08/16/2024</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(12)(16)</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Premier Imaging,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11.65%</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+ 6.00%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01/02/2025</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2,559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2,544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RN Enterprises,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11.97%</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+ 6.50%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12/23/2025</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1,942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1,918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Sequoia Healthcare Management,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 Management</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11/04/2023</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11,935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11,935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9,381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(7)</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South Street Securities Holdings, Inc.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9.00%</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09/20/2027</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STG Logistics</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11.54%</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+ 6.00%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0.75%</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03/24/2028</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2,411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2,401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Symplr Software, Inc.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9.97%</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+ 4.50%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0.75%</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12/22/2027</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1,672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1,503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Taoglas Group Holdings Limited</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12.39%</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+ 7.00%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02/28/2029</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2,280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2,279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Taoglas Group Holdings Limited (Revolver)</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12.37%</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+ 7.00%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02/28/2029</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VBC Spine Opco LLC (DxTx Pain and Spine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13.56%</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+ 8.00%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2.00%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06/14/2028</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1,277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1,278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(12)(16)</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VBC Spine Opco LLC (DxTx Pain and Spine LLC) (Revolver)</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+ 8.00%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2.00%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06/14/2028</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(12)(17)</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Wealth Enhancement Group,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11.10%</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+ 6.10%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10/02/2027</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6,906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6,882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6,906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Wealth Enhancement Group, LLC (Revolver)</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+ 6.00%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10/02/2027</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(12)(17)</w:t>
            </w:r>
          </w:p>
        </w:tc>
      </w:tr>
      <w:tr>
        <w:trPr/>
        <w:tc>
          <w:tcPr>
            <w:tcW w:w="3092"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Lien/Senior Secured Debt</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5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125,780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118,158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3092"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Lien/Senior Secured Debt - 7.1%</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American Academy Holdings,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14.50% PIK</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03/01/2028</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3,915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3,502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BLST Operating Company,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Online Merchandise Retailer</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13.94%</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+ 8.50%, 12.94% PIK</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1.50%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08/28/2025</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991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931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(8)(16)</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Ivanti Software, Inc.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12.78%</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L + 7.25%</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12/01/2028</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2,988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2,173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3092"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Lien/Senior Secured Debt</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7,894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6,606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743" w:type="dxa"/>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Subordinated Debt - 26.5%</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5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Eastport Holdings,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14.17%</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+ 8.50%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09/29/2027</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19,250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19,192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Lucky Bucks,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05/29/2028</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2,229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(7)</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Tubular Textile Machinery, Inc.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Textile Equipment Manufacturer</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5.00%</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10/29/2027</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5,094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5,034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3092"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Subordinated Debt</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5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26,573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24,728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743"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Collateralized Loan Obligations - 2.3%</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JMP Credit Advisors CLO IV Ltd.</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23.90%</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07/17/2029</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7,891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516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516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(13)(15)</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JMP Credit Advisors CLO V Ltd.</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20.82%</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07/17/2030</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7,320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1,811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1,665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(13)(15)</w:t>
            </w:r>
          </w:p>
        </w:tc>
      </w:tr>
      <w:tr>
        <w:trPr/>
        <w:tc>
          <w:tcPr>
            <w:tcW w:w="3092"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Collateralized Loan Obligations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5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2,181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3092"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Preferred Stock and Units - 1.4%</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Alternative Biomedical Solutions, LLC - Series A</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16,505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1,277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Alternative Biomedical Solutions, LLC - Series B</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57,394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3,952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Alternative Biomedical Solutions, LLC - Series 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78,900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American Academy Holdings,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102,261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MicroHoldco,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General Industrial</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740,237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w:t>
            </w:r>
          </w:p>
        </w:tc>
      </w:tr>
      <w:tr>
        <w:trPr/>
        <w:tc>
          <w:tcPr>
            <w:tcW w:w="174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Taylor Precision Products, Inc. - Series 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Household Product Manufacturer</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74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U.S. BioTek Laboratories, LLC - Class A</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Testing Laboratories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540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3092"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Stock and Units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5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7,276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1,292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center"/>
        <w:rPr>
          <w:rFonts w:ascii="Times New Roman" w:hAnsi="Times New Roman"/>
          <w:b w:val="false"/>
          <w:color w:val="000000"/>
          <w:sz w:val="16"/>
        </w:rPr>
      </w:pPr>
      <w:r>
        <w:rPr>
          <w:rFonts w:ascii="Times New Roman" w:hAnsi="Times New Roman"/>
          <w:b w:val="false"/>
          <w:color w:val="000000"/>
          <w:sz w:val="16"/>
        </w:rPr>
        <w:t>See accompanying notes to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 CONTINUED</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for units/shares)</w:t>
      </w:r>
    </w:p>
    <w:p>
      <w:pPr>
        <w:pStyle w:val="TextBody"/>
        <w:bidi w:val="0"/>
        <w:jc w:val="center"/>
        <w:rPr>
          <w:rFonts w:ascii="Times New Roman" w:hAnsi="Times New Roman"/>
          <w:b/>
          <w:color w:val="000000"/>
          <w:sz w:val="16"/>
        </w:rPr>
      </w:pPr>
      <w:r>
        <w:rPr>
          <w:rFonts w:ascii="Times New Roman" w:hAnsi="Times New Roman"/>
          <w:b/>
          <w:color w:val="000000"/>
          <w:sz w:val="16"/>
        </w:rPr>
        <w:t>September 30, 2023</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(unaudited)</w:t>
      </w:r>
    </w:p>
    <w:tbl>
      <w:tblPr>
        <w:tblW w:w="10205" w:type="dxa"/>
        <w:jc w:val="left"/>
        <w:tblInd w:w="0" w:type="dxa"/>
        <w:tblLayout w:type="fixed"/>
        <w:tblCellMar>
          <w:top w:w="28" w:type="dxa"/>
          <w:left w:w="28" w:type="dxa"/>
          <w:bottom w:w="28" w:type="dxa"/>
          <w:right w:w="28" w:type="dxa"/>
        </w:tblCellMar>
      </w:tblPr>
      <w:tblGrid>
        <w:gridCol w:w="1783"/>
        <w:gridCol w:w="146"/>
        <w:gridCol w:w="1333"/>
        <w:gridCol w:w="146"/>
        <w:gridCol w:w="683"/>
        <w:gridCol w:w="146"/>
        <w:gridCol w:w="764"/>
        <w:gridCol w:w="146"/>
        <w:gridCol w:w="455"/>
        <w:gridCol w:w="146"/>
        <w:gridCol w:w="605"/>
        <w:gridCol w:w="146"/>
        <w:gridCol w:w="155"/>
        <w:gridCol w:w="687"/>
        <w:gridCol w:w="146"/>
        <w:gridCol w:w="146"/>
        <w:gridCol w:w="166"/>
        <w:gridCol w:w="496"/>
        <w:gridCol w:w="146"/>
        <w:gridCol w:w="146"/>
        <w:gridCol w:w="166"/>
        <w:gridCol w:w="496"/>
        <w:gridCol w:w="146"/>
        <w:gridCol w:w="146"/>
        <w:gridCol w:w="664"/>
      </w:tblGrid>
      <w:tr>
        <w:trPr/>
        <w:tc>
          <w:tcPr>
            <w:tcW w:w="1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1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(1), (2), (3), (4), (5)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3262"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Common Stock and Membership Units - 6.7%</w:t>
            </w:r>
          </w:p>
        </w:tc>
        <w:tc>
          <w:tcPr>
            <w:tcW w:w="14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60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78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Alternative Biomedical Solutions, LLC</w:t>
            </w:r>
          </w:p>
        </w:tc>
        <w:tc>
          <w:tcPr>
            <w:tcW w:w="146" w:type="dxa"/>
            <w:tcBorders/>
            <w:shd w:fill="CFF0FC" w:val="clear"/>
            <w:vAlign w:val="center"/>
          </w:tcPr>
          <w:p>
            <w:pPr>
              <w:pStyle w:val="TableContents"/>
              <w:bidi w:val="0"/>
              <w:spacing w:before="0" w:after="283"/>
              <w:jc w:val="left"/>
              <w:rPr/>
            </w:pPr>
            <w:r>
              <w:rPr/>
              <w:t> </w:t>
            </w:r>
          </w:p>
        </w:tc>
        <w:tc>
          <w:tcPr>
            <w:tcW w:w="133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20,092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78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Alternative Biomedical Solutions, LLC - Membership Unit Warrants</w:t>
            </w:r>
          </w:p>
        </w:tc>
        <w:tc>
          <w:tcPr>
            <w:tcW w:w="146"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49,295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78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American Academy Holdings, LLC</w:t>
            </w:r>
          </w:p>
        </w:tc>
        <w:tc>
          <w:tcPr>
            <w:tcW w:w="146" w:type="dxa"/>
            <w:tcBorders/>
            <w:shd w:fill="CFF0FC" w:val="clear"/>
            <w:vAlign w:val="center"/>
          </w:tcPr>
          <w:p>
            <w:pPr>
              <w:pStyle w:val="TableContents"/>
              <w:bidi w:val="0"/>
              <w:spacing w:before="0" w:after="283"/>
              <w:jc w:val="left"/>
              <w:rPr/>
            </w:pPr>
            <w:r>
              <w:rPr/>
              <w:t> </w:t>
            </w:r>
          </w:p>
        </w:tc>
        <w:tc>
          <w:tcPr>
            <w:tcW w:w="133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w:t>
            </w:r>
          </w:p>
        </w:tc>
      </w:tr>
      <w:tr>
        <w:trPr/>
        <w:tc>
          <w:tcPr>
            <w:tcW w:w="178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American Clinical Solutions, LLC - Class A</w:t>
            </w:r>
          </w:p>
        </w:tc>
        <w:tc>
          <w:tcPr>
            <w:tcW w:w="146"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6,030,384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w:t>
            </w:r>
          </w:p>
        </w:tc>
      </w:tr>
      <w:tr>
        <w:trPr/>
        <w:tc>
          <w:tcPr>
            <w:tcW w:w="178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Aperture Dodge 18 LLC</w:t>
            </w:r>
          </w:p>
        </w:tc>
        <w:tc>
          <w:tcPr>
            <w:tcW w:w="146" w:type="dxa"/>
            <w:tcBorders/>
            <w:shd w:fill="CFF0FC" w:val="clear"/>
            <w:vAlign w:val="center"/>
          </w:tcPr>
          <w:p>
            <w:pPr>
              <w:pStyle w:val="TableContents"/>
              <w:bidi w:val="0"/>
              <w:spacing w:before="0" w:after="283"/>
              <w:jc w:val="left"/>
              <w:rPr/>
            </w:pPr>
            <w:r>
              <w:rPr/>
              <w:t> </w:t>
            </w:r>
          </w:p>
        </w:tc>
        <w:tc>
          <w:tcPr>
            <w:tcW w:w="133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2,038,970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78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BLST Operating Company, LLC - Class A</w:t>
            </w:r>
          </w:p>
        </w:tc>
        <w:tc>
          <w:tcPr>
            <w:tcW w:w="146"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Online Merchandise Retailer</w:t>
            </w:r>
          </w:p>
        </w:tc>
        <w:tc>
          <w:tcPr>
            <w:tcW w:w="14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217,013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w:t>
            </w:r>
          </w:p>
        </w:tc>
      </w:tr>
      <w:tr>
        <w:trPr/>
        <w:tc>
          <w:tcPr>
            <w:tcW w:w="178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DxTx Pain and Spine LLC</w:t>
            </w:r>
          </w:p>
        </w:tc>
        <w:tc>
          <w:tcPr>
            <w:tcW w:w="146" w:type="dxa"/>
            <w:tcBorders/>
            <w:shd w:fill="CFF0FC" w:val="clear"/>
            <w:vAlign w:val="center"/>
          </w:tcPr>
          <w:p>
            <w:pPr>
              <w:pStyle w:val="TableContents"/>
              <w:bidi w:val="0"/>
              <w:spacing w:before="0" w:after="283"/>
              <w:jc w:val="left"/>
              <w:rPr/>
            </w:pPr>
            <w:r>
              <w:rPr/>
              <w:t> </w:t>
            </w:r>
          </w:p>
        </w:tc>
        <w:tc>
          <w:tcPr>
            <w:tcW w:w="133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59,312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w:t>
            </w:r>
          </w:p>
        </w:tc>
      </w:tr>
      <w:tr>
        <w:trPr/>
        <w:tc>
          <w:tcPr>
            <w:tcW w:w="178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Freedom Electronics, LLC</w:t>
            </w:r>
          </w:p>
        </w:tc>
        <w:tc>
          <w:tcPr>
            <w:tcW w:w="146"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Electronic Machine Repair</w:t>
            </w:r>
          </w:p>
        </w:tc>
        <w:tc>
          <w:tcPr>
            <w:tcW w:w="14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181,818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78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South Street Securities Holdings, Inc. - Warrants</w:t>
            </w:r>
          </w:p>
        </w:tc>
        <w:tc>
          <w:tcPr>
            <w:tcW w:w="146" w:type="dxa"/>
            <w:tcBorders/>
            <w:shd w:fill="CFF0FC" w:val="clear"/>
            <w:vAlign w:val="center"/>
          </w:tcPr>
          <w:p>
            <w:pPr>
              <w:pStyle w:val="TableContents"/>
              <w:bidi w:val="0"/>
              <w:spacing w:before="0" w:after="283"/>
              <w:jc w:val="left"/>
              <w:rPr/>
            </w:pPr>
            <w:r>
              <w:rPr/>
              <w:t> </w:t>
            </w:r>
          </w:p>
        </w:tc>
        <w:tc>
          <w:tcPr>
            <w:tcW w:w="133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78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U.S. BioTek Laboratories, LLC - Class C</w:t>
            </w:r>
          </w:p>
        </w:tc>
        <w:tc>
          <w:tcPr>
            <w:tcW w:w="146"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Testing Laboratories</w:t>
            </w:r>
          </w:p>
        </w:tc>
        <w:tc>
          <w:tcPr>
            <w:tcW w:w="14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3262"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Stock and Membership Units</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6,668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6,290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4091" w:type="dxa"/>
            <w:gridSpan w:val="5"/>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Non-Control, Non-Affiliate Portfolio Companies</w:t>
            </w:r>
          </w:p>
        </w:tc>
        <w:tc>
          <w:tcPr>
            <w:tcW w:w="14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176,518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159,255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3262"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Investments in Affiliated Portfolio Companies - 29.8%^</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3262"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Lien/Senior Secured Debt - 3.3%</w:t>
            </w:r>
          </w:p>
        </w:tc>
        <w:tc>
          <w:tcPr>
            <w:tcW w:w="14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78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MMI Holdings, LLC</w:t>
            </w:r>
          </w:p>
        </w:tc>
        <w:tc>
          <w:tcPr>
            <w:tcW w:w="146" w:type="dxa"/>
            <w:tcBorders/>
            <w:shd w:fill="CFF0FC" w:val="clear"/>
            <w:vAlign w:val="center"/>
          </w:tcPr>
          <w:p>
            <w:pPr>
              <w:pStyle w:val="TableContents"/>
              <w:bidi w:val="0"/>
              <w:spacing w:before="0" w:after="283"/>
              <w:jc w:val="left"/>
              <w:rPr/>
            </w:pPr>
            <w:r>
              <w:rPr/>
              <w:t> </w:t>
            </w:r>
          </w:p>
        </w:tc>
        <w:tc>
          <w:tcPr>
            <w:tcW w:w="133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Medical Device Distributor</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12.00%</w:t>
            </w:r>
          </w:p>
        </w:tc>
        <w:tc>
          <w:tcPr>
            <w:tcW w:w="146"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04/01/2022</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78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RAM Payment, LLC (First Out)</w:t>
            </w:r>
          </w:p>
        </w:tc>
        <w:tc>
          <w:tcPr>
            <w:tcW w:w="146"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 Services</w:t>
            </w:r>
          </w:p>
        </w:tc>
        <w:tc>
          <w:tcPr>
            <w:tcW w:w="14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10.43%</w:t>
            </w:r>
          </w:p>
        </w:tc>
        <w:tc>
          <w:tcPr>
            <w:tcW w:w="14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+ 5.00%</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1.50%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01/04/2024</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78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RAM Payment, LLC (Last Out)</w:t>
            </w:r>
          </w:p>
        </w:tc>
        <w:tc>
          <w:tcPr>
            <w:tcW w:w="146" w:type="dxa"/>
            <w:tcBorders/>
            <w:shd w:fill="CFF0FC" w:val="clear"/>
            <w:vAlign w:val="center"/>
          </w:tcPr>
          <w:p>
            <w:pPr>
              <w:pStyle w:val="TableContents"/>
              <w:bidi w:val="0"/>
              <w:spacing w:before="0" w:after="283"/>
              <w:jc w:val="left"/>
              <w:rPr/>
            </w:pPr>
            <w:r>
              <w:rPr/>
              <w:t> </w:t>
            </w:r>
          </w:p>
        </w:tc>
        <w:tc>
          <w:tcPr>
            <w:tcW w:w="133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 Services</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13.76%</w:t>
            </w:r>
          </w:p>
        </w:tc>
        <w:tc>
          <w:tcPr>
            <w:tcW w:w="146"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+ 8.33%</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01/04/2024</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(10)(16)</w:t>
            </w:r>
          </w:p>
        </w:tc>
      </w:tr>
      <w:tr>
        <w:trPr/>
        <w:tc>
          <w:tcPr>
            <w:tcW w:w="3262"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Lien/Senior Secured Debt</w:t>
            </w:r>
          </w:p>
        </w:tc>
        <w:tc>
          <w:tcPr>
            <w:tcW w:w="14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3262"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Lien/Senior Secured Debt - 0.9%</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78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Medical Device Distributor</w:t>
            </w:r>
          </w:p>
        </w:tc>
        <w:tc>
          <w:tcPr>
            <w:tcW w:w="14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6.00%</w:t>
            </w:r>
          </w:p>
        </w:tc>
        <w:tc>
          <w:tcPr>
            <w:tcW w:w="14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04/01/2022</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78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V12 Holdings, Inc.</w:t>
            </w:r>
          </w:p>
        </w:tc>
        <w:tc>
          <w:tcPr>
            <w:tcW w:w="146" w:type="dxa"/>
            <w:tcBorders/>
            <w:shd w:fill="CFF0FC" w:val="clear"/>
            <w:vAlign w:val="center"/>
          </w:tcPr>
          <w:p>
            <w:pPr>
              <w:pStyle w:val="TableContents"/>
              <w:bidi w:val="0"/>
              <w:spacing w:before="0" w:after="283"/>
              <w:jc w:val="left"/>
              <w:rPr/>
            </w:pPr>
            <w:r>
              <w:rPr/>
              <w:t> </w:t>
            </w:r>
          </w:p>
        </w:tc>
        <w:tc>
          <w:tcPr>
            <w:tcW w:w="133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Data Processing &amp; Digital Marketing</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w:t>
            </w:r>
          </w:p>
        </w:tc>
      </w:tr>
      <w:tr>
        <w:trPr/>
        <w:tc>
          <w:tcPr>
            <w:tcW w:w="3262"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Lien/Senior Secured Debt</w:t>
            </w:r>
          </w:p>
        </w:tc>
        <w:tc>
          <w:tcPr>
            <w:tcW w:w="14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3262"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Joint Ventures - 0.5%</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78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Great Lakes Funding II LLC - Series A</w:t>
            </w:r>
          </w:p>
        </w:tc>
        <w:tc>
          <w:tcPr>
            <w:tcW w:w="146"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(12)(15)</w:t>
            </w:r>
          </w:p>
        </w:tc>
      </w:tr>
      <w:tr>
        <w:trPr/>
        <w:tc>
          <w:tcPr>
            <w:tcW w:w="3262"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Joint Ventures</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3262"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Preferred Stock and Units - 6.8%</w:t>
            </w:r>
          </w:p>
        </w:tc>
        <w:tc>
          <w:tcPr>
            <w:tcW w:w="14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78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GA Communications, Inc. - Series A-1</w:t>
            </w:r>
          </w:p>
        </w:tc>
        <w:tc>
          <w:tcPr>
            <w:tcW w:w="146" w:type="dxa"/>
            <w:tcBorders/>
            <w:shd w:fill="CFF0FC" w:val="clear"/>
            <w:vAlign w:val="center"/>
          </w:tcPr>
          <w:p>
            <w:pPr>
              <w:pStyle w:val="TableContents"/>
              <w:bidi w:val="0"/>
              <w:spacing w:before="0" w:after="283"/>
              <w:jc w:val="left"/>
              <w:rPr/>
            </w:pPr>
            <w:r>
              <w:rPr/>
              <w:t> </w:t>
            </w:r>
          </w:p>
        </w:tc>
        <w:tc>
          <w:tcPr>
            <w:tcW w:w="133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Advertising &amp; Marketing Services</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3,476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78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GreenPark Infrastructure, LLC - Series A</w:t>
            </w:r>
          </w:p>
        </w:tc>
        <w:tc>
          <w:tcPr>
            <w:tcW w:w="146"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Industrials</w:t>
            </w:r>
          </w:p>
        </w:tc>
        <w:tc>
          <w:tcPr>
            <w:tcW w:w="14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w:t>
            </w:r>
          </w:p>
        </w:tc>
      </w:tr>
      <w:tr>
        <w:trPr/>
        <w:tc>
          <w:tcPr>
            <w:tcW w:w="178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MMI Holdings, LLC</w:t>
            </w:r>
          </w:p>
        </w:tc>
        <w:tc>
          <w:tcPr>
            <w:tcW w:w="146" w:type="dxa"/>
            <w:tcBorders/>
            <w:shd w:fill="CFF0FC" w:val="clear"/>
            <w:vAlign w:val="center"/>
          </w:tcPr>
          <w:p>
            <w:pPr>
              <w:pStyle w:val="TableContents"/>
              <w:bidi w:val="0"/>
              <w:spacing w:before="0" w:after="283"/>
              <w:jc w:val="left"/>
              <w:rPr/>
            </w:pPr>
            <w:r>
              <w:rPr/>
              <w:t> </w:t>
            </w:r>
          </w:p>
        </w:tc>
        <w:tc>
          <w:tcPr>
            <w:tcW w:w="133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Medical Device Distributor</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8.00% PIK</w:t>
            </w:r>
          </w:p>
        </w:tc>
        <w:tc>
          <w:tcPr>
            <w:tcW w:w="146"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(14)</w:t>
            </w:r>
          </w:p>
        </w:tc>
      </w:tr>
      <w:tr>
        <w:trPr/>
        <w:tc>
          <w:tcPr>
            <w:tcW w:w="178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RAM Payment, LLC</w:t>
            </w:r>
          </w:p>
        </w:tc>
        <w:tc>
          <w:tcPr>
            <w:tcW w:w="146"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 Services</w:t>
            </w:r>
          </w:p>
        </w:tc>
        <w:tc>
          <w:tcPr>
            <w:tcW w:w="14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6.00% PIK</w:t>
            </w:r>
          </w:p>
        </w:tc>
        <w:tc>
          <w:tcPr>
            <w:tcW w:w="14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86,000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(14)</w:t>
            </w:r>
          </w:p>
        </w:tc>
      </w:tr>
      <w:tr>
        <w:trPr/>
        <w:tc>
          <w:tcPr>
            <w:tcW w:w="3262"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Stock and Units</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6,616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6,371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3262"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Common Stock and Membership Units - 18.3%</w:t>
            </w:r>
          </w:p>
        </w:tc>
        <w:tc>
          <w:tcPr>
            <w:tcW w:w="14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78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Burgaflex Holdings, LLC - Class A</w:t>
            </w:r>
          </w:p>
        </w:tc>
        <w:tc>
          <w:tcPr>
            <w:tcW w:w="146" w:type="dxa"/>
            <w:tcBorders/>
            <w:shd w:fill="CFF0FC" w:val="clear"/>
            <w:vAlign w:val="center"/>
          </w:tcPr>
          <w:p>
            <w:pPr>
              <w:pStyle w:val="TableContents"/>
              <w:bidi w:val="0"/>
              <w:spacing w:before="0" w:after="283"/>
              <w:jc w:val="left"/>
              <w:rPr/>
            </w:pPr>
            <w:r>
              <w:rPr/>
              <w:t> </w:t>
            </w:r>
          </w:p>
        </w:tc>
        <w:tc>
          <w:tcPr>
            <w:tcW w:w="133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Automobile Part Manufacturer</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1,253,198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78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Burgaflex Holdings, LLC - Class B</w:t>
            </w:r>
          </w:p>
        </w:tc>
        <w:tc>
          <w:tcPr>
            <w:tcW w:w="146"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Automobile Part Manufacturer</w:t>
            </w:r>
          </w:p>
        </w:tc>
        <w:tc>
          <w:tcPr>
            <w:tcW w:w="14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1,085,073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78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GA Communications, Inc. - Series B-1</w:t>
            </w:r>
          </w:p>
        </w:tc>
        <w:tc>
          <w:tcPr>
            <w:tcW w:w="146" w:type="dxa"/>
            <w:tcBorders/>
            <w:shd w:fill="CFF0FC" w:val="clear"/>
            <w:vAlign w:val="center"/>
          </w:tcPr>
          <w:p>
            <w:pPr>
              <w:pStyle w:val="TableContents"/>
              <w:bidi w:val="0"/>
              <w:spacing w:before="0" w:after="283"/>
              <w:jc w:val="left"/>
              <w:rPr/>
            </w:pPr>
            <w:r>
              <w:rPr/>
              <w:t> </w:t>
            </w:r>
          </w:p>
        </w:tc>
        <w:tc>
          <w:tcPr>
            <w:tcW w:w="133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Advertising &amp; Marketing Services</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78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GreenPark Infrastructure, LLC - Series M-1</w:t>
            </w:r>
          </w:p>
        </w:tc>
        <w:tc>
          <w:tcPr>
            <w:tcW w:w="146"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Industrials</w:t>
            </w:r>
          </w:p>
        </w:tc>
        <w:tc>
          <w:tcPr>
            <w:tcW w:w="14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(6)(12)</w:t>
            </w:r>
          </w:p>
        </w:tc>
      </w:tr>
      <w:tr>
        <w:trPr/>
        <w:tc>
          <w:tcPr>
            <w:tcW w:w="178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MMI Holdings, LLC</w:t>
            </w:r>
          </w:p>
        </w:tc>
        <w:tc>
          <w:tcPr>
            <w:tcW w:w="146" w:type="dxa"/>
            <w:tcBorders/>
            <w:shd w:fill="CFF0FC" w:val="clear"/>
            <w:vAlign w:val="center"/>
          </w:tcPr>
          <w:p>
            <w:pPr>
              <w:pStyle w:val="TableContents"/>
              <w:bidi w:val="0"/>
              <w:spacing w:before="0" w:after="283"/>
              <w:jc w:val="left"/>
              <w:rPr/>
            </w:pPr>
            <w:r>
              <w:rPr/>
              <w:t> </w:t>
            </w:r>
          </w:p>
        </w:tc>
        <w:tc>
          <w:tcPr>
            <w:tcW w:w="133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Medical Device Distributor</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78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Nth Degree Investment Group, LLC</w:t>
            </w:r>
          </w:p>
        </w:tc>
        <w:tc>
          <w:tcPr>
            <w:tcW w:w="146"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6,088,000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6,088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10,457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78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Sierra Hamilton Holdings Corporation</w:t>
            </w:r>
          </w:p>
        </w:tc>
        <w:tc>
          <w:tcPr>
            <w:tcW w:w="146" w:type="dxa"/>
            <w:tcBorders/>
            <w:shd w:fill="CFF0FC" w:val="clear"/>
            <w:vAlign w:val="center"/>
          </w:tcPr>
          <w:p>
            <w:pPr>
              <w:pStyle w:val="TableContents"/>
              <w:bidi w:val="0"/>
              <w:spacing w:before="0" w:after="283"/>
              <w:jc w:val="left"/>
              <w:rPr/>
            </w:pPr>
            <w:r>
              <w:rPr/>
              <w:t> </w:t>
            </w:r>
          </w:p>
        </w:tc>
        <w:tc>
          <w:tcPr>
            <w:tcW w:w="133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Oil &amp; Gas Engineering and Consulting Services</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27,396,364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6,958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3262"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Stock and Membership Units</w:t>
            </w:r>
          </w:p>
        </w:tc>
        <w:tc>
          <w:tcPr>
            <w:tcW w:w="14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14,983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17,037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3262"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Affiliated Portfolio Companies^</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26,169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27,844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3262"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- 200.7%</w:t>
            </w:r>
          </w:p>
        </w:tc>
        <w:tc>
          <w:tcPr>
            <w:tcW w:w="14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202,687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187,099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16"/>
        </w:rPr>
        <w:t xml:space="preserve">^ </w:t>
      </w:r>
      <w:r>
        <w:rPr>
          <w:rFonts w:ascii="Times New Roman" w:hAnsi="Times New Roman"/>
          <w:b w:val="false"/>
          <w:color w:val="000000"/>
          <w:sz w:val="12"/>
        </w:rPr>
        <w:t>As defined in the Investment Company Act of 1940, as amended (the “1940 Act”), the investment is deemed to be an “affiliated person”</w:t>
      </w:r>
      <w:r>
        <w:rPr>
          <w:rFonts w:ascii="Times New Roman" w:hAnsi="Times New Roman"/>
          <w:color w:val="000000"/>
          <w:sz w:val="20"/>
        </w:rPr>
        <w:t xml:space="preserve"> </w:t>
      </w:r>
      <w:r>
        <w:rPr>
          <w:rFonts w:ascii="Times New Roman" w:hAnsi="Times New Roman"/>
          <w:b w:val="false"/>
          <w:color w:val="000000"/>
          <w:sz w:val="12"/>
        </w:rPr>
        <w:t>of the Company because the Company owns, either directly or indirectly, 5% or more of the portfolio company's outstanding voting securities.</w:t>
      </w:r>
    </w:p>
    <w:p>
      <w:pPr>
        <w:pStyle w:val="TextBody"/>
        <w:bidi w:val="0"/>
        <w:jc w:val="both"/>
        <w:rPr>
          <w:rFonts w:ascii="Times New Roman" w:hAnsi="Times New Roman"/>
          <w:b w:val="false"/>
          <w:color w:val="000000"/>
          <w:sz w:val="12"/>
        </w:rPr>
      </w:pPr>
      <w:r>
        <w:rPr>
          <w:rFonts w:ascii="Times New Roman" w:hAnsi="Times New Roman"/>
          <w:b w:val="false"/>
          <w:color w:val="000000"/>
          <w:sz w:val="12"/>
        </w:rPr>
        <w:t>^^ As defined in the 1940 Act, the investment is deemed to be a “controlled affiliated person” of the Company because the Company owns, either directly or indirectly, 25% or more of the portfolio company's outstanding voting securities or has the power to exercise control over management or policies of such portfolio company.</w:t>
      </w:r>
    </w:p>
    <w:p>
      <w:pPr>
        <w:pStyle w:val="TextBody"/>
        <w:bidi w:val="0"/>
        <w:jc w:val="both"/>
        <w:rPr>
          <w:rFonts w:ascii="Times New Roman" w:hAnsi="Times New Roman"/>
          <w:sz w:val="20"/>
        </w:rPr>
      </w:pPr>
      <w:r>
        <w:rPr>
          <w:rFonts w:ascii="Times New Roman" w:hAnsi="Times New Roman"/>
          <w:b w:val="false"/>
          <w:color w:val="000000"/>
          <w:sz w:val="12"/>
        </w:rPr>
        <w:t>(+) Represents the actual interest rate for partially or fully funded debt in effect as of the reporting date. Variable rate loans bear interest at a rate that may be determined by the larger of the floor of the reference to either LIBOR (“L</w:t>
      </w:r>
      <w:r>
        <w:rPr>
          <w:rFonts w:ascii="Times New Roman" w:hAnsi="Times New Roman"/>
          <w:color w:val="000000"/>
          <w:sz w:val="20"/>
        </w:rPr>
        <w:t>”</w:t>
      </w:r>
      <w:r>
        <w:rPr>
          <w:rFonts w:ascii="Times New Roman" w:hAnsi="Times New Roman"/>
          <w:b w:val="false"/>
          <w:color w:val="000000"/>
          <w:sz w:val="12"/>
        </w:rPr>
        <w:t>), SOFR or alternate base rate (commonly known as the U.S. Prime Rate (“P”), unless otherwise noted) at the borrower's option, which reset periodically based on the terms of the credit agreement. L loans are typically indexed to 3 month, or 1 month L rates. SOFR loans are typically indexed to 6 month, 3 month, or 1 month SOFR rates. As of September 30, 2023, rates for the 3 month, and 1 month L are 5.66%, and 5.43%, respectively. As of September 30, 2023, rates for the 6 month, 3 month and 1 month SOFR are 5.44%, 5.40%, and 5.32%, respectively. As of September 30, 2023, P was 8.50%. For investments with multiple reference rates or alternate base rates, the interest rate shown is the weighted average interest rate in effect at September 30, 2023.</w:t>
      </w:r>
    </w:p>
    <w:p>
      <w:pPr>
        <w:pStyle w:val="TextBody"/>
        <w:bidi w:val="0"/>
        <w:jc w:val="both"/>
        <w:rPr>
          <w:rFonts w:ascii="Times New Roman" w:hAnsi="Times New Roman"/>
          <w:sz w:val="20"/>
        </w:rPr>
      </w:pPr>
      <w:r>
        <w:rPr>
          <w:rFonts w:ascii="Times New Roman" w:hAnsi="Times New Roman"/>
          <w:b w:val="false"/>
          <w:color w:val="000000"/>
          <w:sz w:val="12"/>
        </w:rPr>
        <w:t>(++) Par amount is presented for debt investments, while the number of shares or units owned is presented for equity investments.</w:t>
      </w:r>
      <w:r>
        <w:rPr>
          <w:rFonts w:ascii="Times New Roman" w:hAnsi="Times New Roman"/>
          <w:color w:val="000000"/>
          <w:sz w:val="20"/>
        </w:rPr>
        <w:t xml:space="preserve"> </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(1)</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All investments valued using unobservable inputs (Level 3), unless otherwise noted.</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(2)</w:t>
      </w:r>
    </w:p>
    <w:p>
      <w:pPr>
        <w:pStyle w:val="TextBody"/>
        <w:bidi w:val="0"/>
        <w:spacing w:before="0" w:after="0"/>
        <w:jc w:val="both"/>
        <w:rPr/>
      </w:pPr>
      <w:r>
        <w:rPr>
          <w:rFonts w:ascii="Times New Roman" w:hAnsi="Times New Roman"/>
          <w:b w:val="false"/>
          <w:color w:val="000000"/>
          <w:sz w:val="12"/>
        </w:rPr>
        <w:t>The fair value of each of the Company’s investments is determined in good faith using significant unobservable inputs by the Investment Adviser in its role as “valuation designee” in accordance with Rule 2a-5 under the 1940 Act, pursuant to valuation policies and procedures that have been approved by the Company’s board of directors (the “Board</w:t>
      </w:r>
      <w:r>
        <w:rPr>
          <w:color w:val="000000"/>
        </w:rPr>
        <w:t>”</w:t>
      </w:r>
      <w:r>
        <w:rPr>
          <w:rFonts w:ascii="Times New Roman" w:hAnsi="Times New Roman"/>
          <w:b w:val="false"/>
          <w:color w:val="000000"/>
          <w:sz w:val="12"/>
        </w:rPr>
        <w:t xml:space="preserve">). </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(3)</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All debt investments are income producing, unless otherwise noted. Equity and warrant investments are non-income producing, unless otherwise noted.</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(4)</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Percentages are based on net assets as of September 30, 2023.</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(5)</w:t>
      </w:r>
    </w:p>
    <w:p>
      <w:pPr>
        <w:pStyle w:val="TextBody"/>
        <w:bidi w:val="0"/>
        <w:spacing w:before="0" w:after="0"/>
        <w:jc w:val="both"/>
        <w:rPr/>
      </w:pPr>
      <w:r>
        <w:rPr>
          <w:rFonts w:ascii="Times New Roman" w:hAnsi="Times New Roman"/>
          <w:b w:val="false"/>
          <w:color w:val="000000"/>
          <w:sz w:val="12"/>
        </w:rPr>
        <w:t>The Company generally acquires its investments in private transactions exempt from registration under the Securities Act of 1933, as amended (the “Securities Act</w:t>
      </w:r>
      <w:r>
        <w:rPr>
          <w:color w:val="000000"/>
        </w:rPr>
        <w:t>”</w:t>
      </w:r>
      <w:r>
        <w:rPr>
          <w:rFonts w:ascii="Times New Roman" w:hAnsi="Times New Roman"/>
          <w:b w:val="false"/>
          <w:color w:val="000000"/>
          <w:sz w:val="12"/>
        </w:rPr>
        <w:t>). These investments are generally subject to certain limitations on resale, and may be deemed to be “restricted securities”</w:t>
      </w:r>
      <w:r>
        <w:rPr>
          <w:color w:val="000000"/>
        </w:rPr>
        <w:t xml:space="preserve"> </w:t>
      </w:r>
      <w:r>
        <w:rPr>
          <w:rFonts w:ascii="Times New Roman" w:hAnsi="Times New Roman"/>
          <w:b w:val="false"/>
          <w:color w:val="000000"/>
          <w:sz w:val="12"/>
        </w:rPr>
        <w:t>under the Securities Act.</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(6)</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Investment is held through our Taxable Subsidiary (See Note 1).</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(7)</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Non-accrual investment.</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(8)</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 xml:space="preserve">1.0% of interest rate payable in cash. The remainder of interest rate payable is either in cash or paid-in-kind at borrower's election. </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(9)</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 xml:space="preserve">15.0% of interest rate payable in cash or paid-in-kind at borrower's election. </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(10)</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The cash rate equals the approximate current yield on our last-out portion of the unitranche facility.</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(11)</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The investment has been exited or sold. The residual value reflects estimated earnout, escrow, or other proceeds expected post-closing.</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(12)</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The Company has an unfunded loan or investment commitment to the portfolio company at September 30, 2023. (See Note 2).</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(13)</w:t>
      </w:r>
    </w:p>
    <w:p>
      <w:pPr>
        <w:pStyle w:val="TextBody"/>
        <w:bidi w:val="0"/>
        <w:spacing w:before="0" w:after="0"/>
        <w:jc w:val="both"/>
        <w:rPr/>
      </w:pPr>
      <w:r>
        <w:rPr>
          <w:rFonts w:ascii="Times New Roman" w:hAnsi="Times New Roman"/>
          <w:b w:val="false"/>
          <w:color w:val="000000"/>
          <w:sz w:val="12"/>
        </w:rPr>
        <w:t>Collateralized loan obligations (“CLO</w:t>
      </w:r>
      <w:r>
        <w:rPr>
          <w:color w:val="000000"/>
        </w:rPr>
        <w:t xml:space="preserve">” </w:t>
      </w:r>
      <w:r>
        <w:rPr>
          <w:rFonts w:ascii="Times New Roman" w:hAnsi="Times New Roman"/>
          <w:b w:val="false"/>
          <w:color w:val="000000"/>
          <w:sz w:val="12"/>
        </w:rPr>
        <w:t>or “CLO's”)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(14)</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The equity investment is income producing, based on rate disclosed.</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(15)</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2023, qualifying assets represent 98.7% of the Company’s total assets and non-qualifying assets represent 1.3% of the Company’s total assets.</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(16)</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All or a portion of this security is pledged as collateral under the KeyBank Credit Facility and held through the Company's wholly-owned subsidiary Capitala Business Lending, LLC.</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(17)</w:t>
      </w:r>
    </w:p>
    <w:p>
      <w:pPr>
        <w:pStyle w:val="TextBody"/>
        <w:bidi w:val="0"/>
        <w:jc w:val="both"/>
        <w:rPr>
          <w:rFonts w:ascii="Times New Roman" w:hAnsi="Times New Roman"/>
          <w:b w:val="false"/>
          <w:color w:val="000000"/>
          <w:sz w:val="12"/>
        </w:rPr>
      </w:pPr>
      <w:r>
        <w:rPr>
          <w:rFonts w:ascii="Times New Roman" w:hAnsi="Times New Roman"/>
          <w:b w:val="false"/>
          <w:color w:val="000000"/>
          <w:sz w:val="12"/>
        </w:rPr>
        <w:t>The negative cost is the result of the capitalized discount being greater than the principal amount outstanding on the loan.</w:t>
      </w:r>
    </w:p>
    <w:p>
      <w:pPr>
        <w:pStyle w:val="TextBody"/>
        <w:bidi w:val="0"/>
        <w:spacing w:before="160" w:after="283"/>
        <w:jc w:val="center"/>
        <w:rPr>
          <w:rFonts w:ascii="Times New Roman" w:hAnsi="Times New Roman"/>
          <w:b w:val="false"/>
          <w:color w:val="000000"/>
          <w:sz w:val="16"/>
        </w:rPr>
      </w:pPr>
      <w:r>
        <w:rPr>
          <w:rFonts w:ascii="Times New Roman" w:hAnsi="Times New Roman"/>
          <w:b w:val="false"/>
          <w:color w:val="000000"/>
          <w:sz w:val="16"/>
        </w:rPr>
        <w:t>See accompanying notes to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for units/shares)</w:t>
      </w:r>
    </w:p>
    <w:p>
      <w:pPr>
        <w:pStyle w:val="TextBody"/>
        <w:bidi w:val="0"/>
        <w:jc w:val="center"/>
        <w:rPr>
          <w:rFonts w:ascii="Times New Roman" w:hAnsi="Times New Roman"/>
          <w:b/>
          <w:color w:val="000000"/>
          <w:sz w:val="16"/>
        </w:rPr>
      </w:pPr>
      <w:r>
        <w:rPr>
          <w:rFonts w:ascii="Times New Roman" w:hAnsi="Times New Roman"/>
          <w:b/>
          <w:color w:val="000000"/>
          <w:sz w:val="16"/>
        </w:rPr>
        <w:t>December 31, 2022</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430"/>
        <w:gridCol w:w="146"/>
        <w:gridCol w:w="1153"/>
        <w:gridCol w:w="146"/>
        <w:gridCol w:w="679"/>
        <w:gridCol w:w="146"/>
        <w:gridCol w:w="909"/>
        <w:gridCol w:w="146"/>
        <w:gridCol w:w="453"/>
        <w:gridCol w:w="146"/>
        <w:gridCol w:w="605"/>
        <w:gridCol w:w="146"/>
        <w:gridCol w:w="188"/>
        <w:gridCol w:w="563"/>
        <w:gridCol w:w="146"/>
        <w:gridCol w:w="146"/>
        <w:gridCol w:w="166"/>
        <w:gridCol w:w="496"/>
        <w:gridCol w:w="386"/>
        <w:gridCol w:w="386"/>
        <w:gridCol w:w="166"/>
        <w:gridCol w:w="496"/>
        <w:gridCol w:w="151"/>
        <w:gridCol w:w="146"/>
        <w:gridCol w:w="664"/>
      </w:tblGrid>
      <w:tr>
        <w:trPr/>
        <w:tc>
          <w:tcPr>
            <w:tcW w:w="1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1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(1), (2), (3), (4), (5)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5208" w:type="dxa"/>
            <w:gridSpan w:val="9"/>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Investments in Non-Control, Non-Affiliate Portfolio Companies - 186.6%</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2729"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Lien/Senior Secured Debt - 137.7%</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Accordion Partners LLC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10.83%</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+ 6.25%</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0.75%</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08/29/2029</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4,457</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4,463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(12)(16)</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Accordion Partners LLC (Revolver)</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Industrials</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+ 6.25%</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0.75%</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08/31/2028</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w:t>
            </w:r>
          </w:p>
        </w:tc>
        <w:tc>
          <w:tcPr>
            <w:tcW w:w="38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Accurate Background, LLC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10.03%</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L + 6.00%</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03/26/2027</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4,458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4,131</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4,302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AIDC Intermediateco 2, LLC (Peak Technologies)</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10.44%</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+ 6.40%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07/22/2027</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4,918</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4,857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Alternative Biomedical Solutions, LLC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8.00%</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12/18/2022</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6,941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6,941</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5,988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American Academy Holdings,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15.38%</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L + 4.75%, 6.25% PIK</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01/01/2025</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2,486</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2,459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American Clinical Solutions, LLC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11.27%</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L + 7.00%, 4.27% PIK</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12/31/2024</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3,500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3,203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AP Core Holdings II,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9.88%</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L + 5.50%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0.75%</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07/21/2027</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1,158</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1,065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AP Core Holdings II, LLC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9.88%</w:t>
            </w:r>
          </w:p>
        </w:tc>
        <w:tc>
          <w:tcPr>
            <w:tcW w:w="146" w:type="dxa"/>
            <w:tcBorders/>
            <w:shd w:fill="CFF0FC" w:val="clear"/>
            <w:vAlign w:val="center"/>
          </w:tcPr>
          <w:p>
            <w:pPr>
              <w:pStyle w:val="TableContents"/>
              <w:bidi w:val="0"/>
              <w:spacing w:before="0" w:after="283"/>
              <w:jc w:val="right"/>
              <w:rPr/>
            </w:pPr>
            <w:r>
              <w:rPr/>
              <w:t> </w:t>
            </w:r>
          </w:p>
        </w:tc>
        <w:tc>
          <w:tcPr>
            <w:tcW w:w="90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L + 5.50%</w:t>
            </w:r>
          </w:p>
        </w:tc>
        <w:tc>
          <w:tcPr>
            <w:tcW w:w="146" w:type="dxa"/>
            <w:tcBorders/>
            <w:shd w:fill="CFF0FC" w:val="clear"/>
            <w:vAlign w:val="center"/>
          </w:tcPr>
          <w:p>
            <w:pPr>
              <w:pStyle w:val="TableContents"/>
              <w:bidi w:val="0"/>
              <w:spacing w:before="0" w:after="283"/>
              <w:jc w:val="right"/>
              <w:rPr/>
            </w:pPr>
            <w:r>
              <w:rPr/>
              <w:t> </w:t>
            </w:r>
          </w:p>
        </w:tc>
        <w:tc>
          <w:tcPr>
            <w:tcW w:w="453"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0.75%</w:t>
            </w:r>
          </w:p>
        </w:tc>
        <w:tc>
          <w:tcPr>
            <w:tcW w:w="146" w:type="dxa"/>
            <w:tcBorders/>
            <w:shd w:fill="CFF0FC" w:val="clear"/>
            <w:vAlign w:val="center"/>
          </w:tcPr>
          <w:p>
            <w:pPr>
              <w:pStyle w:val="TableContents"/>
              <w:bidi w:val="0"/>
              <w:spacing w:before="0" w:after="283"/>
              <w:jc w:val="right"/>
              <w:rPr/>
            </w:pPr>
            <w:r>
              <w:rPr/>
              <w:t> </w:t>
            </w:r>
          </w:p>
        </w:tc>
        <w:tc>
          <w:tcPr>
            <w:tcW w:w="605"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07/21/2027</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1,235</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1,131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Beta Plus Technologies</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8.87%</w:t>
            </w:r>
          </w:p>
        </w:tc>
        <w:tc>
          <w:tcPr>
            <w:tcW w:w="146" w:type="dxa"/>
            <w:tcBorders/>
            <w:shd w:fill="FFFFFF" w:val="clear"/>
            <w:vAlign w:val="center"/>
          </w:tcPr>
          <w:p>
            <w:pPr>
              <w:pStyle w:val="TableContents"/>
              <w:bidi w:val="0"/>
              <w:spacing w:before="0" w:after="283"/>
              <w:jc w:val="right"/>
              <w:rPr/>
            </w:pPr>
            <w:r>
              <w:rPr/>
              <w:t> </w:t>
            </w:r>
          </w:p>
        </w:tc>
        <w:tc>
          <w:tcPr>
            <w:tcW w:w="90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+ 4.75%</w:t>
            </w:r>
          </w:p>
        </w:tc>
        <w:tc>
          <w:tcPr>
            <w:tcW w:w="146" w:type="dxa"/>
            <w:tcBorders/>
            <w:shd w:fill="FFFFFF" w:val="clear"/>
            <w:vAlign w:val="center"/>
          </w:tcPr>
          <w:p>
            <w:pPr>
              <w:pStyle w:val="TableContents"/>
              <w:bidi w:val="0"/>
              <w:spacing w:before="0" w:after="283"/>
              <w:jc w:val="right"/>
              <w:rPr/>
            </w:pPr>
            <w:r>
              <w:rPr/>
              <w:t> </w:t>
            </w:r>
          </w:p>
        </w:tc>
        <w:tc>
          <w:tcPr>
            <w:tcW w:w="45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60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07/02/2029</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2,937</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2,918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Beta Plus Technologies (Revolver)</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90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+ 4.25%</w:t>
            </w:r>
          </w:p>
        </w:tc>
        <w:tc>
          <w:tcPr>
            <w:tcW w:w="146" w:type="dxa"/>
            <w:tcBorders/>
            <w:shd w:fill="CFF0FC" w:val="clear"/>
            <w:vAlign w:val="center"/>
          </w:tcPr>
          <w:p>
            <w:pPr>
              <w:pStyle w:val="TableContents"/>
              <w:bidi w:val="0"/>
              <w:spacing w:before="0" w:after="283"/>
              <w:jc w:val="right"/>
              <w:rPr/>
            </w:pPr>
            <w:r>
              <w:rPr/>
              <w:t> </w:t>
            </w:r>
          </w:p>
        </w:tc>
        <w:tc>
          <w:tcPr>
            <w:tcW w:w="45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605"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07/02/2027</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Bradshaw International, Inc.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Consumer Discretionary</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10.19%</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L + 5.75%</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10/21/2027</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491</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462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Bradshaw International, Inc. (Revolver)</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L + 5.75%</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10/21/2026</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w:t>
            </w:r>
          </w:p>
        </w:tc>
        <w:tc>
          <w:tcPr>
            <w:tcW w:w="38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(71</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CIMSense</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9.92%</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+ 5.50%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12/17/2026</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2,902</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2,772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Critical Nurse Staffing, LLC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10.48%</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L + 6.00%</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10/30/2026</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5,771</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5,765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(12)(16)</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Critical Nurse Staffing, LLC (Revolver)</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10.70%</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L + 6.00%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10/30/2026</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287</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Datalink, LLC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11.48%</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L + 6.75%</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11/23/2026</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5,843</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5,799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Dentive,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11.53%</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+ 7.00%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12/26/2028</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1,170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1,170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(12)(16)</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Dentive, LLC (Revolver)</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+ 7.00%</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12/26/2028</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w:t>
            </w:r>
          </w:p>
        </w:tc>
        <w:tc>
          <w:tcPr>
            <w:tcW w:w="38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Dodge Data &amp; Analytics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9.79%</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+ 4.75%</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02/12/2029</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1,473</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1,183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Epic Staffing Group</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10.40%</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+ 6.00%</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06/28/2029</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4,107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3,831</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3,856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(12)(16)</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Florida Food Products,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Consumer Staples</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9.32%</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+ 5.00%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0.75%</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10/18/2028</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1,888</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1,928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Fortis Payment Solutions</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9.93%</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+ 5.25%</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02/13/2026</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2,903</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2,886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Grindr Capital,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12.52%</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+ 8.00%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11/14/2027</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1,981</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1,988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Heads Up Technologies</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10.14%</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+ 5.50%</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0.75%</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08/10/2028</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2,899</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2,889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Hudson Hospital OpCo,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12.22%</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+ 8.00%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3.00%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11/04/2023</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2,380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2,380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HUMC Opco, LLC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12.22%</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+ 8.00%</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3.00%</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11/04/2023</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3,967</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3,927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IJKG OpCo,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12.22%</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+ 8.00%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3.00%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11/04/2023</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1,020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1,020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JO ET Holdings Limited</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17.53%</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+ 6.00%, 7.00% PIK</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12/15/2026</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1,047</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1,049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Jurassic Quest Holdings,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Entertainment</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11.62%</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L + 7.50%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2.00%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05/01/2024</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7,855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7,855</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7,459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Keg Logistics LLC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10.70%</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L + 6.00%</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11/23/2027</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7,368</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7,198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Keg Logistics LLC (Revolver)</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Consumer Discretionary</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10.32%</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L + 6.00%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11/23/2027</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425</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Lucky Bucks, LLC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10.43%</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L + 5.50%</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0.75%</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07/21/2027</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2,806</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1,679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Marble Point Credit Management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10.75%</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L + 6.00%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08/11/2028</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5,504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5,382</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5,504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Marble Point Credit Management LLC (Revolver)</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L + 6.00%</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08/11/2028</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w:t>
            </w:r>
          </w:p>
        </w:tc>
        <w:tc>
          <w:tcPr>
            <w:tcW w:w="386"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Material Handling Systems, Inc.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Industrials</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10.08%</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+ 5.50%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06/08/2029</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1,800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1,736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Money Transfer Acquisition Inc.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12.67%</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+ 8.25%</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12/14/2027</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6,861</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6,860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Neptune BidCo US Inc.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Communication Services</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8.82%</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+ 5.00%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04/11/2029</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891</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896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Patriot Pickle, Inc.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Consumer Staples</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10.16%</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+ 5.43%</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04/13/2027</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2,898</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2,897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Premier Imaging,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10.13%</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L + 5.75%</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01/02/2025</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2,566</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2,537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(12)(16)</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RN Enterprises, LLC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10.78%</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+ 6.50%</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12/23/2025</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960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960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Sequoia Healthcare Management,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 Management</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11/04/2023</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11,935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11,935</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9,695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(7)</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Shock Doctor, Inc.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9.37%</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+ 5.00%</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05/14/2024</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2,262</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2,232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South Street Securities Holdings, Inc.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9.00%</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09/20/2027</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380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STG Logistics</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10.32%</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+ 6.00%</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0.75%</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03/24/2028</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2,418</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2,447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Symplr Software, Inc.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8.69%</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+ 4.50%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0.75%</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12/22/2027</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1,684</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1,417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Wealth Enhancement Group, LLC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10.00%</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+ 6.00%</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10/02/2027</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6,959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6,933</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6,897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Wealth Enhancement Group, LLC (Revolver)</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+ 6.00%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10/02/2027</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w:t>
            </w:r>
          </w:p>
        </w:tc>
      </w:tr>
      <w:tr>
        <w:trPr/>
        <w:tc>
          <w:tcPr>
            <w:tcW w:w="2729"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Lien/Senior Secured Debt</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136,961</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130,810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2729"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Lien/Senior Secured Debt - 5.9%</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American Academy Holdings, LLC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14.50% PIK</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03/01/2028</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3,502</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2,912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BLST Operating Company,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Online Merchandise Retailer</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12.94%</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L + 8.50%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08/28/2025</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912</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884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(8)(16)</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Ivanti Software, Inc.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12.01%</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L + 7.25%</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0.50%</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12/01/2028</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2,987</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1,755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2729"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Lien/Senior Secured Debt</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7,401</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FFFFFF"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5,551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430" w:type="dxa"/>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Subordinated Debt - 27.2%</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Eastport Holdings,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13.17%</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SOFR + 8.50%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09/29/2027</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19,250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19,250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Lucky Bucks, LLC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12.50% PIK</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05/29/2028</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2,227</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1,600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Tubular Textile Machinery, Inc.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Textile Equipment Manufacturer</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5.00%</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10/29/2027</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5,094</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5,001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2729"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Subordinated Debt</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26,571</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25,851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Collateralized Loan Obligations - 5.2%</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JMP Credit Advisors CLO IV Ltd.</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24.43%</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07/17/2029</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7,891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1,723</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1,723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(13)(15)</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JMP Credit Advisors CLO V Ltd.</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2.16%</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07/17/2030</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7,320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4,462</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3,249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(13)(15)</w:t>
            </w:r>
          </w:p>
        </w:tc>
      </w:tr>
      <w:tr>
        <w:trPr/>
        <w:tc>
          <w:tcPr>
            <w:tcW w:w="2729"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Collateralized Loan Obligations</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6,185</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4,972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2729"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Preferred Stock and Units - 2.3%</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Alternative Biomedical Solutions, LLC - Series A</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15,553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1,276</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Alternative Biomedical Solutions, LLC - Series B</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54,084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3,949</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Alternative Biomedical Solutions, LLC - Series 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78,900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American Academy Holdings,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102,261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Jurassic Quest Holdings, LLC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Entertainment</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467,784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MicroHoldco,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General Industrial</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740,237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749</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641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w:t>
            </w:r>
          </w:p>
        </w:tc>
      </w:tr>
      <w:tr>
        <w:trPr/>
        <w:tc>
          <w:tcPr>
            <w:tcW w:w="143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Taylor Precision Products, Inc. - Series 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Household Product Manufacturer</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758</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U.S. BioTek Laboratories, LLC - Class A</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Testing Laboratories</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540</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671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2729"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Stock and Units</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7,752</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2,188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bl>
    <w:p>
      <w:pPr>
        <w:pStyle w:val="TextBody"/>
        <w:bidi w:val="0"/>
        <w:spacing w:before="160" w:after="283"/>
        <w:jc w:val="center"/>
        <w:rPr>
          <w:rFonts w:ascii="Times New Roman" w:hAnsi="Times New Roman"/>
          <w:b w:val="false"/>
          <w:color w:val="000000"/>
          <w:sz w:val="16"/>
        </w:rPr>
      </w:pPr>
      <w:r>
        <w:rPr>
          <w:rFonts w:ascii="Times New Roman" w:hAnsi="Times New Roman"/>
          <w:b w:val="false"/>
          <w:color w:val="000000"/>
          <w:sz w:val="16"/>
        </w:rPr>
        <w:t>See accompanying notes to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 CONTINUED</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for units/shares)</w:t>
      </w:r>
    </w:p>
    <w:p>
      <w:pPr>
        <w:pStyle w:val="TextBody"/>
        <w:bidi w:val="0"/>
        <w:jc w:val="center"/>
        <w:rPr>
          <w:rFonts w:ascii="Times New Roman" w:hAnsi="Times New Roman"/>
          <w:b/>
          <w:color w:val="000000"/>
          <w:sz w:val="16"/>
        </w:rPr>
      </w:pPr>
      <w:r>
        <w:rPr>
          <w:rFonts w:ascii="Times New Roman" w:hAnsi="Times New Roman"/>
          <w:b/>
          <w:color w:val="000000"/>
          <w:sz w:val="16"/>
        </w:rPr>
        <w:t>December 31, 2022</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33"/>
        <w:gridCol w:w="146"/>
        <w:gridCol w:w="1039"/>
        <w:gridCol w:w="146"/>
        <w:gridCol w:w="597"/>
        <w:gridCol w:w="146"/>
        <w:gridCol w:w="707"/>
        <w:gridCol w:w="146"/>
        <w:gridCol w:w="420"/>
        <w:gridCol w:w="146"/>
        <w:gridCol w:w="594"/>
        <w:gridCol w:w="146"/>
        <w:gridCol w:w="150"/>
        <w:gridCol w:w="664"/>
        <w:gridCol w:w="386"/>
        <w:gridCol w:w="386"/>
        <w:gridCol w:w="166"/>
        <w:gridCol w:w="496"/>
        <w:gridCol w:w="386"/>
        <w:gridCol w:w="386"/>
        <w:gridCol w:w="166"/>
        <w:gridCol w:w="496"/>
        <w:gridCol w:w="146"/>
        <w:gridCol w:w="146"/>
        <w:gridCol w:w="665"/>
      </w:tblGrid>
      <w:tr>
        <w:trPr/>
        <w:tc>
          <w:tcPr>
            <w:tcW w:w="13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(1), (2), (3), (4), (5)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2518"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Common Stock and Membership Units - 8.3%</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814" w:type="dxa"/>
            <w:gridSpan w:val="2"/>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ind w:left="0" w:right="0" w:firstLine="240"/>
              <w:jc w:val="righ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33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Alternative Biomedical Solutions, LLC</w:t>
            </w:r>
          </w:p>
        </w:tc>
        <w:tc>
          <w:tcPr>
            <w:tcW w:w="14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20,092</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800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33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Alternative Biomedical Solutions, LLC - Membership Unit Warrants</w:t>
            </w:r>
          </w:p>
        </w:tc>
        <w:tc>
          <w:tcPr>
            <w:tcW w:w="146"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49,295</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33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American Academy Holdings, LLC</w:t>
            </w:r>
          </w:p>
        </w:tc>
        <w:tc>
          <w:tcPr>
            <w:tcW w:w="14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0.05</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w:t>
            </w:r>
          </w:p>
        </w:tc>
      </w:tr>
      <w:tr>
        <w:trPr/>
        <w:tc>
          <w:tcPr>
            <w:tcW w:w="133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American Clinical Solutions, LLC - Class A</w:t>
            </w:r>
          </w:p>
        </w:tc>
        <w:tc>
          <w:tcPr>
            <w:tcW w:w="146"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6,030,384</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3,198</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w:t>
            </w:r>
          </w:p>
        </w:tc>
      </w:tr>
      <w:tr>
        <w:trPr/>
        <w:tc>
          <w:tcPr>
            <w:tcW w:w="133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Aperture Dodge 18 LLC</w:t>
            </w:r>
          </w:p>
        </w:tc>
        <w:tc>
          <w:tcPr>
            <w:tcW w:w="14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2,033,247</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2,033</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33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BLST Operating Company, LLC - Class A</w:t>
            </w:r>
          </w:p>
        </w:tc>
        <w:tc>
          <w:tcPr>
            <w:tcW w:w="146"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Online Merchandise Retailer</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217,013</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286</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w:t>
            </w:r>
          </w:p>
        </w:tc>
      </w:tr>
      <w:tr>
        <w:trPr/>
        <w:tc>
          <w:tcPr>
            <w:tcW w:w="133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Freedom Electronics, LLC</w:t>
            </w:r>
          </w:p>
        </w:tc>
        <w:tc>
          <w:tcPr>
            <w:tcW w:w="14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Electronic Machine Repair</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181,818</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182</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33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South Street Securities Holdings, Inc. - Warrants</w:t>
            </w:r>
          </w:p>
        </w:tc>
        <w:tc>
          <w:tcPr>
            <w:tcW w:w="146"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567</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65</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33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U.S. BioTek Laboratories, LLC - Class C</w:t>
            </w:r>
          </w:p>
        </w:tc>
        <w:tc>
          <w:tcPr>
            <w:tcW w:w="14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Testing Laboratories</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578</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2518"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Stock and Membership Units</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4" w:type="dxa"/>
            <w:gridSpan w:val="2"/>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6,565</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7,896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3261" w:type="dxa"/>
            <w:gridSpan w:val="5"/>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Non-Control, Non-Affiliate Portfolio Companies</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4" w:type="dxa"/>
            <w:gridSpan w:val="2"/>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191,435</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177,268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2518"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Investments in Affiliated Portfolio Companies - 27.7%^</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4" w:type="dxa"/>
            <w:gridSpan w:val="2"/>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2518"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Lien/Senior Secured Debt - 6.4%</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4" w:type="dxa"/>
            <w:gridSpan w:val="2"/>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firstLine="240"/>
              <w:jc w:val="left"/>
              <w:rPr/>
            </w:pPr>
            <w:r>
              <w:rPr/>
              <w:t> </w:t>
            </w:r>
          </w:p>
        </w:tc>
        <w:tc>
          <w:tcPr>
            <w:tcW w:w="386" w:type="dxa"/>
            <w:tcBorders/>
            <w:shd w:fill="FFFFFF" w:val="clear"/>
            <w:vAlign w:val="center"/>
          </w:tcPr>
          <w:p>
            <w:pPr>
              <w:pStyle w:val="TableContents"/>
              <w:bidi w:val="0"/>
              <w:spacing w:before="0" w:after="283"/>
              <w:ind w:left="240" w:right="0" w:firstLine="240"/>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33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MMI Holdings, LLC</w:t>
            </w:r>
          </w:p>
        </w:tc>
        <w:tc>
          <w:tcPr>
            <w:tcW w:w="146"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Medical Device Distributor</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12.00%</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04/01/2022</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2,600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2,600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33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RAM Payment, LLC (First Out)</w:t>
            </w:r>
          </w:p>
        </w:tc>
        <w:tc>
          <w:tcPr>
            <w:tcW w:w="14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 Services</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9.12%</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L + 5.00%</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1.50%</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01/04/2024</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939</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939</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(16)</w:t>
            </w:r>
          </w:p>
        </w:tc>
      </w:tr>
      <w:tr>
        <w:trPr/>
        <w:tc>
          <w:tcPr>
            <w:tcW w:w="133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RAM Payment, LLC (Last Out)</w:t>
            </w:r>
          </w:p>
        </w:tc>
        <w:tc>
          <w:tcPr>
            <w:tcW w:w="146"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 Services</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12.45%</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1.50%</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01/04/2024</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2,547</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2,547</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(10)(16)</w:t>
            </w:r>
          </w:p>
        </w:tc>
      </w:tr>
      <w:tr>
        <w:trPr/>
        <w:tc>
          <w:tcPr>
            <w:tcW w:w="2518"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Lien/Senior Secured Debt</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4" w:type="dxa"/>
            <w:gridSpan w:val="2"/>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6,086</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FFFFFF"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6,086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2518"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Lien/Senior Secured Debt - 1.0%</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4" w:type="dxa"/>
            <w:gridSpan w:val="2"/>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33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Medical Device Distributor</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6.00%</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04/01/2022</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388</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33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Sierra Hamilton Holdings Corporation</w:t>
            </w:r>
          </w:p>
        </w:tc>
        <w:tc>
          <w:tcPr>
            <w:tcW w:w="146"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Oil &amp; Gas Engineering and Consulting Services</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15.00% PIK</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09/12/2023</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(9)</w:t>
            </w:r>
          </w:p>
        </w:tc>
      </w:tr>
      <w:tr>
        <w:trPr/>
        <w:tc>
          <w:tcPr>
            <w:tcW w:w="133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V12 Holdings, Inc.</w:t>
            </w:r>
          </w:p>
        </w:tc>
        <w:tc>
          <w:tcPr>
            <w:tcW w:w="14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Data Processing &amp; Digital Marketing</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509</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490</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(11)</w:t>
            </w:r>
          </w:p>
        </w:tc>
      </w:tr>
      <w:tr>
        <w:trPr/>
        <w:tc>
          <w:tcPr>
            <w:tcW w:w="2518"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Lien/Senior Secured Debt</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4" w:type="dxa"/>
            <w:gridSpan w:val="2"/>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882</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2518"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Joint Ventures - 0.4%</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4" w:type="dxa"/>
            <w:gridSpan w:val="2"/>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firstLine="240"/>
              <w:jc w:val="left"/>
              <w:rPr/>
            </w:pPr>
            <w:r>
              <w:rPr/>
              <w:t> </w:t>
            </w:r>
          </w:p>
        </w:tc>
        <w:tc>
          <w:tcPr>
            <w:tcW w:w="386" w:type="dxa"/>
            <w:tcBorders/>
            <w:shd w:fill="FFFFFF" w:val="clear"/>
            <w:vAlign w:val="center"/>
          </w:tcPr>
          <w:p>
            <w:pPr>
              <w:pStyle w:val="TableContents"/>
              <w:bidi w:val="0"/>
              <w:spacing w:before="0" w:after="283"/>
              <w:ind w:left="240" w:right="0" w:firstLine="240"/>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33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Great Lakes Funding II LLC - Series A</w:t>
            </w:r>
          </w:p>
        </w:tc>
        <w:tc>
          <w:tcPr>
            <w:tcW w:w="146"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414</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414</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(12)(15)</w:t>
            </w:r>
          </w:p>
        </w:tc>
      </w:tr>
      <w:tr>
        <w:trPr/>
        <w:tc>
          <w:tcPr>
            <w:tcW w:w="2518"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Joint Ventures</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4" w:type="dxa"/>
            <w:gridSpan w:val="2"/>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414</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FFFFFF"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2518"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Preferred Stock and Units - 8.7%</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4" w:type="dxa"/>
            <w:gridSpan w:val="2"/>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33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GA Communications, Inc. - Series A-1</w:t>
            </w:r>
          </w:p>
        </w:tc>
        <w:tc>
          <w:tcPr>
            <w:tcW w:w="14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Advertising &amp; Marketing Services</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1,998</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3,477</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33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GreenPark Infrastructure, LLC - Series A</w:t>
            </w:r>
          </w:p>
        </w:tc>
        <w:tc>
          <w:tcPr>
            <w:tcW w:w="146"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w:t>
            </w:r>
          </w:p>
        </w:tc>
      </w:tr>
      <w:tr>
        <w:trPr/>
        <w:tc>
          <w:tcPr>
            <w:tcW w:w="133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Medical Device Distributor</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8.00% PIK</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1,904</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(14)</w:t>
            </w:r>
          </w:p>
        </w:tc>
      </w:tr>
      <w:tr>
        <w:trPr/>
        <w:tc>
          <w:tcPr>
            <w:tcW w:w="133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RAM Payment, LLC</w:t>
            </w:r>
          </w:p>
        </w:tc>
        <w:tc>
          <w:tcPr>
            <w:tcW w:w="146"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Financial Services</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6.00% PIK</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86,000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1,135</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(14)</w:t>
            </w:r>
          </w:p>
        </w:tc>
      </w:tr>
      <w:tr>
        <w:trPr/>
        <w:tc>
          <w:tcPr>
            <w:tcW w:w="2518"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Stock and Units</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4" w:type="dxa"/>
            <w:gridSpan w:val="2"/>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6,716</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FFFFFF"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8,287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2518"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Common Stock and Membership Units - 11.2%</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4" w:type="dxa"/>
            <w:gridSpan w:val="2"/>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33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Burgaflex Holdings, LLC - Class A</w:t>
            </w:r>
          </w:p>
        </w:tc>
        <w:tc>
          <w:tcPr>
            <w:tcW w:w="14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Automobile Part Manufacturer</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1,253,198</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1,504</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33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Burgaflex Holdings, LLC - Class B</w:t>
            </w:r>
          </w:p>
        </w:tc>
        <w:tc>
          <w:tcPr>
            <w:tcW w:w="146"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Automobile Part Manufacturer</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1,085,073</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362</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33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GA Communications, Inc. - Series B-1</w:t>
            </w:r>
          </w:p>
        </w:tc>
        <w:tc>
          <w:tcPr>
            <w:tcW w:w="14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Advertising &amp; Marketing Services</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200,000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33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GreenPark Infrastructure, LLC - Series M-1</w:t>
            </w:r>
          </w:p>
        </w:tc>
        <w:tc>
          <w:tcPr>
            <w:tcW w:w="146"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69</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(6)(12)</w:t>
            </w:r>
          </w:p>
        </w:tc>
      </w:tr>
      <w:tr>
        <w:trPr/>
        <w:tc>
          <w:tcPr>
            <w:tcW w:w="133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Medical Device Distributor</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33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Nth Degree Investment Group, LLC</w:t>
            </w:r>
          </w:p>
        </w:tc>
        <w:tc>
          <w:tcPr>
            <w:tcW w:w="146"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6,088,000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6,088</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5,320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33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Sierra Hamilton Holdings Corporation</w:t>
            </w:r>
          </w:p>
        </w:tc>
        <w:tc>
          <w:tcPr>
            <w:tcW w:w="14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Oil &amp; Gas Engineering and Consulting Services</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15,068,000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6,958</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2518"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Stock and Membership Units</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4" w:type="dxa"/>
            <w:gridSpan w:val="2"/>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14,983</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10,635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2518"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Affiliated Portfolio Companies^</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4" w:type="dxa"/>
            <w:gridSpan w:val="2"/>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29,081</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FFFFFF"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26,324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2518"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- 214.3%</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4" w:type="dxa"/>
            <w:gridSpan w:val="2"/>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220,516</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203,592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16"/>
        </w:rPr>
        <w:t xml:space="preserve">^ </w:t>
      </w:r>
      <w:r>
        <w:rPr>
          <w:rFonts w:ascii="Times New Roman" w:hAnsi="Times New Roman"/>
          <w:b w:val="false"/>
          <w:color w:val="000000"/>
          <w:sz w:val="12"/>
        </w:rPr>
        <w:t>As defined in the 1940 Act, the investment is deemed to be an "affiliated person" of the Company because the Company owns, either directly or indirectly, 5% or more of the portfolio company's outstanding voting securities.</w:t>
      </w:r>
    </w:p>
    <w:p>
      <w:pPr>
        <w:pStyle w:val="TextBody"/>
        <w:bidi w:val="0"/>
        <w:jc w:val="both"/>
        <w:rPr>
          <w:rFonts w:ascii="Times New Roman" w:hAnsi="Times New Roman"/>
          <w:b w:val="false"/>
          <w:color w:val="000000"/>
          <w:sz w:val="12"/>
        </w:rPr>
      </w:pPr>
      <w:r>
        <w:rPr>
          <w:rFonts w:ascii="Times New Roman" w:hAnsi="Times New Roman"/>
          <w:b w:val="false"/>
          <w:color w:val="000000"/>
          <w:sz w:val="12"/>
        </w:rPr>
        <w:t>^^ As defined in the 1940 Act, the investment is deemed to be a “controlled affiliated person” of the Company because the Company owns, either directly or indirectly, 25% or more of the portfolio company's outstanding voting securities or has the power to exercise control over management or policies of such portfolio company.</w:t>
      </w:r>
    </w:p>
    <w:p>
      <w:pPr>
        <w:pStyle w:val="TextBody"/>
        <w:bidi w:val="0"/>
        <w:jc w:val="both"/>
        <w:rPr>
          <w:rFonts w:ascii="Times New Roman" w:hAnsi="Times New Roman"/>
          <w:b w:val="false"/>
          <w:color w:val="000000"/>
          <w:sz w:val="12"/>
        </w:rPr>
      </w:pPr>
      <w:r>
        <w:rPr>
          <w:rFonts w:ascii="Times New Roman" w:hAnsi="Times New Roman"/>
          <w:b w:val="false"/>
          <w:color w:val="000000"/>
          <w:sz w:val="12"/>
        </w:rPr>
        <w:t>(+) Represents the actual interest rate for partially or fully funded debt in effect as of the reporting date. Variable rate loans bear interest at a rate that may be determined by the larger of the floor of the reference to either LIBOR ("L"), SOFR, or alternate base rate (unless otherwise noted) at the borrower's option, which reset periodically based on the terms of the credit agreement. L loans are typically indexed to 6 month, 3 month, or 1 month L rates. SOFR loans are typically indexed to 6 month, 3 month, or 1 month SOFR rates. As of December 31, 2022, rates for the 6 month, 3 month, and 1 month L are 5.14%, 4.77% and 4.39%, respectively. As of December 31, 2022, rates for the 6 month, 3 month, and 1 month SOFR are 4.78%, 4.59% and 4.36%, respectively. For investments with multiple reference rates or alternate base rates, the interest rate shown is the weighted average interest rate in effect at December 31, 2022.</w:t>
      </w:r>
    </w:p>
    <w:p>
      <w:pPr>
        <w:pStyle w:val="TextBody"/>
        <w:bidi w:val="0"/>
        <w:jc w:val="both"/>
        <w:rPr>
          <w:rFonts w:ascii="Times New Roman" w:hAnsi="Times New Roman"/>
          <w:sz w:val="20"/>
        </w:rPr>
      </w:pPr>
      <w:r>
        <w:rPr>
          <w:rFonts w:ascii="Times New Roman" w:hAnsi="Times New Roman"/>
          <w:b w:val="false"/>
          <w:color w:val="000000"/>
          <w:sz w:val="12"/>
        </w:rPr>
        <w:t>(++) Par amount is presented for debt investments, while the number of shares or units owned is presented for equity investments.</w:t>
      </w:r>
      <w:r>
        <w:rPr>
          <w:rFonts w:ascii="Times New Roman" w:hAnsi="Times New Roman"/>
          <w:color w:val="000000"/>
          <w:sz w:val="20"/>
        </w:rPr>
        <w:t xml:space="preserve"> </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(1)</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All investments valued using unobservable inputs (Level 3), unless otherwise noted.</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(2)</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The fair value of each of the Company’s investments is determined in good faith using significant unobservable inputs by the Adviser in its role as “valuation designee” in accordance with Rule 2a-5 under the 1940 Act, pursuant to valuation policies and procedures that have been approved by the Company’s board of directors (the “Board”).</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(3)</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All debt investments are income producing, unless otherwise noted. Equity and warrant investments are non-income producing, unless otherwise noted.</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(4)</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Percentages are based on net assets as of December 31, 2022.</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(5)</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(6)</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Investment is held through our Taxable Subsidiary (See Note 1).</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(7)</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Non-accrual investment.</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(8)</w:t>
      </w:r>
    </w:p>
    <w:p>
      <w:pPr>
        <w:pStyle w:val="TextBody"/>
        <w:bidi w:val="0"/>
        <w:spacing w:before="0" w:after="0"/>
        <w:jc w:val="both"/>
        <w:rPr/>
      </w:pPr>
      <w:r>
        <w:rPr>
          <w:rFonts w:ascii="Times New Roman" w:hAnsi="Times New Roman"/>
          <w:b w:val="false"/>
          <w:color w:val="000000"/>
          <w:sz w:val="12"/>
        </w:rPr>
        <w:t>1.0% interest rate payable in cash. 9.0% interest rate payable in cash or paid-in-kind at borrower's election.</w:t>
      </w:r>
      <w:r>
        <w:rPr>
          <w:color w:val="000000"/>
        </w:rPr>
        <w:t xml:space="preserve"> </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(9)</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15.0% interest rate payable in cash or paid-in-kind at borrower's election.</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(10)</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The cash rate equals the approximate current yield on our last-out portion of the unitranche facility.</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(11)</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The investment has been exited or sold. The residual value reflects estimated earnout, escrow, or other proceeds expected post-closing.</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(12)</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The Company has an unfunded loan or investment commitment to the portfolio company at December 31, 2022. (See Note 2).</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(13)</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Collateralized loan obligations ("CLO" or "CLO's")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(14)</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The equity investment is income producing, based on rate disclosed.</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(15)</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The investment is treated as a non-qualifying asset under Section 55(a) of the 1940 Act. Under the 1940 Act, we may not acquire any non-qualifying asset unless, at the time the acquisition is made, qualifying assets represent at least 70% of our total assets. As of December 31, 2022, qualifying assets represent 97.5% of the Company’s total assets and non-qualifying assets represent 2.5% of the Company’s total assets.</w:t>
      </w:r>
    </w:p>
    <w:p>
      <w:pPr>
        <w:pStyle w:val="TextBody"/>
        <w:bidi w:val="0"/>
        <w:spacing w:before="0" w:after="0"/>
        <w:jc w:val="both"/>
        <w:rPr>
          <w:rFonts w:ascii="Times New Roman" w:hAnsi="Times New Roman"/>
          <w:b w:val="false"/>
          <w:color w:val="000000"/>
          <w:sz w:val="12"/>
        </w:rPr>
      </w:pPr>
      <w:r>
        <w:rPr>
          <w:rFonts w:ascii="Times New Roman" w:hAnsi="Times New Roman"/>
          <w:b w:val="false"/>
          <w:color w:val="000000"/>
          <w:sz w:val="12"/>
        </w:rPr>
        <w:t>(16)</w:t>
      </w:r>
    </w:p>
    <w:p>
      <w:pPr>
        <w:pStyle w:val="TextBody"/>
        <w:bidi w:val="0"/>
        <w:jc w:val="both"/>
        <w:rPr>
          <w:rFonts w:ascii="Times New Roman" w:hAnsi="Times New Roman"/>
          <w:b w:val="false"/>
          <w:color w:val="000000"/>
          <w:sz w:val="12"/>
        </w:rPr>
      </w:pPr>
      <w:r>
        <w:rPr>
          <w:rFonts w:ascii="Times New Roman" w:hAnsi="Times New Roman"/>
          <w:b w:val="false"/>
          <w:color w:val="000000"/>
          <w:sz w:val="12"/>
        </w:rPr>
        <w:t>All or a portion of this security is pledged as collateral under the KeyBank Credit Facility and held through the Company's wholly-owned subsidiary Capitala Business Lending, LLC.</w:t>
      </w:r>
    </w:p>
    <w:p>
      <w:pPr>
        <w:pStyle w:val="TextBody"/>
        <w:bidi w:val="0"/>
        <w:spacing w:before="160" w:after="283"/>
        <w:jc w:val="center"/>
        <w:rPr>
          <w:rFonts w:ascii="Times New Roman" w:hAnsi="Times New Roman"/>
          <w:b w:val="false"/>
          <w:color w:val="000000"/>
          <w:sz w:val="16"/>
        </w:rPr>
      </w:pPr>
      <w:r>
        <w:rPr>
          <w:rFonts w:ascii="Times New Roman" w:hAnsi="Times New Roman"/>
          <w:b w:val="false"/>
          <w:color w:val="000000"/>
          <w:sz w:val="16"/>
        </w:rPr>
        <w:t>See accompanying notes to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bookmarkStart w:id="9" w:name="notes_to_consolidated_financial"/>
      <w:bookmarkEnd w:id="9"/>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September 30,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p>
      <w:pPr>
        <w:pStyle w:val="TextBody"/>
        <w:bidi w:val="0"/>
        <w:spacing w:before="0" w:after="120"/>
        <w:jc w:val="left"/>
        <w:rPr>
          <w:rFonts w:ascii="Times New Roman" w:hAnsi="Times New Roman"/>
          <w:b/>
          <w:color w:val="000000"/>
          <w:sz w:val="16"/>
        </w:rPr>
      </w:pPr>
      <w:r>
        <w:rPr>
          <w:rFonts w:ascii="Times New Roman" w:hAnsi="Times New Roman"/>
          <w:b/>
          <w:color w:val="000000"/>
          <w:sz w:val="16"/>
        </w:rPr>
        <w:t>Note 1. Organization</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Logan Ridge Finance Corporation (“Logan Ridge”, the “Company”, “we”, “us”, and “our”) is an externally managed non-diversified closed-end management investment company incorporated in Maryland on February 21, 2013. The Company has elected to be regulated as a business development company (“BDC”) under the Investment Company Act of 1940, as amended (the “1940 Act”). The Company commenced operations on May 24, 2013 and completed its initial public offering (“IPO”) on September 30, 2013. The Company is managed by Mount Logan Management LLC (the “Investment Adviser”), an investment adviser that is registered as an investment adviser under the Investment Advisers Act of 1940, as amended, and BC Partners Management LLC (the “Administrator”) provides the administrative services necessary for the Company to operate. For United States (“U.S.”) federal income tax purposes, the Company has elected to be treated, and intends to comply with the requirements to continue to qualify annually, as a regulated investment company (“RIC”) under subchapter M of the Internal Revenue Code of 1986, as amended (the “Code”).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Fund III, L.P. (f/k/a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On September 24, 2013, the Company acquired 100% of the limited partnership interests in Fund II, Fund III, and Florida Sidecar and each of their respective general partners, as well as certain assets from Fund I and Fund III Parent, in exchange for an aggregate of 8,974,420</w:t>
      </w:r>
      <w:r>
        <w:rPr>
          <w:rFonts w:ascii="Times New Roman" w:hAnsi="Times New Roman"/>
          <w:color w:val="000000"/>
          <w:sz w:val="20"/>
        </w:rPr>
        <w:t xml:space="preserve"> </w:t>
      </w:r>
      <w:r>
        <w:rPr>
          <w:rFonts w:ascii="Times New Roman" w:hAnsi="Times New Roman"/>
          <w:b w:val="false"/>
          <w:color w:val="000000"/>
          <w:sz w:val="16"/>
        </w:rPr>
        <w:t>shares of the Company’s common stock (the “Formation Transactions”). Fund II, Fund III, and Florida Sidecar became the Company’s wholly owned subsidiaries. Fund II and Fund III retained their small business investment company (“SBIC”) licenses, continued to hold their existing investments at the time of the IPO and have continued to make new investments. The IPO consisted of the sale of 4,000,000</w:t>
      </w:r>
      <w:r>
        <w:rPr>
          <w:rFonts w:ascii="Times New Roman" w:hAnsi="Times New Roman"/>
          <w:color w:val="000000"/>
          <w:sz w:val="20"/>
        </w:rPr>
        <w:t xml:space="preserve"> </w:t>
      </w:r>
      <w:r>
        <w:rPr>
          <w:rFonts w:ascii="Times New Roman" w:hAnsi="Times New Roman"/>
          <w:b w:val="false"/>
          <w:color w:val="000000"/>
          <w:sz w:val="16"/>
        </w:rPr>
        <w:t>shares of the Company’s common stock at a price of $20.00</w:t>
      </w:r>
      <w:r>
        <w:rPr>
          <w:rFonts w:ascii="Times New Roman" w:hAnsi="Times New Roman"/>
          <w:color w:val="000000"/>
          <w:sz w:val="20"/>
        </w:rPr>
        <w:t xml:space="preserve"> </w:t>
      </w:r>
      <w:r>
        <w:rPr>
          <w:rFonts w:ascii="Times New Roman" w:hAnsi="Times New Roman"/>
          <w:b w:val="false"/>
          <w:color w:val="000000"/>
          <w:sz w:val="16"/>
        </w:rPr>
        <w:t>per share, resulting in net proceeds to the Company of $74.25</w:t>
      </w:r>
      <w:r>
        <w:rPr>
          <w:rFonts w:ascii="Times New Roman" w:hAnsi="Times New Roman"/>
          <w:color w:val="000000"/>
          <w:sz w:val="20"/>
        </w:rPr>
        <w:t xml:space="preserve"> </w:t>
      </w:r>
      <w:r>
        <w:rPr>
          <w:rFonts w:ascii="Times New Roman" w:hAnsi="Times New Roman"/>
          <w:b w:val="false"/>
          <w:color w:val="000000"/>
          <w:sz w:val="16"/>
        </w:rPr>
        <w:t>million, after deducting underwriting fees and commissions totaling $4.0</w:t>
      </w:r>
      <w:r>
        <w:rPr>
          <w:rFonts w:ascii="Times New Roman" w:hAnsi="Times New Roman"/>
          <w:color w:val="000000"/>
          <w:sz w:val="20"/>
        </w:rPr>
        <w:t xml:space="preserve"> </w:t>
      </w:r>
      <w:r>
        <w:rPr>
          <w:rFonts w:ascii="Times New Roman" w:hAnsi="Times New Roman"/>
          <w:b w:val="false"/>
          <w:color w:val="000000"/>
          <w:sz w:val="16"/>
        </w:rPr>
        <w:t>million and offering expenses totaling $1.75</w:t>
      </w:r>
      <w:r>
        <w:rPr>
          <w:rFonts w:ascii="Times New Roman" w:hAnsi="Times New Roman"/>
          <w:color w:val="000000"/>
          <w:sz w:val="20"/>
        </w:rPr>
        <w:t xml:space="preserve"> </w:t>
      </w:r>
      <w:r>
        <w:rPr>
          <w:rFonts w:ascii="Times New Roman" w:hAnsi="Times New Roman"/>
          <w:b w:val="false"/>
          <w:color w:val="000000"/>
          <w:sz w:val="16"/>
        </w:rPr>
        <w:t>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(the “SBA-guaranteed debentures”) and relinquished its SBIC license. On June 10, 2021, Fund III repaid its SBA-guaranteed debentures and relinquished its SBIC license. Accordingly, as of September 30, 2023 and December 31, 2022, there were no</w:t>
      </w:r>
      <w:r>
        <w:rPr>
          <w:rFonts w:ascii="Times New Roman" w:hAnsi="Times New Roman"/>
          <w:color w:val="000000"/>
          <w:sz w:val="20"/>
        </w:rPr>
        <w:t xml:space="preserve"> </w:t>
      </w:r>
      <w:r>
        <w:rPr>
          <w:rFonts w:ascii="Times New Roman" w:hAnsi="Times New Roman"/>
          <w:b w:val="false"/>
          <w:color w:val="000000"/>
          <w:sz w:val="16"/>
        </w:rPr>
        <w:t>SBA-guaranteed debentures outstanding.</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Capitala Business Lending, LLC (“CBL”), a wholly-owned subsidiary of the Company, was established on October 30, 2020, for the sole purpose of holding certain investments pledged as collateral under the Company's line of credit with KeyBank National Association (the “KeyBank Credit Facility”). See Note 6 for more details about the KeyBank Credit Facility. The financial statements of CBL are consolidated with those of Logan Ridge Finance Corporation.</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Definitive Agreement</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On April 20, 2021, Capitala Investment Advisors, LLC (“Capitala”), the Company’s former investment adviser, entered into a definitive agreement (the “Definitive Agreement”) with the Investment Adviser and Mount Logan Capital Inc. (“MLC”), both affiliates of BC Partners Advisors L.P. (“BC Partners”) for U.S. regulatory purposes, whereby Mount Logan acquired certain assets related to Capitala’s business of providing investment management services to the Company (the “Transaction”), through which the Investment Adviser became the Company’s investment adviser pursuant to an investment advisory agreement (the “Investment Advisory Agreement”) with the Company. At a special meeting of the Company’s stockholders (the “Special Meeting”) held on May 27, 2021, the Company’s stockholders approved the Investment Advisory Agreement. The transactions contemplated by the Definitive Agreement closed on July 1, 2021 (the “Closing”). Unless earlier terminated in accordance with its terms, the Investment Advisory Agreement will remain in effect from year to year if approved annually by the Board or by a majority of our outstanding voting securities, including, in either case, by a majority of our directors who are not “interest persons” as such term is defined in Section 2(a)(19) of the 1940 Act (“Independent Directors”). The Board most recently approved the renewal of the Investment Advisory Agreement at a meeting on May 9, 2023.</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As part of the Transaction, the Investment Adviser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 The Fee Waiver expired at the end of the two-year period.</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On the date of the Closing, the Company changed its name from Capitala Finance Corp. to Logan Ridge Finance Corporation and on July 2, 2021, the Company’s common stock began trading on the NASDAQ Global Select Market under the symbol “LRFC.”</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On July 1, 2021, in connection with the Closing, the Company’s then-current interested directors and the Company’s then-current independent directors resigned as members of the Board and Ted Goldthorpe, the Chairman and Chief Executive Officer of the Company, along with Alexander Duka, George Grunebaum, and Robert Warshauer, were appointed as members of the Board (the “Directors”). The Directors were appointed by the Board to fill the vacancies created by the resignations described above and the Directors were appointed to the class of directors as determined by the Board in accordance with the Company’s organizational documents. The Company’s stockholders will have the opportunity to vote for each of the Directors when his class of directors is up for reelection.</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All of the Company’s then-current officers resigned at the Closing and the Board appointed Ted Goldthorpe as the Company’s Chief Executive Officer and President, Jason Roos as the Company’s Chief Financial Officer, Treasurer and Secretary, Patrick Schafer as the Company’s Chief Investment Officer and David Held as the Company’s Chief Compliance Officer. On November 9, 2021, Jason Roos was replaced as Secretary and Treasurer of the Company by Brandon Satoren, who was also appointed as Chief Accounting Officer. Mr. Roos continues to serve as Chief Financial Officer of the Company.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September 30,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Note 2. Summary of Significant Accounting Policies</w:t>
      </w:r>
    </w:p>
    <w:p>
      <w:pPr>
        <w:pStyle w:val="TextBody"/>
        <w:bidi w:val="0"/>
        <w:spacing w:before="0" w:after="120"/>
        <w:jc w:val="left"/>
        <w:rPr>
          <w:rFonts w:ascii="Times New Roman" w:hAnsi="Times New Roman"/>
          <w:b/>
          <w:color w:val="000000"/>
          <w:sz w:val="16"/>
        </w:rPr>
      </w:pPr>
      <w:r>
        <w:rPr>
          <w:rFonts w:ascii="Times New Roman" w:hAnsi="Times New Roman"/>
          <w:b/>
          <w:color w:val="000000"/>
          <w:sz w:val="16"/>
        </w:rPr>
        <w:t>Basis of Presentation</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The Company is considered an investment company as defined in Accounting Standards Codification (“ASC”) Topic 946 — Financial Services — Investment Companies (“ASC 946”). The accompanying unaudited consolidated financial statements have been prepared on the accrual basis of accounting in 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CBL, and the Taxable Subsidiaries.</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The Company’s financial statements as of September 30, 2023 and December 31, 2022 and for the periods ended September 30, 2023 and 2022 are presented on a consolidated basis.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2022, filed with the U.S. Securities and Exchange Commission (“SEC”) on March 9, 2023.</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Use of Estimates in the Preparation of Financial Statements</w:t>
      </w:r>
    </w:p>
    <w:p>
      <w:pPr>
        <w:pStyle w:val="TextBody"/>
        <w:bidi w:val="0"/>
        <w:jc w:val="both"/>
        <w:rPr>
          <w:rFonts w:ascii="Times New Roman" w:hAnsi="Times New Roman"/>
          <w:sz w:val="20"/>
        </w:rPr>
      </w:pPr>
      <w:r>
        <w:rPr>
          <w:rFonts w:ascii="Times New Roman" w:hAnsi="Times New Roman"/>
          <w:b w:val="false"/>
          <w:color w:val="000000"/>
          <w:sz w:val="16"/>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r>
        <w:rPr>
          <w:rFonts w:ascii="Times New Roman" w:hAnsi="Times New Roman"/>
          <w:color w:val="000000"/>
          <w:sz w:val="20"/>
        </w:rPr>
        <w:t xml:space="preserve"> </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Consolidation</w:t>
      </w:r>
    </w:p>
    <w:p>
      <w:pPr>
        <w:pStyle w:val="TextBody"/>
        <w:bidi w:val="0"/>
        <w:jc w:val="both"/>
        <w:rPr>
          <w:rFonts w:ascii="Times New Roman" w:hAnsi="Times New Roman"/>
          <w:sz w:val="20"/>
        </w:rPr>
      </w:pPr>
      <w:r>
        <w:rPr>
          <w:rFonts w:ascii="Times New Roman" w:hAnsi="Times New Roman"/>
          <w:b w:val="false"/>
          <w:color w:val="000000"/>
          <w:sz w:val="16"/>
        </w:rPr>
        <w:t xml:space="preserve">As provided under ASC 946,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 </w:t>
        <w:br/>
      </w:r>
      <w:r>
        <w:rPr>
          <w:rFonts w:ascii="Times New Roman" w:hAnsi="Times New Roman"/>
          <w:color w:val="000000"/>
          <w:sz w:val="20"/>
        </w:rPr>
        <w:t> </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Cash and Cash Equivalents</w:t>
      </w:r>
    </w:p>
    <w:p>
      <w:pPr>
        <w:pStyle w:val="TextBody"/>
        <w:bidi w:val="0"/>
        <w:jc w:val="both"/>
        <w:rPr>
          <w:rFonts w:ascii="Times New Roman" w:hAnsi="Times New Roman"/>
          <w:sz w:val="20"/>
        </w:rPr>
      </w:pPr>
      <w:r>
        <w:rPr>
          <w:rFonts w:ascii="Times New Roman" w:hAnsi="Times New Roman"/>
          <w:b w:val="false"/>
          <w:color w:val="000000"/>
          <w:sz w:val="16"/>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insurance limits.</w:t>
      </w:r>
      <w:r>
        <w:rPr>
          <w:rFonts w:ascii="Times New Roman" w:hAnsi="Times New Roman"/>
          <w:color w:val="000000"/>
          <w:sz w:val="20"/>
        </w:rPr>
        <w:t xml:space="preserve"> </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Investment Classification</w:t>
      </w:r>
    </w:p>
    <w:p>
      <w:pPr>
        <w:pStyle w:val="TextBody"/>
        <w:bidi w:val="0"/>
        <w:jc w:val="both"/>
        <w:rPr>
          <w:rFonts w:ascii="Times New Roman" w:hAnsi="Times New Roman"/>
          <w:sz w:val="20"/>
        </w:rPr>
      </w:pPr>
      <w:r>
        <w:rPr>
          <w:rFonts w:ascii="Times New Roman" w:hAnsi="Times New Roman"/>
          <w:b w:val="false"/>
          <w:color w:val="000000"/>
          <w:sz w:val="16"/>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5% or more of the voting securities of such company.</w:t>
      </w:r>
      <w:r>
        <w:rPr>
          <w:rFonts w:ascii="Times New Roman" w:hAnsi="Times New Roman"/>
          <w:color w:val="000000"/>
          <w:sz w:val="20"/>
        </w:rPr>
        <w:t xml:space="preserve"> </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Valuation of Investments</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Investment transactions are recorded on the trade date. Realized gains or losses on investments are calculated using the specific identification method as the difference between the net proceeds received (excluding prepayment fees, if any) and the amortized cost basis of the investment without regard to unrealized appreciation or depreciation previously recognized, and include investments charged off during the period, net of recoveries. Net change in unrealized appreciation or depreciation reflects the change in portfolio investment values during the reporting period, including any reversal of previously recorded unrealized appreciation or depreciation when gains or losses are recognized.</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Investments for which market quotations are available are typically valued at those market quotations. To validate market quotations, the Company will utilize a number of factors to determine if the quotations are representative of fair value, including the source and number of the quotations.</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Debt that is not publicly traded but for which there are external pricing sources available as of the valuation date is valued using independent broker-dealer, market maker quotations or independent pricing services. The valuation committee, comprised of members of the Investment Adviser, (the “Valuation Committee”) subjects these quotes to various criteria including, but not limited to, the number and quality of quotes, the deviation among the quotes and information derived from analyzing the Company’s own transactions in such investments throughout the reporting period. Generally, such investments are categorized in Level 2 of the fair value hierarchy, unless the Valuation Committee determines that the quality, quantity or deviation among quotes warrants significant adjustment to the inputs utilized.</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The Board has designated the Investment Adviser as its “valuation designee” pursuant to Rule 2a-5 under the 1940 Act, and in that role the Investment Adviser is responsible for performing fair value determinations relating to all of the Company's investments, including periodically assessing and managing any material valuation risks and establishing and applying fair value methodologies, in accordance with valuation policies and procedures that have been approved by the Board. The Board remains ultimately responsible for fair value determinations under the 1940 Act and satisfies its responsibility through oversight of the valuation designee in accordance with Rule 2a-5. Investments that are not publicly traded or whose market prices are not readily available, as is expected to be the case for substantially all of the Company’s investments, are valued at fair value as determined in good faith by the Investment Adviser, based on, among other things, input of independent third-party valuation firm(s).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September 30,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The Investment Adviser undertakes a multi-step valuation process, which includes, among other procedures,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The Company’s quarterly valuation process begins with each portfolio company or investment being initially valued using certain inputs, among others, provided by the investment professionals responsible for the portfolio investment in conjunction with the Company’s portfolio management team. The Company utilizes an independent valuation firm to provide valuation on each material illiquid security at least once every trailing 12-month period;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 xml:space="preserve">Preliminary valuations are reviewed and discussed with management of the Investment Adviser and investment professionals;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the Investment Adviser will review the valuations and determine the fair value of each investment. Valuations that are not based on readily available market quotations will be valued in good faith based on, among other things, the input of, where applicable, third parties.</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As part of the valuation process, the Investment Adviser may consider other information and may use valuation methods including but not limited to (i) market quotes for similar investments, (ii) recent trading activity, (iii) discounting forecasted cash flows of the investment, (iv) models that consider the implied yields from comparable debt, (v) third-party appraisal, (vi) sale negotiations and purchase offers received from independent parties and (vii) estimated value of underlying assets to be received in liquidation or restructuring.</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In addition, changes in the market environment and other events that may occur over the life of the investments may cause the gains or losses ultimately realized on these investments to be different than the unrealized gains or losses reflected herein.</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Under existing accounting guidance, fair value is defined as the price that the Company would receive upon selling an investment or pay to transfer a liability in an orderly transaction to a market participant in the principal or most advantageous market for the investment. This accounting guidance emphasizes valuation techniques that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the Company. Unobservable inputs are inputs that reflect the assumptions market participants would use in pricing an asset or liability developed based on the best information available in the circumstances.</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The Company classifies the inputs used to measure these fair values into the following hierarchy as defined by current accounting guidance:</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Level 1: Unadjusted quoted prices in active markets for identical assets or liabilities that are accessible to the Company.</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Level 2: Quoted prices for similar assets or liabilities in active markets, or quoted prices for identical or similar assets or liabilities in markets that are not active, or other observable inputs other than quoted prices.</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Level 3: Significant inputs that are unobservable for an asset or liability.</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A financial instrument’s categorization within the valuation hierarchy is based upon the lowest level of input that is significant to the fair value measurement. Investments for which no external pricing sources are available as of the valuation date are included in Level 3 of the fair value hierarchy.</w:t>
      </w:r>
    </w:p>
    <w:p>
      <w:pPr>
        <w:pStyle w:val="TextBody"/>
        <w:bidi w:val="0"/>
        <w:spacing w:before="120" w:after="120"/>
        <w:jc w:val="both"/>
        <w:rPr>
          <w:rFonts w:ascii="Times New Roman" w:hAnsi="Times New Roman"/>
          <w:sz w:val="20"/>
        </w:rPr>
      </w:pPr>
      <w:r>
        <w:rPr>
          <w:rFonts w:ascii="Times New Roman" w:hAnsi="Times New Roman"/>
          <w:b w:val="false"/>
          <w:color w:val="000000"/>
          <w:sz w:val="16"/>
        </w:rPr>
        <w:t>As a practical expedient, the Company uses net asset value (“NAV”) as the fair value for its equity investment in Great Lakes Funding II LLC (“Great Lakes II Joint Venture”). The Great Lakes II Joint Venture records its underlying investments at fair value on a quarterly basis in accordance with the 1940 Act and U.S. GAAP.</w:t>
        <w:br/>
      </w:r>
      <w:r>
        <w:rPr>
          <w:rFonts w:ascii="Times New Roman" w:hAnsi="Times New Roman"/>
          <w:color w:val="000000"/>
          <w:sz w:val="20"/>
        </w:rPr>
        <w:t> </w:t>
      </w:r>
    </w:p>
    <w:p>
      <w:pPr>
        <w:pStyle w:val="TextBody"/>
        <w:bidi w:val="0"/>
        <w:spacing w:before="120" w:after="120"/>
        <w:jc w:val="both"/>
        <w:rPr>
          <w:rFonts w:ascii="Times New Roman" w:hAnsi="Times New Roman"/>
          <w:b w:val="false"/>
          <w:i/>
          <w:color w:val="000000"/>
          <w:sz w:val="16"/>
        </w:rPr>
      </w:pPr>
      <w:r>
        <w:rPr>
          <w:rFonts w:ascii="Times New Roman" w:hAnsi="Times New Roman"/>
          <w:b w:val="false"/>
          <w:i/>
          <w:color w:val="000000"/>
          <w:sz w:val="16"/>
        </w:rPr>
        <w:t>Enterprise Value Waterfall Approach</w:t>
      </w:r>
    </w:p>
    <w:p>
      <w:pPr>
        <w:pStyle w:val="TextBody"/>
        <w:bidi w:val="0"/>
        <w:jc w:val="both"/>
        <w:rPr>
          <w:rFonts w:ascii="Times New Roman" w:hAnsi="Times New Roman"/>
          <w:sz w:val="20"/>
        </w:rPr>
      </w:pPr>
      <w:r>
        <w:rPr>
          <w:rFonts w:ascii="Times New Roman" w:hAnsi="Times New Roman"/>
          <w:b w:val="false"/>
          <w:color w:val="000000"/>
          <w:sz w:val="16"/>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i/>
          <w:color w:val="000000"/>
          <w:sz w:val="16"/>
        </w:rPr>
        <w:t>Income Approach</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val="false"/>
          <w:color w:val="000000"/>
          <w:sz w:val="16"/>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ratios,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i/>
          <w:color w:val="000000"/>
          <w:sz w:val="16"/>
        </w:rPr>
      </w:pPr>
      <w:r>
        <w:rPr>
          <w:rFonts w:ascii="Times New Roman" w:hAnsi="Times New Roman"/>
          <w:b w:val="false"/>
          <w:i/>
          <w:color w:val="000000"/>
          <w:sz w:val="16"/>
        </w:rPr>
        <w:t>Asset Approach</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The asset approach values an investment based on the value of the underlying collateral securing the investment.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September 30,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Revenue Recognition</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The Company’s revenue recognition policies are as follows:</w:t>
      </w:r>
    </w:p>
    <w:p>
      <w:pPr>
        <w:pStyle w:val="TextBody"/>
        <w:bidi w:val="0"/>
        <w:spacing w:before="120" w:after="283"/>
        <w:jc w:val="both"/>
        <w:rPr>
          <w:rFonts w:ascii="Times New Roman" w:hAnsi="Times New Roman"/>
          <w:sz w:val="20"/>
        </w:rPr>
      </w:pPr>
      <w:r>
        <w:rPr>
          <w:rFonts w:ascii="Times New Roman" w:hAnsi="Times New Roman"/>
          <w:b w:val="false"/>
          <w:i/>
          <w:color w:val="000000"/>
          <w:sz w:val="16"/>
        </w:rPr>
        <w:t xml:space="preserve">Interest income and payment-in-kind (“PIK”) interest income: </w:t>
      </w:r>
      <w:r>
        <w:rPr>
          <w:rFonts w:ascii="Times New Roman" w:hAnsi="Times New Roman"/>
          <w:b w:val="false"/>
          <w:color w:val="000000"/>
          <w:sz w:val="16"/>
        </w:rPr>
        <w:t>Interest income is recorded on the accrual basis to the extent that such amounts are expected to be collected. The Company has loans in the portfolio that contain a PIK interest provision. PIK interest, which represents contractually deferred interest added to the loan balance that is generally due at maturity, is recorded on an accrual basis to the extent that such amounts are expected to be collected. PIK interest is not accrued if the Company does not expect the issuer to be able to pay all principal and interest when due.</w:t>
      </w:r>
    </w:p>
    <w:p>
      <w:pPr>
        <w:pStyle w:val="TextBody"/>
        <w:bidi w:val="0"/>
        <w:spacing w:before="120" w:after="283"/>
        <w:jc w:val="both"/>
        <w:rPr>
          <w:rFonts w:ascii="Times New Roman" w:hAnsi="Times New Roman"/>
          <w:sz w:val="20"/>
        </w:rPr>
      </w:pPr>
      <w:r>
        <w:rPr>
          <w:rFonts w:ascii="Times New Roman" w:hAnsi="Times New Roman"/>
          <w:b w:val="false"/>
          <w:i/>
          <w:color w:val="000000"/>
          <w:sz w:val="16"/>
        </w:rPr>
        <w:t xml:space="preserve">Non-accrual investments: </w:t>
      </w:r>
      <w:r>
        <w:rPr>
          <w:rFonts w:ascii="Times New Roman" w:hAnsi="Times New Roman"/>
          <w:b w:val="false"/>
          <w:color w:val="000000"/>
          <w:sz w:val="16"/>
        </w:rPr>
        <w:t>Management reviews all loans that become 90 days or more past due, or when there is reasonable doubt that principal or 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Non-accrual loans are returned to accrual status when the borrower’s financial condition improves such that management believes current interest and principal payments are expected to be collected. As of September 30, 2023, we had debt investments in two</w:t>
      </w:r>
      <w:r>
        <w:rPr>
          <w:rFonts w:ascii="Times New Roman" w:hAnsi="Times New Roman"/>
          <w:color w:val="000000"/>
          <w:sz w:val="20"/>
        </w:rPr>
        <w:t xml:space="preserve"> </w:t>
      </w:r>
      <w:r>
        <w:rPr>
          <w:rFonts w:ascii="Times New Roman" w:hAnsi="Times New Roman"/>
          <w:b w:val="false"/>
          <w:color w:val="000000"/>
          <w:sz w:val="16"/>
        </w:rPr>
        <w:t>portfolio companies on non-accrual status with an aggregate amortized cost of $16.8</w:t>
      </w:r>
      <w:r>
        <w:rPr>
          <w:rFonts w:ascii="Times New Roman" w:hAnsi="Times New Roman"/>
          <w:color w:val="000000"/>
          <w:sz w:val="20"/>
        </w:rPr>
        <w:t xml:space="preserve"> </w:t>
      </w:r>
      <w:r>
        <w:rPr>
          <w:rFonts w:ascii="Times New Roman" w:hAnsi="Times New Roman"/>
          <w:b w:val="false"/>
          <w:color w:val="000000"/>
          <w:sz w:val="16"/>
        </w:rPr>
        <w:t>million</w:t>
      </w:r>
      <w:r>
        <w:rPr>
          <w:rFonts w:ascii="Times New Roman" w:hAnsi="Times New Roman"/>
          <w:color w:val="000000"/>
          <w:sz w:val="20"/>
        </w:rPr>
        <w:t xml:space="preserve"> </w:t>
      </w:r>
      <w:r>
        <w:rPr>
          <w:rFonts w:ascii="Times New Roman" w:hAnsi="Times New Roman"/>
          <w:b w:val="false"/>
          <w:color w:val="000000"/>
          <w:sz w:val="16"/>
        </w:rPr>
        <w:t>and an aggregate fair value of $10.6</w:t>
      </w:r>
      <w:r>
        <w:rPr>
          <w:rFonts w:ascii="Times New Roman" w:hAnsi="Times New Roman"/>
          <w:color w:val="000000"/>
          <w:sz w:val="20"/>
        </w:rPr>
        <w:t xml:space="preserve"> </w:t>
      </w:r>
      <w:r>
        <w:rPr>
          <w:rFonts w:ascii="Times New Roman" w:hAnsi="Times New Roman"/>
          <w:b w:val="false"/>
          <w:color w:val="000000"/>
          <w:sz w:val="16"/>
        </w:rPr>
        <w:t>million, which represented 8.3%</w:t>
      </w:r>
      <w:r>
        <w:rPr>
          <w:rFonts w:ascii="Times New Roman" w:hAnsi="Times New Roman"/>
          <w:color w:val="000000"/>
          <w:sz w:val="20"/>
        </w:rPr>
        <w:t xml:space="preserve"> </w:t>
      </w:r>
      <w:r>
        <w:rPr>
          <w:rFonts w:ascii="Times New Roman" w:hAnsi="Times New Roman"/>
          <w:b w:val="false"/>
          <w:color w:val="000000"/>
          <w:sz w:val="16"/>
        </w:rPr>
        <w:t>and 5.7%</w:t>
      </w:r>
      <w:r>
        <w:rPr>
          <w:rFonts w:ascii="Times New Roman" w:hAnsi="Times New Roman"/>
          <w:color w:val="000000"/>
          <w:sz w:val="20"/>
        </w:rPr>
        <w:t xml:space="preserve"> </w:t>
      </w:r>
      <w:r>
        <w:rPr>
          <w:rFonts w:ascii="Times New Roman" w:hAnsi="Times New Roman"/>
          <w:b w:val="false"/>
          <w:color w:val="000000"/>
          <w:sz w:val="16"/>
        </w:rPr>
        <w:t>of the investment portfolio, respectively. As of December 31, 2022, we had a debt investment in one</w:t>
      </w:r>
      <w:r>
        <w:rPr>
          <w:rFonts w:ascii="Times New Roman" w:hAnsi="Times New Roman"/>
          <w:color w:val="000000"/>
          <w:sz w:val="20"/>
        </w:rPr>
        <w:t xml:space="preserve"> </w:t>
      </w:r>
      <w:r>
        <w:rPr>
          <w:rFonts w:ascii="Times New Roman" w:hAnsi="Times New Roman"/>
          <w:b w:val="false"/>
          <w:color w:val="000000"/>
          <w:sz w:val="16"/>
        </w:rPr>
        <w:t>portfolio company on non-accrual status with aggregate amortized cost of $11.9</w:t>
      </w:r>
      <w:r>
        <w:rPr>
          <w:rFonts w:ascii="Times New Roman" w:hAnsi="Times New Roman"/>
          <w:color w:val="000000"/>
          <w:sz w:val="20"/>
        </w:rPr>
        <w:t xml:space="preserve"> </w:t>
      </w:r>
      <w:r>
        <w:rPr>
          <w:rFonts w:ascii="Times New Roman" w:hAnsi="Times New Roman"/>
          <w:b w:val="false"/>
          <w:color w:val="000000"/>
          <w:sz w:val="16"/>
        </w:rPr>
        <w:t>million and an aggregate fair value of $9.7</w:t>
      </w:r>
      <w:r>
        <w:rPr>
          <w:rFonts w:ascii="Times New Roman" w:hAnsi="Times New Roman"/>
          <w:color w:val="000000"/>
          <w:sz w:val="20"/>
        </w:rPr>
        <w:t xml:space="preserve"> </w:t>
      </w:r>
      <w:r>
        <w:rPr>
          <w:rFonts w:ascii="Times New Roman" w:hAnsi="Times New Roman"/>
          <w:b w:val="false"/>
          <w:color w:val="000000"/>
          <w:sz w:val="16"/>
        </w:rPr>
        <w:t>million, which represented 5.4% and 4.8% of the investment portfolio, respectively.</w:t>
      </w:r>
    </w:p>
    <w:p>
      <w:pPr>
        <w:pStyle w:val="TextBody"/>
        <w:bidi w:val="0"/>
        <w:spacing w:before="120" w:after="283"/>
        <w:jc w:val="both"/>
        <w:rPr>
          <w:rFonts w:ascii="Times New Roman" w:hAnsi="Times New Roman"/>
          <w:sz w:val="20"/>
        </w:rPr>
      </w:pPr>
      <w:r>
        <w:rPr>
          <w:rFonts w:ascii="Times New Roman" w:hAnsi="Times New Roman"/>
          <w:b w:val="false"/>
          <w:i/>
          <w:color w:val="000000"/>
          <w:sz w:val="16"/>
        </w:rPr>
        <w:t xml:space="preserve">Gains and losses on investment sales: </w:t>
      </w:r>
      <w:r>
        <w:rPr>
          <w:rFonts w:ascii="Times New Roman" w:hAnsi="Times New Roman"/>
          <w:b w:val="false"/>
          <w:color w:val="000000"/>
          <w:sz w:val="16"/>
        </w:rPr>
        <w:t>Realized gains and losses on investments are recognized using the specific identification method.</w:t>
      </w:r>
    </w:p>
    <w:p>
      <w:pPr>
        <w:pStyle w:val="TextBody"/>
        <w:bidi w:val="0"/>
        <w:spacing w:before="120" w:after="283"/>
        <w:jc w:val="both"/>
        <w:rPr>
          <w:rFonts w:ascii="Times New Roman" w:hAnsi="Times New Roman"/>
          <w:sz w:val="20"/>
        </w:rPr>
      </w:pPr>
      <w:r>
        <w:rPr>
          <w:rFonts w:ascii="Times New Roman" w:hAnsi="Times New Roman"/>
          <w:b w:val="false"/>
          <w:i/>
          <w:color w:val="000000"/>
          <w:sz w:val="16"/>
        </w:rPr>
        <w:t xml:space="preserve">Dividend income and payment-in-kind dividends: </w:t>
      </w:r>
      <w:r>
        <w:rPr>
          <w:rFonts w:ascii="Times New Roman" w:hAnsi="Times New Roman"/>
          <w:b w:val="false"/>
          <w:color w:val="000000"/>
          <w:sz w:val="16"/>
        </w:rPr>
        <w:t>Dividend income is recognized on the date dividends are declared. The Company holds preferred equity investments in the portfolio 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PIK dividends are more likely than not to be collected, management may elect to continue accruing PIK dividends.</w:t>
      </w:r>
    </w:p>
    <w:p>
      <w:pPr>
        <w:pStyle w:val="TextBody"/>
        <w:bidi w:val="0"/>
        <w:spacing w:before="120" w:after="283"/>
        <w:jc w:val="both"/>
        <w:rPr>
          <w:rFonts w:ascii="Times New Roman" w:hAnsi="Times New Roman"/>
          <w:sz w:val="20"/>
        </w:rPr>
      </w:pPr>
      <w:r>
        <w:rPr>
          <w:rFonts w:ascii="Times New Roman" w:hAnsi="Times New Roman"/>
          <w:b w:val="false"/>
          <w:i/>
          <w:color w:val="000000"/>
          <w:sz w:val="16"/>
        </w:rPr>
        <w:t xml:space="preserve">Original issue discount: </w:t>
      </w:r>
      <w:r>
        <w:rPr>
          <w:rFonts w:ascii="Times New Roman" w:hAnsi="Times New Roman"/>
          <w:b w:val="false"/>
          <w:color w:val="000000"/>
          <w:sz w:val="16"/>
        </w:rPr>
        <w:t>Discounts received to par on loans purchased are capitalized and accreted into income over the life of the loan. Any remaining discount is accreted into income upon prepayment of the loan.</w:t>
      </w:r>
    </w:p>
    <w:p>
      <w:pPr>
        <w:pStyle w:val="TextBody"/>
        <w:bidi w:val="0"/>
        <w:spacing w:before="120" w:after="283"/>
        <w:jc w:val="both"/>
        <w:rPr>
          <w:rFonts w:ascii="Times New Roman" w:hAnsi="Times New Roman"/>
          <w:sz w:val="20"/>
        </w:rPr>
      </w:pPr>
      <w:r>
        <w:rPr>
          <w:rFonts w:ascii="Times New Roman" w:hAnsi="Times New Roman"/>
          <w:b w:val="false"/>
          <w:i/>
          <w:color w:val="000000"/>
          <w:sz w:val="16"/>
        </w:rPr>
        <w:t xml:space="preserve">Other income: </w:t>
      </w:r>
      <w:r>
        <w:rPr>
          <w:rFonts w:ascii="Times New Roman" w:hAnsi="Times New Roman"/>
          <w:b w:val="false"/>
          <w:color w:val="000000"/>
          <w:sz w:val="16"/>
        </w:rPr>
        <w:t>Origination fees (to the extent services are performed to earn such income), amendment fees, consent fees, and other fees associated with investments in portfolio companies are recognized as income when they are earned. Prepayment penalties received by the Company for debt instruments repaid prior to maturity date are recorded as income upon receipt.</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General and Administrative Expenses</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General and administrative expenses are accrued as incurred. The Company’s administrative expenses include personnel and overhead expenses allocable to the Company paid by and reimbursed to the Administrator under an administration agreement between the Company and the Administrator (the “Administration Agreement”). Other operating expenses such as legal and audit fees and director and officer insurance are generally paid directly by the Company.</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Deferred Financing Fees</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Costs incurred to issue the Company’s debt obligations are capitalized and are amortized over the term of the debt agreements under the effective interest method. Deferred financing fees are presented as a direct deduction from the carrying amount of the corresponding debt liability in the consolidated statements of assets and liabilities.</w:t>
      </w:r>
    </w:p>
    <w:p>
      <w:pPr>
        <w:pStyle w:val="TextBody"/>
        <w:bidi w:val="0"/>
        <w:spacing w:before="120" w:after="120"/>
        <w:jc w:val="both"/>
        <w:rPr>
          <w:rFonts w:ascii="Times New Roman" w:hAnsi="Times New Roman"/>
          <w:sz w:val="20"/>
        </w:rPr>
      </w:pPr>
      <w:r>
        <w:rPr>
          <w:rFonts w:ascii="Times New Roman" w:hAnsi="Times New Roman"/>
          <w:b/>
          <w:color w:val="000000"/>
          <w:sz w:val="16"/>
        </w:rPr>
        <w:t>Earnings Per Share</w:t>
      </w:r>
      <w:r>
        <w:rPr>
          <w:rFonts w:ascii="Times New Roman" w:hAnsi="Times New Roman"/>
          <w:color w:val="000000"/>
          <w:sz w:val="20"/>
        </w:rPr>
        <w:t xml:space="preserve"> </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The Company’s earnings per share (“EPS”) amounts have been computed based on the weighted-average number of shares of the Company’s common stock outstanding for the period. Basic EPS is computed by dividing net increase (decrease) in net assets resulting from operations by the weighted average number of shares of the Company’s common stock outstanding during the period of computation. Diluted EPS is computed by dividing net increase (decrease) in net assets resulting from operations, adjusted for the change in net assets resulting from the exercise of the dilutive shares, by the weighted average number of shares of the Company’s common stock assuming all potentially dilutive shares had been issued. Diluted EPS reflects the potential dilution, using the as-if-converted method for convertible debt, which could occur if all potentially dilutive securities were exercised.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September 30,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Commitments and Contingencies</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As of September 30, 2023 and December 31, 2022, the Company had the following unfunded commitments to existing portfolio companies (dollars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154"/>
        <w:gridCol w:w="2665"/>
        <w:gridCol w:w="361"/>
        <w:gridCol w:w="1111"/>
        <w:gridCol w:w="146"/>
        <w:gridCol w:w="146"/>
        <w:gridCol w:w="350"/>
        <w:gridCol w:w="1077"/>
        <w:gridCol w:w="195"/>
      </w:tblGrid>
      <w:tr>
        <w:trPr/>
        <w:tc>
          <w:tcPr>
            <w:tcW w:w="4154"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2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w:t>
            </w:r>
          </w:p>
        </w:tc>
        <w:tc>
          <w:tcPr>
            <w:tcW w:w="14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4"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Accordion Partners LLC</w:t>
            </w:r>
            <w:r>
              <w:rPr>
                <w:rFonts w:ascii="Times New Roman" w:hAnsi="Times New Roman"/>
                <w:b w:val="false"/>
                <w:color w:val="000000"/>
                <w:sz w:val="11"/>
              </w:rPr>
              <w:t>(1)</w:t>
            </w:r>
          </w:p>
        </w:tc>
        <w:tc>
          <w:tcPr>
            <w:tcW w:w="2665"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7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897</w:t>
            </w:r>
          </w:p>
        </w:tc>
        <w:tc>
          <w:tcPr>
            <w:tcW w:w="195" w:type="dxa"/>
            <w:tcBorders/>
            <w:shd w:fill="CFF0FC" w:val="clear"/>
            <w:vAlign w:val="center"/>
          </w:tcPr>
          <w:p>
            <w:pPr>
              <w:pStyle w:val="TableContents"/>
              <w:bidi w:val="0"/>
              <w:spacing w:before="0" w:after="283"/>
              <w:jc w:val="left"/>
              <w:rPr/>
            </w:pPr>
            <w:r>
              <w:rPr/>
              <w:t> </w:t>
            </w:r>
          </w:p>
        </w:tc>
      </w:tr>
      <w:tr>
        <w:trPr/>
        <w:tc>
          <w:tcPr>
            <w:tcW w:w="415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Accordion Partners LLC (Revolver)</w:t>
            </w:r>
          </w:p>
        </w:tc>
        <w:tc>
          <w:tcPr>
            <w:tcW w:w="2665"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1,531</w:t>
            </w:r>
          </w:p>
        </w:tc>
        <w:tc>
          <w:tcPr>
            <w:tcW w:w="195" w:type="dxa"/>
            <w:tcBorders/>
            <w:shd w:fill="FFFFFF" w:val="clear"/>
            <w:vAlign w:val="center"/>
          </w:tcPr>
          <w:p>
            <w:pPr>
              <w:pStyle w:val="TableContents"/>
              <w:bidi w:val="0"/>
              <w:spacing w:before="0" w:after="283"/>
              <w:jc w:val="left"/>
              <w:rPr/>
            </w:pPr>
            <w:r>
              <w:rPr/>
              <w:t> </w:t>
            </w:r>
          </w:p>
        </w:tc>
      </w:tr>
      <w:tr>
        <w:trPr/>
        <w:tc>
          <w:tcPr>
            <w:tcW w:w="415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American Clinical Solutions, LLC</w:t>
            </w:r>
          </w:p>
        </w:tc>
        <w:tc>
          <w:tcPr>
            <w:tcW w:w="2665"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color w:val="000000"/>
              </w:rPr>
            </w:pPr>
            <w:r>
              <w:rPr>
                <w:color w:val="000000"/>
              </w:rPr>
              <w:t>—</w:t>
            </w:r>
          </w:p>
        </w:tc>
        <w:tc>
          <w:tcPr>
            <w:tcW w:w="195" w:type="dxa"/>
            <w:tcBorders/>
            <w:shd w:fill="CFF0FC" w:val="clear"/>
            <w:vAlign w:val="center"/>
          </w:tcPr>
          <w:p>
            <w:pPr>
              <w:pStyle w:val="TableContents"/>
              <w:bidi w:val="0"/>
              <w:spacing w:before="0" w:after="283"/>
              <w:jc w:val="left"/>
              <w:rPr/>
            </w:pPr>
            <w:r>
              <w:rPr/>
              <w:t> </w:t>
            </w:r>
          </w:p>
        </w:tc>
      </w:tr>
      <w:tr>
        <w:trPr/>
        <w:tc>
          <w:tcPr>
            <w:tcW w:w="415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BetaNXT, Inc. (Revolver)</w:t>
            </w:r>
          </w:p>
        </w:tc>
        <w:tc>
          <w:tcPr>
            <w:tcW w:w="2665"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453</w:t>
            </w:r>
          </w:p>
        </w:tc>
        <w:tc>
          <w:tcPr>
            <w:tcW w:w="195" w:type="dxa"/>
            <w:tcBorders/>
            <w:shd w:fill="FFFFFF" w:val="clear"/>
            <w:vAlign w:val="center"/>
          </w:tcPr>
          <w:p>
            <w:pPr>
              <w:pStyle w:val="TableContents"/>
              <w:bidi w:val="0"/>
              <w:spacing w:before="0" w:after="283"/>
              <w:jc w:val="left"/>
              <w:rPr/>
            </w:pPr>
            <w:r>
              <w:rPr/>
              <w:t> </w:t>
            </w:r>
          </w:p>
        </w:tc>
      </w:tr>
      <w:tr>
        <w:trPr/>
        <w:tc>
          <w:tcPr>
            <w:tcW w:w="415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Bradshaw International, Inc. (Revolver)</w:t>
            </w:r>
          </w:p>
        </w:tc>
        <w:tc>
          <w:tcPr>
            <w:tcW w:w="2665"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922</w:t>
            </w:r>
          </w:p>
        </w:tc>
        <w:tc>
          <w:tcPr>
            <w:tcW w:w="195" w:type="dxa"/>
            <w:tcBorders/>
            <w:shd w:fill="CFF0FC" w:val="clear"/>
            <w:vAlign w:val="center"/>
          </w:tcPr>
          <w:p>
            <w:pPr>
              <w:pStyle w:val="TableContents"/>
              <w:bidi w:val="0"/>
              <w:spacing w:before="0" w:after="283"/>
              <w:jc w:val="left"/>
              <w:rPr/>
            </w:pPr>
            <w:r>
              <w:rPr/>
              <w:t> </w:t>
            </w:r>
          </w:p>
        </w:tc>
      </w:tr>
      <w:tr>
        <w:trPr/>
        <w:tc>
          <w:tcPr>
            <w:tcW w:w="4154"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Critical Nurse Staffing, LLC</w:t>
            </w:r>
            <w:r>
              <w:rPr>
                <w:rFonts w:ascii="Times New Roman" w:hAnsi="Times New Roman"/>
                <w:b w:val="false"/>
                <w:color w:val="000000"/>
                <w:sz w:val="11"/>
              </w:rPr>
              <w:t>(1)</w:t>
            </w:r>
          </w:p>
        </w:tc>
        <w:tc>
          <w:tcPr>
            <w:tcW w:w="2665"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2,063</w:t>
            </w:r>
          </w:p>
        </w:tc>
        <w:tc>
          <w:tcPr>
            <w:tcW w:w="195" w:type="dxa"/>
            <w:tcBorders/>
            <w:shd w:fill="FFFFFF" w:val="clear"/>
            <w:vAlign w:val="center"/>
          </w:tcPr>
          <w:p>
            <w:pPr>
              <w:pStyle w:val="TableContents"/>
              <w:bidi w:val="0"/>
              <w:spacing w:before="0" w:after="283"/>
              <w:jc w:val="left"/>
              <w:rPr/>
            </w:pPr>
            <w:r>
              <w:rPr/>
              <w:t> </w:t>
            </w:r>
          </w:p>
        </w:tc>
      </w:tr>
      <w:tr>
        <w:trPr/>
        <w:tc>
          <w:tcPr>
            <w:tcW w:w="415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Critical Nurse Staffing, LLC (Revolver)</w:t>
            </w:r>
          </w:p>
        </w:tc>
        <w:tc>
          <w:tcPr>
            <w:tcW w:w="2665"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700</w:t>
            </w:r>
          </w:p>
        </w:tc>
        <w:tc>
          <w:tcPr>
            <w:tcW w:w="195" w:type="dxa"/>
            <w:tcBorders/>
            <w:shd w:fill="CFF0FC" w:val="clear"/>
            <w:vAlign w:val="center"/>
          </w:tcPr>
          <w:p>
            <w:pPr>
              <w:pStyle w:val="TableContents"/>
              <w:bidi w:val="0"/>
              <w:spacing w:before="0" w:after="283"/>
              <w:jc w:val="left"/>
              <w:rPr/>
            </w:pPr>
            <w:r>
              <w:rPr/>
              <w:t> </w:t>
            </w:r>
          </w:p>
        </w:tc>
      </w:tr>
      <w:tr>
        <w:trPr/>
        <w:tc>
          <w:tcPr>
            <w:tcW w:w="4154"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Dentive, LLC</w:t>
            </w:r>
            <w:r>
              <w:rPr>
                <w:rFonts w:ascii="Times New Roman" w:hAnsi="Times New Roman"/>
                <w:b w:val="false"/>
                <w:color w:val="000000"/>
                <w:sz w:val="11"/>
              </w:rPr>
              <w:t>(1)</w:t>
            </w:r>
          </w:p>
        </w:tc>
        <w:tc>
          <w:tcPr>
            <w:tcW w:w="2665"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598</w:t>
            </w:r>
          </w:p>
        </w:tc>
        <w:tc>
          <w:tcPr>
            <w:tcW w:w="195" w:type="dxa"/>
            <w:tcBorders/>
            <w:shd w:fill="FFFFFF" w:val="clear"/>
            <w:vAlign w:val="center"/>
          </w:tcPr>
          <w:p>
            <w:pPr>
              <w:pStyle w:val="TableContents"/>
              <w:bidi w:val="0"/>
              <w:spacing w:before="0" w:after="283"/>
              <w:jc w:val="left"/>
              <w:rPr/>
            </w:pPr>
            <w:r>
              <w:rPr/>
              <w:t> </w:t>
            </w:r>
          </w:p>
        </w:tc>
      </w:tr>
      <w:tr>
        <w:trPr/>
        <w:tc>
          <w:tcPr>
            <w:tcW w:w="415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Dentive, LLC (Revolver)</w:t>
            </w:r>
          </w:p>
        </w:tc>
        <w:tc>
          <w:tcPr>
            <w:tcW w:w="2665"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187</w:t>
            </w:r>
          </w:p>
        </w:tc>
        <w:tc>
          <w:tcPr>
            <w:tcW w:w="195" w:type="dxa"/>
            <w:tcBorders/>
            <w:shd w:fill="CFF0FC" w:val="clear"/>
            <w:vAlign w:val="center"/>
          </w:tcPr>
          <w:p>
            <w:pPr>
              <w:pStyle w:val="TableContents"/>
              <w:bidi w:val="0"/>
              <w:spacing w:before="0" w:after="283"/>
              <w:jc w:val="left"/>
              <w:rPr/>
            </w:pPr>
            <w:r>
              <w:rPr/>
              <w:t> </w:t>
            </w:r>
          </w:p>
        </w:tc>
      </w:tr>
      <w:tr>
        <w:trPr/>
        <w:tc>
          <w:tcPr>
            <w:tcW w:w="4154"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Epic Staffing Group</w:t>
            </w:r>
            <w:r>
              <w:rPr>
                <w:rFonts w:ascii="Times New Roman" w:hAnsi="Times New Roman"/>
                <w:b w:val="false"/>
                <w:color w:val="000000"/>
                <w:sz w:val="11"/>
              </w:rPr>
              <w:t>(1)</w:t>
            </w:r>
          </w:p>
        </w:tc>
        <w:tc>
          <w:tcPr>
            <w:tcW w:w="2665"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872</w:t>
            </w:r>
          </w:p>
        </w:tc>
        <w:tc>
          <w:tcPr>
            <w:tcW w:w="195" w:type="dxa"/>
            <w:tcBorders/>
            <w:shd w:fill="FFFFFF" w:val="clear"/>
            <w:vAlign w:val="center"/>
          </w:tcPr>
          <w:p>
            <w:pPr>
              <w:pStyle w:val="TableContents"/>
              <w:bidi w:val="0"/>
              <w:spacing w:before="0" w:after="283"/>
              <w:jc w:val="left"/>
              <w:rPr/>
            </w:pPr>
            <w:r>
              <w:rPr/>
              <w:t> </w:t>
            </w:r>
          </w:p>
        </w:tc>
      </w:tr>
      <w:tr>
        <w:trPr/>
        <w:tc>
          <w:tcPr>
            <w:tcW w:w="415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Great Lakes Funding II LLC - Series A</w:t>
            </w:r>
          </w:p>
        </w:tc>
        <w:tc>
          <w:tcPr>
            <w:tcW w:w="2665"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Joint Venture</w:t>
            </w:r>
          </w:p>
        </w:tc>
        <w:tc>
          <w:tcPr>
            <w:tcW w:w="361"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w:t>
            </w:r>
          </w:p>
        </w:tc>
        <w:tc>
          <w:tcPr>
            <w:tcW w:w="195" w:type="dxa"/>
            <w:tcBorders/>
            <w:shd w:fill="CFF0FC" w:val="clear"/>
            <w:vAlign w:val="center"/>
          </w:tcPr>
          <w:p>
            <w:pPr>
              <w:pStyle w:val="TableContents"/>
              <w:bidi w:val="0"/>
              <w:spacing w:before="0" w:after="283"/>
              <w:jc w:val="left"/>
              <w:rPr/>
            </w:pPr>
            <w:r>
              <w:rPr/>
              <w:t> </w:t>
            </w:r>
          </w:p>
        </w:tc>
      </w:tr>
      <w:tr>
        <w:trPr/>
        <w:tc>
          <w:tcPr>
            <w:tcW w:w="415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GreenPark Infrastructure, LLC - Series M-1</w:t>
            </w:r>
          </w:p>
        </w:tc>
        <w:tc>
          <w:tcPr>
            <w:tcW w:w="2665"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Common Stock and Membership Units</w:t>
            </w:r>
          </w:p>
        </w:tc>
        <w:tc>
          <w:tcPr>
            <w:tcW w:w="36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732</w:t>
            </w:r>
          </w:p>
        </w:tc>
        <w:tc>
          <w:tcPr>
            <w:tcW w:w="195" w:type="dxa"/>
            <w:tcBorders/>
            <w:shd w:fill="FFFFFF" w:val="clear"/>
            <w:vAlign w:val="center"/>
          </w:tcPr>
          <w:p>
            <w:pPr>
              <w:pStyle w:val="TableContents"/>
              <w:bidi w:val="0"/>
              <w:spacing w:before="0" w:after="283"/>
              <w:jc w:val="left"/>
              <w:rPr/>
            </w:pPr>
            <w:r>
              <w:rPr/>
              <w:t> </w:t>
            </w:r>
          </w:p>
        </w:tc>
      </w:tr>
      <w:tr>
        <w:trPr/>
        <w:tc>
          <w:tcPr>
            <w:tcW w:w="4154"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IDC Infusion Services, LLC</w:t>
            </w:r>
            <w:r>
              <w:rPr>
                <w:rFonts w:ascii="Times New Roman" w:hAnsi="Times New Roman"/>
                <w:b w:val="false"/>
                <w:color w:val="000000"/>
                <w:sz w:val="11"/>
              </w:rPr>
              <w:t>(1)</w:t>
            </w:r>
          </w:p>
        </w:tc>
        <w:tc>
          <w:tcPr>
            <w:tcW w:w="2665"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27" w:type="dxa"/>
            <w:gridSpan w:val="2"/>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195" w:type="dxa"/>
            <w:tcBorders/>
            <w:shd w:fill="CFF0FC" w:val="clear"/>
            <w:vAlign w:val="center"/>
          </w:tcPr>
          <w:p>
            <w:pPr>
              <w:pStyle w:val="TableContents"/>
              <w:bidi w:val="0"/>
              <w:spacing w:before="0" w:after="283"/>
              <w:jc w:val="right"/>
              <w:rPr/>
            </w:pPr>
            <w:r>
              <w:rPr/>
              <w:t> </w:t>
            </w:r>
          </w:p>
        </w:tc>
      </w:tr>
      <w:tr>
        <w:trPr/>
        <w:tc>
          <w:tcPr>
            <w:tcW w:w="415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Keg Logistics LLC (Revolver)</w:t>
            </w:r>
          </w:p>
        </w:tc>
        <w:tc>
          <w:tcPr>
            <w:tcW w:w="2665"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436</w:t>
            </w:r>
          </w:p>
        </w:tc>
        <w:tc>
          <w:tcPr>
            <w:tcW w:w="195" w:type="dxa"/>
            <w:tcBorders/>
            <w:shd w:fill="FFFFFF" w:val="clear"/>
            <w:vAlign w:val="center"/>
          </w:tcPr>
          <w:p>
            <w:pPr>
              <w:pStyle w:val="TableContents"/>
              <w:bidi w:val="0"/>
              <w:spacing w:before="0" w:after="283"/>
              <w:jc w:val="left"/>
              <w:rPr/>
            </w:pPr>
            <w:r>
              <w:rPr/>
              <w:t> </w:t>
            </w:r>
          </w:p>
        </w:tc>
      </w:tr>
      <w:tr>
        <w:trPr/>
        <w:tc>
          <w:tcPr>
            <w:tcW w:w="415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Marble Point Credit Management LLC (Revolver)</w:t>
            </w:r>
          </w:p>
        </w:tc>
        <w:tc>
          <w:tcPr>
            <w:tcW w:w="2665"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1472" w:type="dxa"/>
            <w:gridSpan w:val="2"/>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50"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2,500</w:t>
            </w:r>
          </w:p>
        </w:tc>
        <w:tc>
          <w:tcPr>
            <w:tcW w:w="195" w:type="dxa"/>
            <w:tcBorders/>
            <w:shd w:fill="CFF0FC" w:val="clear"/>
            <w:vAlign w:val="center"/>
          </w:tcPr>
          <w:p>
            <w:pPr>
              <w:pStyle w:val="TableContents"/>
              <w:bidi w:val="0"/>
              <w:spacing w:before="0" w:after="283"/>
              <w:jc w:val="left"/>
              <w:rPr/>
            </w:pPr>
            <w:r>
              <w:rPr/>
              <w:t> </w:t>
            </w:r>
          </w:p>
        </w:tc>
      </w:tr>
      <w:tr>
        <w:trPr/>
        <w:tc>
          <w:tcPr>
            <w:tcW w:w="4154"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Orthopaedic (ITC) Buyer, LLC</w:t>
            </w:r>
            <w:r>
              <w:rPr>
                <w:rFonts w:ascii="Times New Roman" w:hAnsi="Times New Roman"/>
                <w:b w:val="false"/>
                <w:color w:val="000000"/>
                <w:sz w:val="11"/>
              </w:rPr>
              <w:t>(1)</w:t>
            </w:r>
          </w:p>
        </w:tc>
        <w:tc>
          <w:tcPr>
            <w:tcW w:w="2665"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27" w:type="dxa"/>
            <w:gridSpan w:val="2"/>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195" w:type="dxa"/>
            <w:tcBorders/>
            <w:shd w:fill="FFFFFF" w:val="clear"/>
            <w:vAlign w:val="center"/>
          </w:tcPr>
          <w:p>
            <w:pPr>
              <w:pStyle w:val="TableContents"/>
              <w:bidi w:val="0"/>
              <w:spacing w:before="0" w:after="283"/>
              <w:jc w:val="right"/>
              <w:rPr/>
            </w:pPr>
            <w:r>
              <w:rPr/>
              <w:t> </w:t>
            </w:r>
          </w:p>
        </w:tc>
      </w:tr>
      <w:tr>
        <w:trPr/>
        <w:tc>
          <w:tcPr>
            <w:tcW w:w="4154"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Premier Imaging, LLC</w:t>
            </w:r>
            <w:r>
              <w:rPr>
                <w:rFonts w:ascii="Times New Roman" w:hAnsi="Times New Roman"/>
                <w:b w:val="false"/>
                <w:color w:val="000000"/>
                <w:sz w:val="11"/>
              </w:rPr>
              <w:t>(1)</w:t>
            </w:r>
          </w:p>
        </w:tc>
        <w:tc>
          <w:tcPr>
            <w:tcW w:w="2665"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1472" w:type="dxa"/>
            <w:gridSpan w:val="2"/>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50"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1,378</w:t>
            </w:r>
          </w:p>
        </w:tc>
        <w:tc>
          <w:tcPr>
            <w:tcW w:w="195" w:type="dxa"/>
            <w:tcBorders/>
            <w:shd w:fill="CFF0FC" w:val="clear"/>
            <w:vAlign w:val="center"/>
          </w:tcPr>
          <w:p>
            <w:pPr>
              <w:pStyle w:val="TableContents"/>
              <w:bidi w:val="0"/>
              <w:spacing w:before="0" w:after="283"/>
              <w:jc w:val="left"/>
              <w:rPr/>
            </w:pPr>
            <w:r>
              <w:rPr/>
              <w:t> </w:t>
            </w:r>
          </w:p>
        </w:tc>
      </w:tr>
      <w:tr>
        <w:trPr/>
        <w:tc>
          <w:tcPr>
            <w:tcW w:w="4154"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PhyNet Dermatology LLC</w:t>
            </w:r>
            <w:r>
              <w:rPr>
                <w:rFonts w:ascii="Times New Roman" w:hAnsi="Times New Roman"/>
                <w:b w:val="false"/>
                <w:color w:val="000000"/>
                <w:sz w:val="11"/>
              </w:rPr>
              <w:t>(1)</w:t>
            </w:r>
          </w:p>
        </w:tc>
        <w:tc>
          <w:tcPr>
            <w:tcW w:w="2665"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27" w:type="dxa"/>
            <w:gridSpan w:val="2"/>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195" w:type="dxa"/>
            <w:tcBorders/>
            <w:shd w:fill="FFFFFF" w:val="clear"/>
            <w:vAlign w:val="center"/>
          </w:tcPr>
          <w:p>
            <w:pPr>
              <w:pStyle w:val="TableContents"/>
              <w:bidi w:val="0"/>
              <w:spacing w:before="0" w:after="283"/>
              <w:jc w:val="right"/>
              <w:rPr/>
            </w:pPr>
            <w:r>
              <w:rPr/>
              <w:t> </w:t>
            </w:r>
          </w:p>
        </w:tc>
      </w:tr>
      <w:tr>
        <w:trPr/>
        <w:tc>
          <w:tcPr>
            <w:tcW w:w="415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Taoglas Group Holdings Limited (Revolver)</w:t>
            </w:r>
          </w:p>
        </w:tc>
        <w:tc>
          <w:tcPr>
            <w:tcW w:w="2665"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27" w:type="dxa"/>
            <w:gridSpan w:val="2"/>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195" w:type="dxa"/>
            <w:tcBorders/>
            <w:shd w:fill="CFF0FC" w:val="clear"/>
            <w:vAlign w:val="center"/>
          </w:tcPr>
          <w:p>
            <w:pPr>
              <w:pStyle w:val="TableContents"/>
              <w:bidi w:val="0"/>
              <w:spacing w:before="0" w:after="283"/>
              <w:jc w:val="right"/>
              <w:rPr/>
            </w:pPr>
            <w:r>
              <w:rPr/>
              <w:t> </w:t>
            </w:r>
          </w:p>
        </w:tc>
      </w:tr>
      <w:tr>
        <w:trPr/>
        <w:tc>
          <w:tcPr>
            <w:tcW w:w="4154"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VBC Spine Opco, LLC (DxTx Pain and Spine LLC)</w:t>
            </w:r>
            <w:r>
              <w:rPr>
                <w:rFonts w:ascii="Times New Roman" w:hAnsi="Times New Roman"/>
                <w:b w:val="false"/>
                <w:color w:val="000000"/>
                <w:sz w:val="11"/>
              </w:rPr>
              <w:t>(1)</w:t>
            </w:r>
          </w:p>
        </w:tc>
        <w:tc>
          <w:tcPr>
            <w:tcW w:w="2665"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27" w:type="dxa"/>
            <w:gridSpan w:val="2"/>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195" w:type="dxa"/>
            <w:tcBorders/>
            <w:shd w:fill="FFFFFF" w:val="clear"/>
            <w:vAlign w:val="center"/>
          </w:tcPr>
          <w:p>
            <w:pPr>
              <w:pStyle w:val="TableContents"/>
              <w:bidi w:val="0"/>
              <w:spacing w:before="0" w:after="283"/>
              <w:jc w:val="right"/>
              <w:rPr/>
            </w:pPr>
            <w:r>
              <w:rPr/>
              <w:t> </w:t>
            </w:r>
          </w:p>
        </w:tc>
      </w:tr>
      <w:tr>
        <w:trPr/>
        <w:tc>
          <w:tcPr>
            <w:tcW w:w="415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VBC Spine Opco, LLC (DxTx Pain and Spine LLC) (Revolver)</w:t>
            </w:r>
          </w:p>
        </w:tc>
        <w:tc>
          <w:tcPr>
            <w:tcW w:w="2665"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27" w:type="dxa"/>
            <w:gridSpan w:val="2"/>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195" w:type="dxa"/>
            <w:tcBorders/>
            <w:shd w:fill="CFF0FC" w:val="clear"/>
            <w:vAlign w:val="center"/>
          </w:tcPr>
          <w:p>
            <w:pPr>
              <w:pStyle w:val="TableContents"/>
              <w:bidi w:val="0"/>
              <w:spacing w:before="0" w:after="283"/>
              <w:jc w:val="right"/>
              <w:rPr/>
            </w:pPr>
            <w:r>
              <w:rPr/>
              <w:t> </w:t>
            </w:r>
          </w:p>
        </w:tc>
      </w:tr>
      <w:tr>
        <w:trPr/>
        <w:tc>
          <w:tcPr>
            <w:tcW w:w="415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Wealth Enhancement Group, LLC (Revolver)</w:t>
            </w:r>
          </w:p>
        </w:tc>
        <w:tc>
          <w:tcPr>
            <w:tcW w:w="2665"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438</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Unfunded Commitments</w:t>
            </w:r>
          </w:p>
        </w:tc>
        <w:tc>
          <w:tcPr>
            <w:tcW w:w="2665" w:type="dxa"/>
            <w:tcBorders/>
            <w:shd w:fill="CFF0FC" w:val="cle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13,787</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pBdr>
          <w:top w:val="single" w:sz="6" w:space="1" w:color="000000"/>
        </w:pBdr>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11"/>
        </w:rPr>
        <w:t>(1)</w:t>
      </w:r>
      <w:r>
        <w:rPr>
          <w:rFonts w:ascii="Times New Roman" w:hAnsi="Times New Roman"/>
          <w:color w:val="000000"/>
          <w:sz w:val="20"/>
        </w:rPr>
        <w:t xml:space="preserve"> </w:t>
      </w:r>
      <w:r>
        <w:rPr>
          <w:rFonts w:ascii="Times New Roman" w:hAnsi="Times New Roman"/>
          <w:b w:val="false"/>
          <w:color w:val="000000"/>
          <w:sz w:val="16"/>
        </w:rPr>
        <w:t>Delayed-draw term loan.</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In the ordinary course of business, the Company may enter into contracts or agreements that contain indemnifications or warranties. Future events could occur that could lead to the execution of these provisions against the Company. Based on its history and experience, management believes that the likelihood of such an event is remote.</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The nature of litigation can make it difficult to predict the impact a particular lawsuit will have on the Company. There are many reasons that the Company cannot make these assessments, including, among others, one or more of the following: the proceeding is in its early stages; the damages sought are unspecified, unsupportable, unexplained or uncertain; discovery has not started or is not complete; there are significant facts in dispute; and there are other parties who may share in any ultimate liability.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In management’s opinion, no</w:t>
      </w:r>
      <w:r>
        <w:rPr>
          <w:rFonts w:ascii="Times New Roman" w:hAnsi="Times New Roman"/>
          <w:color w:val="000000"/>
          <w:sz w:val="20"/>
        </w:rPr>
        <w:t xml:space="preserve"> </w:t>
      </w:r>
      <w:r>
        <w:rPr>
          <w:rFonts w:ascii="Times New Roman" w:hAnsi="Times New Roman"/>
          <w:b w:val="false"/>
          <w:color w:val="000000"/>
          <w:sz w:val="16"/>
        </w:rPr>
        <w:t>direct losses with respect to litigation contingencies were probable as of September 30, 2023 and December 31, 2022. Management is of the opinion that the ultimate resolution of such claims, if any, will not materially affect the Company’s business, financial position, results of operations, or liquidity. Furthermore, in management’s opinion, it is not possible to estimate a range of reasonably possible losses with respect to litigation contingencies.</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Income Taxes</w:t>
      </w:r>
    </w:p>
    <w:p>
      <w:pPr>
        <w:pStyle w:val="TextBody"/>
        <w:bidi w:val="0"/>
        <w:jc w:val="both"/>
        <w:rPr>
          <w:rFonts w:ascii="Times New Roman" w:hAnsi="Times New Roman"/>
          <w:sz w:val="20"/>
        </w:rPr>
      </w:pPr>
      <w:r>
        <w:rPr>
          <w:rFonts w:ascii="Times New Roman" w:hAnsi="Times New Roman"/>
          <w:b w:val="false"/>
          <w:color w:val="000000"/>
          <w:sz w:val="16"/>
        </w:rPr>
        <w:t>The Company has elected to be treated for U.S. federal income tax purposes and intends to comply with the requirements to qualify annually as a RIC under subchapter M of the Code and, among other things, intends to make the requisite distributions to its stockholders which will relieve the Company from U.S. federal 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The tax years ended December 31, 2022, 2021, 2020 and 2019 remain subject to examination by U.S. federal, state, and local tax authorities.</w:t>
      </w:r>
      <w:r>
        <w:rPr>
          <w:rFonts w:ascii="Times New Roman" w:hAnsi="Times New Roman"/>
          <w:color w:val="000000"/>
          <w:sz w:val="20"/>
        </w:rPr>
        <w:t xml:space="preserve"> </w:t>
      </w:r>
      <w:r>
        <w:rPr>
          <w:rFonts w:ascii="Times New Roman" w:hAnsi="Times New Roman"/>
          <w:b w:val="false"/>
          <w:color w:val="000000"/>
          <w:sz w:val="16"/>
        </w:rPr>
        <w:t>No</w:t>
      </w:r>
      <w:r>
        <w:rPr>
          <w:rFonts w:ascii="Times New Roman" w:hAnsi="Times New Roman"/>
          <w:color w:val="000000"/>
          <w:sz w:val="20"/>
        </w:rPr>
        <w:t xml:space="preserve"> </w:t>
      </w:r>
      <w:r>
        <w:rPr>
          <w:rFonts w:ascii="Times New Roman" w:hAnsi="Times New Roman"/>
          <w:b w:val="false"/>
          <w:color w:val="000000"/>
          <w:sz w:val="16"/>
        </w:rPr>
        <w:t>material interest expense or penalties have been assessed for the three and nine months ended September 30, 2023 and 2022. If the Company was required to recognize interest and penalties, if any, related to unrecognized tax benefits this would be recognized as income tax expense in the consolidated statements of operations.</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For U.S. federal income tax purposes, as of September 30, 2023, the aggregate net unrealized depreciation for all securities was $19.2</w:t>
      </w:r>
      <w:r>
        <w:rPr>
          <w:rFonts w:ascii="Times New Roman" w:hAnsi="Times New Roman"/>
          <w:color w:val="000000"/>
          <w:sz w:val="20"/>
        </w:rPr>
        <w:t xml:space="preserve"> </w:t>
      </w:r>
      <w:r>
        <w:rPr>
          <w:rFonts w:ascii="Times New Roman" w:hAnsi="Times New Roman"/>
          <w:b w:val="false"/>
          <w:color w:val="000000"/>
          <w:sz w:val="16"/>
        </w:rPr>
        <w:t>million. As of September 30, 2023, gross unrealized appreciation was $12.1</w:t>
      </w:r>
      <w:r>
        <w:rPr>
          <w:rFonts w:ascii="Times New Roman" w:hAnsi="Times New Roman"/>
          <w:color w:val="000000"/>
          <w:sz w:val="20"/>
        </w:rPr>
        <w:t xml:space="preserve"> </w:t>
      </w:r>
      <w:r>
        <w:rPr>
          <w:rFonts w:ascii="Times New Roman" w:hAnsi="Times New Roman"/>
          <w:b w:val="false"/>
          <w:color w:val="000000"/>
          <w:sz w:val="16"/>
        </w:rPr>
        <w:t>million and gross unrealized depreciation was $31.3</w:t>
      </w:r>
      <w:r>
        <w:rPr>
          <w:rFonts w:ascii="Times New Roman" w:hAnsi="Times New Roman"/>
          <w:color w:val="000000"/>
          <w:sz w:val="20"/>
        </w:rPr>
        <w:t xml:space="preserve"> </w:t>
      </w:r>
      <w:r>
        <w:rPr>
          <w:rFonts w:ascii="Times New Roman" w:hAnsi="Times New Roman"/>
          <w:b w:val="false"/>
          <w:color w:val="000000"/>
          <w:sz w:val="16"/>
        </w:rPr>
        <w:t>million. The aggregate cost of securities for U.S. federal income tax purposes was $206.3</w:t>
      </w:r>
      <w:r>
        <w:rPr>
          <w:rFonts w:ascii="Times New Roman" w:hAnsi="Times New Roman"/>
          <w:color w:val="000000"/>
          <w:sz w:val="20"/>
        </w:rPr>
        <w:t xml:space="preserve"> </w:t>
      </w:r>
      <w:r>
        <w:rPr>
          <w:rFonts w:ascii="Times New Roman" w:hAnsi="Times New Roman"/>
          <w:b w:val="false"/>
          <w:color w:val="000000"/>
          <w:sz w:val="16"/>
        </w:rPr>
        <w:t>million as of September 30, 2023. For U.S. federal income tax purposes, as of December 31, 2022, the aggregate net unrealized depreciation for all securities was $18.3</w:t>
      </w:r>
      <w:r>
        <w:rPr>
          <w:rFonts w:ascii="Times New Roman" w:hAnsi="Times New Roman"/>
          <w:color w:val="000000"/>
          <w:sz w:val="20"/>
        </w:rPr>
        <w:t xml:space="preserve"> </w:t>
      </w:r>
      <w:r>
        <w:rPr>
          <w:rFonts w:ascii="Times New Roman" w:hAnsi="Times New Roman"/>
          <w:b w:val="false"/>
          <w:color w:val="000000"/>
          <w:sz w:val="16"/>
        </w:rPr>
        <w:t>million. As of December 31, 2022, gross unrealized appreciation was $13.1</w:t>
      </w:r>
      <w:r>
        <w:rPr>
          <w:rFonts w:ascii="Times New Roman" w:hAnsi="Times New Roman"/>
          <w:color w:val="000000"/>
          <w:sz w:val="20"/>
        </w:rPr>
        <w:t xml:space="preserve"> </w:t>
      </w:r>
      <w:r>
        <w:rPr>
          <w:rFonts w:ascii="Times New Roman" w:hAnsi="Times New Roman"/>
          <w:b w:val="false"/>
          <w:color w:val="000000"/>
          <w:sz w:val="16"/>
        </w:rPr>
        <w:t>million and gross unrealized depreciation was $31.4</w:t>
      </w:r>
      <w:r>
        <w:rPr>
          <w:rFonts w:ascii="Times New Roman" w:hAnsi="Times New Roman"/>
          <w:color w:val="000000"/>
          <w:sz w:val="20"/>
        </w:rPr>
        <w:t xml:space="preserve"> </w:t>
      </w:r>
      <w:r>
        <w:rPr>
          <w:rFonts w:ascii="Times New Roman" w:hAnsi="Times New Roman"/>
          <w:b w:val="false"/>
          <w:color w:val="000000"/>
          <w:sz w:val="16"/>
        </w:rPr>
        <w:t>million. The aggregate cost of securities for U.S. federal income tax purposes was $221.9</w:t>
      </w:r>
      <w:r>
        <w:rPr>
          <w:rFonts w:ascii="Times New Roman" w:hAnsi="Times New Roman"/>
          <w:color w:val="000000"/>
          <w:sz w:val="20"/>
        </w:rPr>
        <w:t xml:space="preserve"> </w:t>
      </w:r>
      <w:r>
        <w:rPr>
          <w:rFonts w:ascii="Times New Roman" w:hAnsi="Times New Roman"/>
          <w:b w:val="false"/>
          <w:color w:val="000000"/>
          <w:sz w:val="16"/>
        </w:rPr>
        <w:t>million as of December 31, 2022.</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September 30,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The Company’s Taxable Subsidiaries record deferred tax assets or liabilities related to temporary book versus tax differences on the income or loss generated by the underlying equity investments held by the Taxable Subsidiaries. As of both September 30, 2023 and December 31, 2022, the Company recorded a net deferred tax asset of zero. For both the three and nine months ended September 30, 2023 and 2022, the Company recorded a tax provision of zero. As of September 30, 2023 and December 31, 2022, the valuation allowance on the Company’s deferred tax asset was $4.2</w:t>
      </w:r>
      <w:r>
        <w:rPr>
          <w:rFonts w:ascii="Times New Roman" w:hAnsi="Times New Roman"/>
          <w:color w:val="000000"/>
          <w:sz w:val="20"/>
        </w:rPr>
        <w:t xml:space="preserve"> </w:t>
      </w:r>
      <w:r>
        <w:rPr>
          <w:rFonts w:ascii="Times New Roman" w:hAnsi="Times New Roman"/>
          <w:b w:val="false"/>
          <w:color w:val="000000"/>
          <w:sz w:val="16"/>
        </w:rPr>
        <w:t>million and $4.0</w:t>
      </w:r>
      <w:r>
        <w:rPr>
          <w:rFonts w:ascii="Times New Roman" w:hAnsi="Times New Roman"/>
          <w:color w:val="000000"/>
          <w:sz w:val="20"/>
        </w:rPr>
        <w:t xml:space="preserve"> </w:t>
      </w:r>
      <w:r>
        <w:rPr>
          <w:rFonts w:ascii="Times New Roman" w:hAnsi="Times New Roman"/>
          <w:b w:val="false"/>
          <w:color w:val="000000"/>
          <w:sz w:val="16"/>
        </w:rPr>
        <w:t>million, respectively. During the three and nine months ended September 30, 2023, the Company recognized an increase in the valuation allowance of $0.3</w:t>
      </w:r>
      <w:r>
        <w:rPr>
          <w:rFonts w:ascii="Times New Roman" w:hAnsi="Times New Roman"/>
          <w:color w:val="000000"/>
          <w:sz w:val="20"/>
        </w:rPr>
        <w:t xml:space="preserve"> </w:t>
      </w:r>
      <w:r>
        <w:rPr>
          <w:rFonts w:ascii="Times New Roman" w:hAnsi="Times New Roman"/>
          <w:b w:val="false"/>
          <w:color w:val="000000"/>
          <w:sz w:val="16"/>
        </w:rPr>
        <w:t>million and $0.2</w:t>
      </w:r>
      <w:r>
        <w:rPr>
          <w:rFonts w:ascii="Times New Roman" w:hAnsi="Times New Roman"/>
          <w:color w:val="000000"/>
          <w:sz w:val="20"/>
        </w:rPr>
        <w:t xml:space="preserve"> </w:t>
      </w:r>
      <w:r>
        <w:rPr>
          <w:rFonts w:ascii="Times New Roman" w:hAnsi="Times New Roman"/>
          <w:b w:val="false"/>
          <w:color w:val="000000"/>
          <w:sz w:val="16"/>
        </w:rPr>
        <w:t>million, respectively. During the three and nine months ended September 30, 2022, the Company recognized an increase in the valuation allowance of zero</w:t>
      </w:r>
      <w:r>
        <w:rPr>
          <w:rFonts w:ascii="Times New Roman" w:hAnsi="Times New Roman"/>
          <w:color w:val="000000"/>
          <w:sz w:val="20"/>
        </w:rPr>
        <w:t xml:space="preserve"> </w:t>
      </w:r>
      <w:r>
        <w:rPr>
          <w:rFonts w:ascii="Times New Roman" w:hAnsi="Times New Roman"/>
          <w:b w:val="false"/>
          <w:color w:val="000000"/>
          <w:sz w:val="16"/>
        </w:rPr>
        <w:t>and $0.4</w:t>
      </w:r>
      <w:r>
        <w:rPr>
          <w:rFonts w:ascii="Times New Roman" w:hAnsi="Times New Roman"/>
          <w:color w:val="000000"/>
          <w:sz w:val="20"/>
        </w:rPr>
        <w:t xml:space="preserve"> </w:t>
      </w:r>
      <w:r>
        <w:rPr>
          <w:rFonts w:ascii="Times New Roman" w:hAnsi="Times New Roman"/>
          <w:b w:val="false"/>
          <w:color w:val="000000"/>
          <w:sz w:val="16"/>
        </w:rPr>
        <w:t>million, respectively.</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In accordance with certain applicable U.S. Treasury regulations and guidance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 xml:space="preserve">ASC Topic 740 — </w:t>
      </w:r>
      <w:r>
        <w:rPr>
          <w:rFonts w:ascii="Times New Roman" w:hAnsi="Times New Roman"/>
          <w:b w:val="false"/>
          <w:i/>
          <w:color w:val="000000"/>
          <w:sz w:val="16"/>
        </w:rPr>
        <w:t>Income Taxes</w:t>
      </w:r>
      <w:r>
        <w:rPr>
          <w:rFonts w:ascii="Times New Roman" w:hAnsi="Times New Roman"/>
          <w:color w:val="000000"/>
          <w:sz w:val="20"/>
        </w:rPr>
        <w:t xml:space="preserve"> </w:t>
      </w:r>
      <w:r>
        <w:rPr>
          <w:rFonts w:ascii="Times New Roman" w:hAnsi="Times New Roman"/>
          <w:b w:val="false"/>
          <w:color w:val="000000"/>
          <w:sz w:val="16"/>
        </w:rPr>
        <w:t>(“ASC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September 30, 2023 and December 31, 2022, there were no</w:t>
      </w:r>
      <w:r>
        <w:rPr>
          <w:rFonts w:ascii="Times New Roman" w:hAnsi="Times New Roman"/>
          <w:color w:val="000000"/>
          <w:sz w:val="20"/>
        </w:rPr>
        <w:t xml:space="preserve"> </w:t>
      </w:r>
      <w:r>
        <w:rPr>
          <w:rFonts w:ascii="Times New Roman" w:hAnsi="Times New Roman"/>
          <w:b w:val="false"/>
          <w:color w:val="000000"/>
          <w:sz w:val="16"/>
        </w:rPr>
        <w:t>uncertain tax positions.</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Distributions</w:t>
      </w:r>
    </w:p>
    <w:p>
      <w:pPr>
        <w:pStyle w:val="TextBody"/>
        <w:bidi w:val="0"/>
        <w:jc w:val="both"/>
        <w:rPr>
          <w:rFonts w:ascii="Times New Roman" w:hAnsi="Times New Roman"/>
          <w:sz w:val="20"/>
        </w:rPr>
      </w:pPr>
      <w:r>
        <w:rPr>
          <w:rFonts w:ascii="Times New Roman" w:hAnsi="Times New Roman"/>
          <w:b w:val="false"/>
          <w:color w:val="000000"/>
          <w:sz w:val="16"/>
        </w:rPr>
        <w:t>Distributions to the Company’s common stockholders are recorded on the record date. The amount to be paid out as a dividend is determined by the Board. Net capital gains, if any, are generally distributed at least annually, although we may decide to retain such capital gains for reinvestment.</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The Company has adopted an “opt out” dividend reinvestment plan (“DRIP”) for the Company’s common stockholders. As a result, if the Company declares a distribution, then stockholders’ cash distributions will be automatically reinvested in additional shares of the Company’s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the Company’s DRIP will not receive any corresponding cash distributions with which to pay any such applicable taxes.</w:t>
      </w:r>
    </w:p>
    <w:p>
      <w:pPr>
        <w:pStyle w:val="TextBody"/>
        <w:bidi w:val="0"/>
        <w:spacing w:before="120" w:after="120"/>
        <w:jc w:val="left"/>
        <w:rPr>
          <w:rFonts w:ascii="Times New Roman" w:hAnsi="Times New Roman"/>
          <w:sz w:val="20"/>
        </w:rPr>
      </w:pPr>
      <w:r>
        <w:rPr>
          <w:rFonts w:ascii="Times New Roman" w:hAnsi="Times New Roman"/>
          <w:b/>
          <w:color w:val="000000"/>
          <w:sz w:val="16"/>
        </w:rPr>
        <w:t>Company Investment Risk, Concentration of Credit Risk and Liquidity Risk</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val="false"/>
          <w:color w:val="000000"/>
          <w:sz w:val="16"/>
        </w:rPr>
        <w:t>The Investment Adviser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The value of the Company’s investments may be detrimentally affected to the extent, among other things, that a borrower defaults on its obligations, there is insufficient collateral and/or there are extensive legal and other costs incurred in collecting on a defaulted loan. The value of the Company’s investments may also be detrimentally affected to the extent observable primary or secondary market yields for similar instruments issued by comparable companies increase materially or risk premiums in the market between smaller companies, such as our borrowers, and those for which market yields are observable increase materially.</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The Investment Adviser may attempt to minimize this risk by maintaining low debt-to-liquidation values with each debt investment and the collateral underlying the debt investment.</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r>
        <w:rPr>
          <w:rFonts w:ascii="Times New Roman" w:hAnsi="Times New Roman"/>
          <w:color w:val="000000"/>
          <w:sz w:val="20"/>
        </w:rPr>
        <w:t xml:space="preserve"> </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Note 3. Investments and Fair Value Measurements</w:t>
      </w:r>
    </w:p>
    <w:p>
      <w:pPr>
        <w:pStyle w:val="TextBody"/>
        <w:bidi w:val="0"/>
        <w:jc w:val="both"/>
        <w:rPr>
          <w:rFonts w:ascii="Times New Roman" w:hAnsi="Times New Roman"/>
          <w:sz w:val="20"/>
        </w:rPr>
      </w:pPr>
      <w:r>
        <w:rPr>
          <w:rFonts w:ascii="Times New Roman" w:hAnsi="Times New Roman"/>
          <w:b w:val="false"/>
          <w:color w:val="000000"/>
          <w:sz w:val="16"/>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w:t>
      </w:r>
      <w:r>
        <w:rPr>
          <w:rFonts w:ascii="Times New Roman" w:hAnsi="Times New Roman"/>
          <w:color w:val="000000"/>
          <w:sz w:val="20"/>
        </w:rPr>
        <w:t xml:space="preserve"> </w:t>
      </w:r>
      <w:r>
        <w:rPr>
          <w:rFonts w:ascii="Times New Roman" w:hAnsi="Times New Roman"/>
          <w:b w:val="false"/>
          <w:color w:val="000000"/>
          <w:sz w:val="16"/>
        </w:rPr>
        <w:t>As of September 30, 2023, our portfolio consisted of investments in 58</w:t>
      </w:r>
      <w:r>
        <w:rPr>
          <w:rFonts w:ascii="Times New Roman" w:hAnsi="Times New Roman"/>
          <w:color w:val="000000"/>
          <w:sz w:val="20"/>
        </w:rPr>
        <w:t xml:space="preserve"> </w:t>
      </w:r>
      <w:r>
        <w:rPr>
          <w:rFonts w:ascii="Times New Roman" w:hAnsi="Times New Roman"/>
          <w:b w:val="false"/>
          <w:color w:val="000000"/>
          <w:sz w:val="16"/>
        </w:rPr>
        <w:t>portfolio companies with a fair value of approximately $187.1</w:t>
      </w:r>
      <w:r>
        <w:rPr>
          <w:rFonts w:ascii="Times New Roman" w:hAnsi="Times New Roman"/>
          <w:color w:val="000000"/>
          <w:sz w:val="20"/>
        </w:rPr>
        <w:t xml:space="preserve"> </w:t>
      </w:r>
      <w:r>
        <w:rPr>
          <w:rFonts w:ascii="Times New Roman" w:hAnsi="Times New Roman"/>
          <w:b w:val="false"/>
          <w:color w:val="000000"/>
          <w:sz w:val="16"/>
        </w:rPr>
        <w:t>million. As of December 31, 2022, our portfolio consisted of investments in 59</w:t>
      </w:r>
      <w:r>
        <w:rPr>
          <w:rFonts w:ascii="Times New Roman" w:hAnsi="Times New Roman"/>
          <w:color w:val="000000"/>
          <w:sz w:val="20"/>
        </w:rPr>
        <w:t xml:space="preserve"> </w:t>
      </w:r>
      <w:r>
        <w:rPr>
          <w:rFonts w:ascii="Times New Roman" w:hAnsi="Times New Roman"/>
          <w:b w:val="false"/>
          <w:color w:val="000000"/>
          <w:sz w:val="16"/>
        </w:rPr>
        <w:t>portfolio companies with a fair value of approximately $203.6</w:t>
      </w:r>
      <w:r>
        <w:rPr>
          <w:rFonts w:ascii="Times New Roman" w:hAnsi="Times New Roman"/>
          <w:color w:val="000000"/>
          <w:sz w:val="20"/>
        </w:rPr>
        <w:t xml:space="preserve"> </w:t>
      </w:r>
      <w:r>
        <w:rPr>
          <w:rFonts w:ascii="Times New Roman" w:hAnsi="Times New Roman"/>
          <w:b w:val="false"/>
          <w:color w:val="000000"/>
          <w:sz w:val="16"/>
        </w:rPr>
        <w:t>million.</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September 30, 2023, 0.4%</w:t>
      </w:r>
      <w:r>
        <w:rPr>
          <w:rFonts w:ascii="Times New Roman" w:hAnsi="Times New Roman"/>
          <w:color w:val="000000"/>
          <w:sz w:val="20"/>
        </w:rPr>
        <w:t xml:space="preserve"> </w:t>
      </w:r>
      <w:r>
        <w:rPr>
          <w:rFonts w:ascii="Times New Roman" w:hAnsi="Times New Roman"/>
          <w:b w:val="false"/>
          <w:color w:val="000000"/>
          <w:sz w:val="16"/>
        </w:rPr>
        <w:t>of the fair value of our first lien loans consisted of last-out loans. As of December 31, 2022, 1.9% of the fair value of our first lien loans consisted of last-out loans. In some cases, first lien loans may be subordinated, solely with respect to the payment of cash interest, to an asset based revolving credit facility.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September 30,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b w:val="false"/>
          <w:color w:val="000000"/>
          <w:sz w:val="16"/>
        </w:rPr>
        <w:t>During the three months ended September 30, 2023, we made approximately $6.1</w:t>
      </w:r>
      <w:r>
        <w:rPr>
          <w:rFonts w:ascii="Times New Roman" w:hAnsi="Times New Roman"/>
          <w:color w:val="000000"/>
          <w:sz w:val="20"/>
        </w:rPr>
        <w:t xml:space="preserve"> </w:t>
      </w:r>
      <w:r>
        <w:rPr>
          <w:rFonts w:ascii="Times New Roman" w:hAnsi="Times New Roman"/>
          <w:b w:val="false"/>
          <w:color w:val="000000"/>
          <w:sz w:val="16"/>
        </w:rPr>
        <w:t>million of investments and had approximately $23.2</w:t>
      </w:r>
      <w:r>
        <w:rPr>
          <w:rFonts w:ascii="Times New Roman" w:hAnsi="Times New Roman"/>
          <w:color w:val="000000"/>
          <w:sz w:val="20"/>
        </w:rPr>
        <w:t xml:space="preserve"> </w:t>
      </w:r>
      <w:r>
        <w:rPr>
          <w:rFonts w:ascii="Times New Roman" w:hAnsi="Times New Roman"/>
          <w:b w:val="false"/>
          <w:color w:val="000000"/>
          <w:sz w:val="16"/>
        </w:rPr>
        <w:t>million in repayments and sales, resulting in net repayments and sales of approximately $17.1</w:t>
      </w:r>
      <w:r>
        <w:rPr>
          <w:rFonts w:ascii="Times New Roman" w:hAnsi="Times New Roman"/>
          <w:color w:val="000000"/>
          <w:sz w:val="20"/>
        </w:rPr>
        <w:t xml:space="preserve"> </w:t>
      </w:r>
      <w:r>
        <w:rPr>
          <w:rFonts w:ascii="Times New Roman" w:hAnsi="Times New Roman"/>
          <w:b w:val="false"/>
          <w:color w:val="000000"/>
          <w:sz w:val="16"/>
        </w:rPr>
        <w:t>million for the period. During the three months ended September 30, 2022, the Company made approximately $36.7</w:t>
      </w:r>
      <w:r>
        <w:rPr>
          <w:rFonts w:ascii="Times New Roman" w:hAnsi="Times New Roman"/>
          <w:color w:val="000000"/>
          <w:sz w:val="20"/>
        </w:rPr>
        <w:t xml:space="preserve"> </w:t>
      </w:r>
      <w:r>
        <w:rPr>
          <w:rFonts w:ascii="Times New Roman" w:hAnsi="Times New Roman"/>
          <w:b w:val="false"/>
          <w:color w:val="000000"/>
          <w:sz w:val="16"/>
        </w:rPr>
        <w:t>million of investments and had approximately $17.1</w:t>
      </w:r>
      <w:r>
        <w:rPr>
          <w:rFonts w:ascii="Times New Roman" w:hAnsi="Times New Roman"/>
          <w:color w:val="000000"/>
          <w:sz w:val="20"/>
        </w:rPr>
        <w:t xml:space="preserve"> </w:t>
      </w:r>
      <w:r>
        <w:rPr>
          <w:rFonts w:ascii="Times New Roman" w:hAnsi="Times New Roman"/>
          <w:b w:val="false"/>
          <w:color w:val="000000"/>
          <w:sz w:val="16"/>
        </w:rPr>
        <w:t>million in repayments and sales, resulting in net repayments and sales of approximately $19.6</w:t>
      </w:r>
      <w:r>
        <w:rPr>
          <w:rFonts w:ascii="Times New Roman" w:hAnsi="Times New Roman"/>
          <w:color w:val="000000"/>
          <w:sz w:val="20"/>
        </w:rPr>
        <w:t xml:space="preserve"> </w:t>
      </w:r>
      <w:r>
        <w:rPr>
          <w:rFonts w:ascii="Times New Roman" w:hAnsi="Times New Roman"/>
          <w:b w:val="false"/>
          <w:color w:val="000000"/>
          <w:sz w:val="16"/>
        </w:rPr>
        <w:t>million for the period.</w:t>
      </w:r>
    </w:p>
    <w:p>
      <w:pPr>
        <w:pStyle w:val="TextBody"/>
        <w:bidi w:val="0"/>
        <w:spacing w:before="120" w:after="120"/>
        <w:jc w:val="both"/>
        <w:rPr>
          <w:rFonts w:ascii="Times New Roman" w:hAnsi="Times New Roman"/>
          <w:sz w:val="20"/>
        </w:rPr>
      </w:pPr>
      <w:r>
        <w:rPr>
          <w:rFonts w:ascii="Times New Roman" w:hAnsi="Times New Roman"/>
          <w:b w:val="false"/>
          <w:color w:val="000000"/>
          <w:sz w:val="16"/>
        </w:rPr>
        <w:t>During the nine months ended September 30, 2023, we made approximately $18.4</w:t>
      </w:r>
      <w:r>
        <w:rPr>
          <w:rFonts w:ascii="Times New Roman" w:hAnsi="Times New Roman"/>
          <w:color w:val="000000"/>
          <w:sz w:val="20"/>
        </w:rPr>
        <w:t xml:space="preserve"> </w:t>
      </w:r>
      <w:r>
        <w:rPr>
          <w:rFonts w:ascii="Times New Roman" w:hAnsi="Times New Roman"/>
          <w:b w:val="false"/>
          <w:color w:val="000000"/>
          <w:sz w:val="16"/>
        </w:rPr>
        <w:t>million</w:t>
      </w:r>
      <w:r>
        <w:rPr>
          <w:rFonts w:ascii="Times New Roman" w:hAnsi="Times New Roman"/>
          <w:color w:val="000000"/>
          <w:sz w:val="20"/>
        </w:rPr>
        <w:t xml:space="preserve"> </w:t>
      </w:r>
      <w:r>
        <w:rPr>
          <w:rFonts w:ascii="Times New Roman" w:hAnsi="Times New Roman"/>
          <w:b w:val="false"/>
          <w:color w:val="000000"/>
          <w:sz w:val="16"/>
        </w:rPr>
        <w:t>of investments and had approximately $34.5</w:t>
      </w:r>
      <w:r>
        <w:rPr>
          <w:rFonts w:ascii="Times New Roman" w:hAnsi="Times New Roman"/>
          <w:color w:val="000000"/>
          <w:sz w:val="20"/>
        </w:rPr>
        <w:t xml:space="preserve"> </w:t>
      </w:r>
      <w:r>
        <w:rPr>
          <w:rFonts w:ascii="Times New Roman" w:hAnsi="Times New Roman"/>
          <w:b w:val="false"/>
          <w:color w:val="000000"/>
          <w:sz w:val="16"/>
        </w:rPr>
        <w:t>million</w:t>
      </w:r>
      <w:r>
        <w:rPr>
          <w:rFonts w:ascii="Times New Roman" w:hAnsi="Times New Roman"/>
          <w:color w:val="000000"/>
          <w:sz w:val="20"/>
        </w:rPr>
        <w:t xml:space="preserve"> </w:t>
      </w:r>
      <w:r>
        <w:rPr>
          <w:rFonts w:ascii="Times New Roman" w:hAnsi="Times New Roman"/>
          <w:b w:val="false"/>
          <w:color w:val="000000"/>
          <w:sz w:val="16"/>
        </w:rPr>
        <w:t>in repayments and sales, resulting in net repayments and sales of approximately $16.1</w:t>
      </w:r>
      <w:r>
        <w:rPr>
          <w:rFonts w:ascii="Times New Roman" w:hAnsi="Times New Roman"/>
          <w:color w:val="000000"/>
          <w:sz w:val="20"/>
        </w:rPr>
        <w:t xml:space="preserve"> </w:t>
      </w:r>
      <w:r>
        <w:rPr>
          <w:rFonts w:ascii="Times New Roman" w:hAnsi="Times New Roman"/>
          <w:b w:val="false"/>
          <w:color w:val="000000"/>
          <w:sz w:val="16"/>
        </w:rPr>
        <w:t>million for the period. During the nine months ended September 30, 2022, the Company made approximately $83.8</w:t>
      </w:r>
      <w:r>
        <w:rPr>
          <w:rFonts w:ascii="Times New Roman" w:hAnsi="Times New Roman"/>
          <w:color w:val="000000"/>
          <w:sz w:val="20"/>
        </w:rPr>
        <w:t xml:space="preserve"> </w:t>
      </w:r>
      <w:r>
        <w:rPr>
          <w:rFonts w:ascii="Times New Roman" w:hAnsi="Times New Roman"/>
          <w:b w:val="false"/>
          <w:color w:val="000000"/>
          <w:sz w:val="16"/>
        </w:rPr>
        <w:t>million of investments and had approximately $83.8</w:t>
      </w:r>
      <w:r>
        <w:rPr>
          <w:rFonts w:ascii="Times New Roman" w:hAnsi="Times New Roman"/>
          <w:color w:val="000000"/>
          <w:sz w:val="20"/>
        </w:rPr>
        <w:t xml:space="preserve"> </w:t>
      </w:r>
      <w:r>
        <w:rPr>
          <w:rFonts w:ascii="Times New Roman" w:hAnsi="Times New Roman"/>
          <w:b w:val="false"/>
          <w:color w:val="000000"/>
          <w:sz w:val="16"/>
        </w:rPr>
        <w:t>million in repayments and sales, resulting in net repayments and sales of less than $0.1</w:t>
      </w:r>
      <w:r>
        <w:rPr>
          <w:rFonts w:ascii="Times New Roman" w:hAnsi="Times New Roman"/>
          <w:color w:val="000000"/>
          <w:sz w:val="20"/>
        </w:rPr>
        <w:t xml:space="preserve"> </w:t>
      </w:r>
      <w:r>
        <w:rPr>
          <w:rFonts w:ascii="Times New Roman" w:hAnsi="Times New Roman"/>
          <w:b w:val="false"/>
          <w:color w:val="000000"/>
          <w:sz w:val="16"/>
        </w:rPr>
        <w:t>million for the period.</w:t>
      </w:r>
    </w:p>
    <w:p>
      <w:pPr>
        <w:pStyle w:val="TextBody"/>
        <w:bidi w:val="0"/>
        <w:jc w:val="both"/>
        <w:rPr>
          <w:rFonts w:ascii="Times New Roman" w:hAnsi="Times New Roman"/>
          <w:sz w:val="20"/>
        </w:rPr>
      </w:pPr>
      <w:r>
        <w:rPr>
          <w:rFonts w:ascii="Times New Roman" w:hAnsi="Times New Roman"/>
          <w:b w:val="false"/>
          <w:color w:val="000000"/>
          <w:sz w:val="16"/>
        </w:rPr>
        <w:t>As of September 30, 2023, the Company’s Investment Adviser approved the fair value of the Company’s investment portfolio of approximately $187.1</w:t>
      </w:r>
      <w:r>
        <w:rPr>
          <w:rFonts w:ascii="Times New Roman" w:hAnsi="Times New Roman"/>
          <w:color w:val="000000"/>
          <w:sz w:val="20"/>
        </w:rPr>
        <w:t xml:space="preserve"> </w:t>
      </w:r>
      <w:r>
        <w:rPr>
          <w:rFonts w:ascii="Times New Roman" w:hAnsi="Times New Roman"/>
          <w:b w:val="false"/>
          <w:color w:val="000000"/>
          <w:sz w:val="16"/>
        </w:rPr>
        <w:t>million</w:t>
      </w:r>
      <w:r>
        <w:rPr>
          <w:rFonts w:ascii="Times New Roman" w:hAnsi="Times New Roman"/>
          <w:color w:val="000000"/>
          <w:sz w:val="20"/>
        </w:rPr>
        <w:t xml:space="preserve"> </w:t>
      </w:r>
      <w:r>
        <w:rPr>
          <w:rFonts w:ascii="Times New Roman" w:hAnsi="Times New Roman"/>
          <w:b w:val="false"/>
          <w:color w:val="000000"/>
          <w:sz w:val="16"/>
        </w:rPr>
        <w:t>in good faith in accordance with the Company’s valuation procedures. The Company’s Investment Adviser approved the fair value of the Company’s investment portfolio as of September 30, 2023 with input from third-party valuation firms and the Investment Adviser, as valuation designee, based on information known or knowable as of the valuation date, including trailing and forward looking data.</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The composition of our investments as of September 30, 2023, at amortized cost and fair value was as follows (dollars in thousands):</w:t>
      </w:r>
    </w:p>
    <w:tbl>
      <w:tblPr>
        <w:tblW w:w="8559" w:type="dxa"/>
        <w:jc w:val="left"/>
        <w:tblInd w:w="0" w:type="dxa"/>
        <w:tblLayout w:type="fixed"/>
        <w:tblCellMar>
          <w:top w:w="28" w:type="dxa"/>
          <w:left w:w="28" w:type="dxa"/>
          <w:bottom w:w="28" w:type="dxa"/>
          <w:right w:w="28" w:type="dxa"/>
        </w:tblCellMar>
      </w:tblPr>
      <w:tblGrid>
        <w:gridCol w:w="2311"/>
        <w:gridCol w:w="146"/>
        <w:gridCol w:w="274"/>
        <w:gridCol w:w="971"/>
        <w:gridCol w:w="146"/>
        <w:gridCol w:w="146"/>
        <w:gridCol w:w="276"/>
        <w:gridCol w:w="969"/>
        <w:gridCol w:w="241"/>
        <w:gridCol w:w="146"/>
        <w:gridCol w:w="255"/>
        <w:gridCol w:w="900"/>
        <w:gridCol w:w="146"/>
        <w:gridCol w:w="146"/>
        <w:gridCol w:w="266"/>
        <w:gridCol w:w="934"/>
        <w:gridCol w:w="28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br/>
              <w:t>Percentage of</w:t>
              <w:br/>
              <w:t>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Percentage of</w:t>
              <w:br/>
              <w:t>Total Portfolio</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128,979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63.6</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121,263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64.8</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w:t>
            </w:r>
          </w:p>
        </w:tc>
        <w:tc>
          <w:tcPr>
            <w:tcW w:w="2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26,573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13.1</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24,728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13.2</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Collateralized Loan Obligations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w:t>
            </w:r>
          </w:p>
        </w:tc>
        <w:tc>
          <w:tcPr>
            <w:tcW w:w="2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Joint Venture</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35,543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30,990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202,687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187,099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bl>
    <w:p>
      <w:pPr>
        <w:pStyle w:val="TextBody"/>
        <w:bidi w:val="0"/>
        <w:spacing w:before="240" w:after="120"/>
        <w:jc w:val="both"/>
        <w:rPr>
          <w:rFonts w:ascii="Times New Roman" w:hAnsi="Times New Roman"/>
          <w:b w:val="false"/>
          <w:color w:val="000000"/>
          <w:sz w:val="16"/>
        </w:rPr>
      </w:pPr>
      <w:r>
        <w:rPr>
          <w:rFonts w:ascii="Times New Roman" w:hAnsi="Times New Roman"/>
          <w:b w:val="false"/>
          <w:color w:val="000000"/>
          <w:sz w:val="16"/>
        </w:rPr>
        <w:t>The composition of our investments as of December 31, 2022, at amortized cost and fair value was as follows (dollars in thousands):</w:t>
      </w:r>
    </w:p>
    <w:tbl>
      <w:tblPr>
        <w:tblW w:w="8559" w:type="dxa"/>
        <w:jc w:val="left"/>
        <w:tblInd w:w="0" w:type="dxa"/>
        <w:tblLayout w:type="fixed"/>
        <w:tblCellMar>
          <w:top w:w="28" w:type="dxa"/>
          <w:left w:w="28" w:type="dxa"/>
          <w:bottom w:w="28" w:type="dxa"/>
          <w:right w:w="28" w:type="dxa"/>
        </w:tblCellMar>
      </w:tblPr>
      <w:tblGrid>
        <w:gridCol w:w="2311"/>
        <w:gridCol w:w="146"/>
        <w:gridCol w:w="274"/>
        <w:gridCol w:w="971"/>
        <w:gridCol w:w="146"/>
        <w:gridCol w:w="146"/>
        <w:gridCol w:w="276"/>
        <w:gridCol w:w="969"/>
        <w:gridCol w:w="241"/>
        <w:gridCol w:w="146"/>
        <w:gridCol w:w="255"/>
        <w:gridCol w:w="900"/>
        <w:gridCol w:w="146"/>
        <w:gridCol w:w="146"/>
        <w:gridCol w:w="266"/>
        <w:gridCol w:w="934"/>
        <w:gridCol w:w="28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br/>
              <w:t>Percentage of</w:t>
              <w:br/>
              <w:t>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Percentage of</w:t>
              <w:br/>
              <w:t>Total Portfolio</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143,047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64.9</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136,896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67.3</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w:t>
            </w:r>
          </w:p>
        </w:tc>
        <w:tc>
          <w:tcPr>
            <w:tcW w:w="2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26,571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25,851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Collateralized Loan Obligations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w:t>
            </w:r>
          </w:p>
        </w:tc>
        <w:tc>
          <w:tcPr>
            <w:tcW w:w="2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Joint Venture</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36,016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29,006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220,516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203,592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bl>
    <w:p>
      <w:pPr>
        <w:pStyle w:val="TextBody"/>
        <w:bidi w:val="0"/>
        <w:spacing w:before="240" w:after="120"/>
        <w:jc w:val="both"/>
        <w:rPr>
          <w:rFonts w:ascii="Times New Roman" w:hAnsi="Times New Roman"/>
          <w:b w:val="false"/>
          <w:color w:val="000000"/>
          <w:sz w:val="16"/>
        </w:rPr>
      </w:pPr>
      <w:r>
        <w:rPr>
          <w:rFonts w:ascii="Times New Roman" w:hAnsi="Times New Roman"/>
          <w:b w:val="false"/>
          <w:color w:val="000000"/>
          <w:sz w:val="16"/>
        </w:rPr>
        <w:t>As noted above, the Company values all investments in accordance with Rule 2a-5 under the 1940 Act and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tbl>
      <w:tblPr>
        <w:tblW w:w="9879" w:type="dxa"/>
        <w:jc w:val="left"/>
        <w:tblInd w:w="0" w:type="dxa"/>
        <w:tblLayout w:type="fixed"/>
        <w:tblCellMar>
          <w:top w:w="28" w:type="dxa"/>
          <w:left w:w="28" w:type="dxa"/>
          <w:bottom w:w="28" w:type="dxa"/>
          <w:right w:w="28" w:type="dxa"/>
        </w:tblCellMar>
      </w:tblPr>
      <w:tblGrid>
        <w:gridCol w:w="124"/>
        <w:gridCol w:w="109"/>
        <w:gridCol w:w="96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646"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Level 1 — Valuations based on quoted prices in active markets for identical assets or liabilities that the Company has the ability to access.</w:t>
            </w:r>
          </w:p>
        </w:tc>
      </w:tr>
    </w:tbl>
    <w:tbl>
      <w:tblPr>
        <w:tblW w:w="9474" w:type="dxa"/>
        <w:jc w:val="left"/>
        <w:tblInd w:w="0" w:type="dxa"/>
        <w:tblLayout w:type="fixed"/>
        <w:tblCellMar>
          <w:top w:w="28" w:type="dxa"/>
          <w:left w:w="28" w:type="dxa"/>
          <w:bottom w:w="28" w:type="dxa"/>
          <w:right w:w="28" w:type="dxa"/>
        </w:tblCellMar>
      </w:tblPr>
      <w:tblGrid>
        <w:gridCol w:w="124"/>
        <w:gridCol w:w="109"/>
        <w:gridCol w:w="92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241"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Level 2 — Valuations based on inputs other than quoted prices in active markets, which are either directly or indirectly observable.</w:t>
            </w:r>
          </w:p>
        </w:tc>
      </w:tr>
    </w:tbl>
    <w:tbl>
      <w:tblPr>
        <w:tblW w:w="8289" w:type="dxa"/>
        <w:jc w:val="left"/>
        <w:tblInd w:w="0" w:type="dxa"/>
        <w:tblLayout w:type="fixed"/>
        <w:tblCellMar>
          <w:top w:w="28" w:type="dxa"/>
          <w:left w:w="28" w:type="dxa"/>
          <w:bottom w:w="28" w:type="dxa"/>
          <w:right w:w="28" w:type="dxa"/>
        </w:tblCellMar>
      </w:tblPr>
      <w:tblGrid>
        <w:gridCol w:w="124"/>
        <w:gridCol w:w="109"/>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056"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Level 3 — Valuations based on inputs that are unobservable and significant to the overall fair value measurement.</w:t>
            </w:r>
          </w:p>
        </w:tc>
      </w:tr>
    </w:tbl>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The Company employs the valuation policy approved by the Board that is consistent with ASC 820 (see Note 2). Consistent with the Company’s valuation policy, the Company evaluates the source of inputs, including any markets in which its investments are trading, in determining fair value.</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In estimating the fair value of portfolio investments, the Company starts with the cost basis of the investment, which includes amortized original issue discount and PIK income, if any. The transaction price is typically the best estimate of fair value at inception. When evidence supports a subsequent change to the carrying value from the original transaction price, adjustments are made to reflect the expected fair values.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September 30,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The following table presents the fair value measurements of investments, by major class, as of September 30, 2023, according to the fair value hierarchy (dollars in thousands):</w:t>
      </w:r>
    </w:p>
    <w:tbl>
      <w:tblPr>
        <w:tblW w:w="7422" w:type="dxa"/>
        <w:jc w:val="left"/>
        <w:tblInd w:w="0" w:type="dxa"/>
        <w:tblLayout w:type="fixed"/>
        <w:tblCellMar>
          <w:top w:w="28" w:type="dxa"/>
          <w:left w:w="28" w:type="dxa"/>
          <w:bottom w:w="28" w:type="dxa"/>
          <w:right w:w="28" w:type="dxa"/>
        </w:tblCellMar>
      </w:tblPr>
      <w:tblGrid>
        <w:gridCol w:w="2311"/>
        <w:gridCol w:w="146"/>
        <w:gridCol w:w="228"/>
        <w:gridCol w:w="402"/>
        <w:gridCol w:w="146"/>
        <w:gridCol w:w="146"/>
        <w:gridCol w:w="228"/>
        <w:gridCol w:w="402"/>
        <w:gridCol w:w="146"/>
        <w:gridCol w:w="146"/>
        <w:gridCol w:w="196"/>
        <w:gridCol w:w="691"/>
        <w:gridCol w:w="146"/>
        <w:gridCol w:w="146"/>
        <w:gridCol w:w="196"/>
        <w:gridCol w:w="376"/>
        <w:gridCol w:w="146"/>
        <w:gridCol w:w="146"/>
        <w:gridCol w:w="196"/>
        <w:gridCol w:w="69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77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121,263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121,263</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7,466</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24,728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24,728</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Collateralized Loan Obligations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2,181</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Joint Venture</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471</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30,990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30,990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186,628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187,099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b w:val="false"/>
          <w:color w:val="000000"/>
          <w:sz w:val="16"/>
        </w:rPr>
      </w:pPr>
      <w:r>
        <w:rPr>
          <w:rFonts w:ascii="Times New Roman" w:hAnsi="Times New Roman"/>
          <w:b w:val="false"/>
          <w:color w:val="000000"/>
          <w:sz w:val="16"/>
        </w:rPr>
        <w:t>The following table presents fair value measurements of investments, by major class, as of December 31, 2022, according to the fair value hierarchy (dollars in thousands):</w:t>
      </w:r>
    </w:p>
    <w:tbl>
      <w:tblPr>
        <w:tblW w:w="7422" w:type="dxa"/>
        <w:jc w:val="left"/>
        <w:tblInd w:w="0" w:type="dxa"/>
        <w:tblLayout w:type="fixed"/>
        <w:tblCellMar>
          <w:top w:w="28" w:type="dxa"/>
          <w:left w:w="28" w:type="dxa"/>
          <w:bottom w:w="28" w:type="dxa"/>
          <w:right w:w="28" w:type="dxa"/>
        </w:tblCellMar>
      </w:tblPr>
      <w:tblGrid>
        <w:gridCol w:w="2311"/>
        <w:gridCol w:w="146"/>
        <w:gridCol w:w="228"/>
        <w:gridCol w:w="402"/>
        <w:gridCol w:w="146"/>
        <w:gridCol w:w="146"/>
        <w:gridCol w:w="228"/>
        <w:gridCol w:w="402"/>
        <w:gridCol w:w="146"/>
        <w:gridCol w:w="146"/>
        <w:gridCol w:w="196"/>
        <w:gridCol w:w="691"/>
        <w:gridCol w:w="146"/>
        <w:gridCol w:w="146"/>
        <w:gridCol w:w="196"/>
        <w:gridCol w:w="376"/>
        <w:gridCol w:w="146"/>
        <w:gridCol w:w="146"/>
        <w:gridCol w:w="196"/>
        <w:gridCol w:w="69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77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136,896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136,896</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6,464</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25,851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25,851</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Collateralized Loan Obligations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4,972</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Joint Venture</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403</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29,006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29,006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203,189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203,592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b w:val="false"/>
          <w:color w:val="000000"/>
          <w:sz w:val="16"/>
        </w:rPr>
      </w:pPr>
      <w:r>
        <w:rPr>
          <w:rFonts w:ascii="Times New Roman" w:hAnsi="Times New Roman"/>
          <w:b w:val="false"/>
          <w:color w:val="000000"/>
          <w:sz w:val="16"/>
        </w:rPr>
        <w:t>The following table provides a reconciliation of the beginning and ending balances for investments that use Level 3 inputs for the nine months ended September 30, 2023 (dollars in thousands):</w:t>
      </w:r>
    </w:p>
    <w:tbl>
      <w:tblPr>
        <w:tblW w:w="10205" w:type="dxa"/>
        <w:jc w:val="left"/>
        <w:tblInd w:w="0" w:type="dxa"/>
        <w:tblLayout w:type="fixed"/>
        <w:tblCellMar>
          <w:top w:w="28" w:type="dxa"/>
          <w:left w:w="28" w:type="dxa"/>
          <w:bottom w:w="28" w:type="dxa"/>
          <w:right w:w="28" w:type="dxa"/>
        </w:tblCellMar>
      </w:tblPr>
      <w:tblGrid>
        <w:gridCol w:w="2339"/>
        <w:gridCol w:w="146"/>
        <w:gridCol w:w="196"/>
        <w:gridCol w:w="691"/>
        <w:gridCol w:w="166"/>
        <w:gridCol w:w="146"/>
        <w:gridCol w:w="217"/>
        <w:gridCol w:w="568"/>
        <w:gridCol w:w="166"/>
        <w:gridCol w:w="146"/>
        <w:gridCol w:w="265"/>
        <w:gridCol w:w="816"/>
        <w:gridCol w:w="166"/>
        <w:gridCol w:w="146"/>
        <w:gridCol w:w="384"/>
        <w:gridCol w:w="1125"/>
        <w:gridCol w:w="166"/>
        <w:gridCol w:w="146"/>
        <w:gridCol w:w="196"/>
        <w:gridCol w:w="601"/>
        <w:gridCol w:w="166"/>
        <w:gridCol w:w="146"/>
        <w:gridCol w:w="196"/>
        <w:gridCol w:w="691"/>
        <w:gridCol w:w="214"/>
      </w:tblGrid>
      <w:tr>
        <w:trPr/>
        <w:tc>
          <w:tcPr>
            <w:tcW w:w="23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33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Lien</w:t>
              <w:br/>
              <w:t>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Lien</w:t>
              <w:br/>
              <w:t>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Subordinated</w:t>
              <w:br/>
              <w:t>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Collateralized Loan Obligations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as of January 1, 2023</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136,896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6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25,851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2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29,006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203,189</w:t>
            </w:r>
          </w:p>
        </w:tc>
        <w:tc>
          <w:tcPr>
            <w:tcW w:w="214" w:type="dxa"/>
            <w:tcBorders/>
            <w:shd w:fill="CFF0FC" w:val="clear"/>
            <w:vAlign w:val="center"/>
          </w:tcPr>
          <w:p>
            <w:pPr>
              <w:pStyle w:val="TableContents"/>
              <w:bidi w:val="0"/>
              <w:spacing w:before="0" w:after="283"/>
              <w:jc w:val="left"/>
              <w:rPr/>
            </w:pPr>
            <w:r>
              <w:rPr/>
              <w:t> </w:t>
            </w:r>
          </w:p>
        </w:tc>
      </w:tr>
      <w:tr>
        <w:trPr/>
        <w:tc>
          <w:tcPr>
            <w:tcW w:w="233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Repayments/sales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(33,317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4"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(34,453</w:t>
            </w:r>
          </w:p>
        </w:tc>
        <w:tc>
          <w:tcPr>
            <w:tcW w:w="21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3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Purchases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18,206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4" w:type="dxa"/>
            <w:tcBorders/>
            <w:shd w:fill="CFF0FC" w:val="clear"/>
            <w:vAlign w:val="center"/>
          </w:tcPr>
          <w:p>
            <w:pPr>
              <w:pStyle w:val="TableContents"/>
              <w:bidi w:val="0"/>
              <w:spacing w:before="0" w:after="283"/>
              <w:jc w:val="left"/>
              <w:rPr/>
            </w:pPr>
            <w:r>
              <w:rPr/>
              <w:t> </w:t>
            </w:r>
          </w:p>
        </w:tc>
        <w:tc>
          <w:tcPr>
            <w:tcW w:w="11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18,308</w:t>
            </w:r>
          </w:p>
        </w:tc>
        <w:tc>
          <w:tcPr>
            <w:tcW w:w="214" w:type="dxa"/>
            <w:tcBorders/>
            <w:shd w:fill="CFF0FC" w:val="clear"/>
            <w:vAlign w:val="center"/>
          </w:tcPr>
          <w:p>
            <w:pPr>
              <w:pStyle w:val="TableContents"/>
              <w:bidi w:val="0"/>
              <w:spacing w:before="0" w:after="283"/>
              <w:jc w:val="left"/>
              <w:rPr/>
            </w:pPr>
            <w:r>
              <w:rPr/>
              <w:t> </w:t>
            </w:r>
          </w:p>
        </w:tc>
      </w:tr>
      <w:tr>
        <w:trPr/>
        <w:tc>
          <w:tcPr>
            <w:tcW w:w="233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Payment-in-kind interest and dividends accrued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4"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1,157</w:t>
            </w:r>
          </w:p>
        </w:tc>
        <w:tc>
          <w:tcPr>
            <w:tcW w:w="214" w:type="dxa"/>
            <w:tcBorders/>
            <w:shd w:fill="FFFFFF" w:val="clear"/>
            <w:vAlign w:val="center"/>
          </w:tcPr>
          <w:p>
            <w:pPr>
              <w:pStyle w:val="TableContents"/>
              <w:bidi w:val="0"/>
              <w:spacing w:before="0" w:after="283"/>
              <w:jc w:val="left"/>
              <w:rPr/>
            </w:pPr>
            <w:r>
              <w:rPr/>
              <w:t> </w:t>
            </w:r>
          </w:p>
        </w:tc>
      </w:tr>
      <w:tr>
        <w:trPr/>
        <w:tc>
          <w:tcPr>
            <w:tcW w:w="233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Accretion of original issue discount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4" w:type="dxa"/>
            <w:tcBorders/>
            <w:shd w:fill="CFF0FC" w:val="clear"/>
            <w:vAlign w:val="center"/>
          </w:tcPr>
          <w:p>
            <w:pPr>
              <w:pStyle w:val="TableContents"/>
              <w:bidi w:val="0"/>
              <w:spacing w:before="0" w:after="283"/>
              <w:jc w:val="left"/>
              <w:rPr/>
            </w:pPr>
            <w:r>
              <w:rPr/>
              <w:t> </w:t>
            </w:r>
          </w:p>
        </w:tc>
        <w:tc>
          <w:tcPr>
            <w:tcW w:w="112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1,055</w:t>
            </w:r>
          </w:p>
        </w:tc>
        <w:tc>
          <w:tcPr>
            <w:tcW w:w="214" w:type="dxa"/>
            <w:tcBorders/>
            <w:shd w:fill="CFF0FC" w:val="clear"/>
            <w:vAlign w:val="center"/>
          </w:tcPr>
          <w:p>
            <w:pPr>
              <w:pStyle w:val="TableContents"/>
              <w:bidi w:val="0"/>
              <w:spacing w:before="0" w:after="283"/>
              <w:jc w:val="left"/>
              <w:rPr/>
            </w:pPr>
            <w:r>
              <w:rPr/>
              <w:t> </w:t>
            </w:r>
          </w:p>
        </w:tc>
      </w:tr>
      <w:tr>
        <w:trPr/>
        <w:tc>
          <w:tcPr>
            <w:tcW w:w="233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realized (loss) gain on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4"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(4,274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(3,963</w:t>
            </w:r>
          </w:p>
        </w:tc>
        <w:tc>
          <w:tcPr>
            <w:tcW w:w="21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3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change in unrealized (depreciation) appreciation on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(1,565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84" w:type="dxa"/>
            <w:tcBorders/>
            <w:shd w:fill="CFF0FC" w:val="clear"/>
            <w:vAlign w:val="center"/>
          </w:tcPr>
          <w:p>
            <w:pPr>
              <w:pStyle w:val="TableContents"/>
              <w:bidi w:val="0"/>
              <w:spacing w:before="0" w:after="283"/>
              <w:jc w:val="left"/>
              <w:rPr/>
            </w:pPr>
            <w:r>
              <w:rPr/>
              <w:t> </w:t>
            </w:r>
          </w:p>
        </w:tc>
        <w:tc>
          <w:tcPr>
            <w:tcW w:w="112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1,335</w:t>
            </w:r>
          </w:p>
        </w:tc>
        <w:tc>
          <w:tcPr>
            <w:tcW w:w="214" w:type="dxa"/>
            <w:tcBorders/>
            <w:shd w:fill="CFF0FC" w:val="clear"/>
            <w:vAlign w:val="center"/>
          </w:tcPr>
          <w:p>
            <w:pPr>
              <w:pStyle w:val="TableContents"/>
              <w:bidi w:val="0"/>
              <w:spacing w:before="0" w:after="283"/>
              <w:jc w:val="left"/>
              <w:rPr/>
            </w:pPr>
            <w:r>
              <w:rPr/>
              <w:t> </w:t>
            </w:r>
          </w:p>
        </w:tc>
      </w:tr>
      <w:tr>
        <w:trPr/>
        <w:tc>
          <w:tcPr>
            <w:tcW w:w="233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Transfers out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3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as of September 30, 2023</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121,263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24,728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30,990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186,628</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b w:val="false"/>
          <w:color w:val="000000"/>
          <w:sz w:val="16"/>
        </w:rPr>
      </w:pPr>
      <w:r>
        <w:rPr>
          <w:rFonts w:ascii="Times New Roman" w:hAnsi="Times New Roman"/>
          <w:b w:val="false"/>
          <w:color w:val="000000"/>
          <w:sz w:val="16"/>
        </w:rPr>
        <w:t>The following table provides a reconciliation of the beginning and ending balances for investments that use Level 3 inputs for the nine months ended September 30, 2022 (dollars in thousands):</w:t>
      </w:r>
    </w:p>
    <w:tbl>
      <w:tblPr>
        <w:tblW w:w="10205" w:type="dxa"/>
        <w:jc w:val="left"/>
        <w:tblInd w:w="0" w:type="dxa"/>
        <w:tblLayout w:type="fixed"/>
        <w:tblCellMar>
          <w:top w:w="28" w:type="dxa"/>
          <w:left w:w="28" w:type="dxa"/>
          <w:bottom w:w="28" w:type="dxa"/>
          <w:right w:w="28" w:type="dxa"/>
        </w:tblCellMar>
      </w:tblPr>
      <w:tblGrid>
        <w:gridCol w:w="2221"/>
        <w:gridCol w:w="146"/>
        <w:gridCol w:w="196"/>
        <w:gridCol w:w="691"/>
        <w:gridCol w:w="166"/>
        <w:gridCol w:w="146"/>
        <w:gridCol w:w="203"/>
        <w:gridCol w:w="684"/>
        <w:gridCol w:w="166"/>
        <w:gridCol w:w="146"/>
        <w:gridCol w:w="265"/>
        <w:gridCol w:w="816"/>
        <w:gridCol w:w="166"/>
        <w:gridCol w:w="146"/>
        <w:gridCol w:w="406"/>
        <w:gridCol w:w="1060"/>
        <w:gridCol w:w="166"/>
        <w:gridCol w:w="146"/>
        <w:gridCol w:w="196"/>
        <w:gridCol w:w="661"/>
        <w:gridCol w:w="166"/>
        <w:gridCol w:w="146"/>
        <w:gridCol w:w="196"/>
        <w:gridCol w:w="691"/>
        <w:gridCol w:w="213"/>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Lien</w:t>
              <w:br/>
              <w:t>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Lien</w:t>
              <w:br/>
              <w:t>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Subordinated</w:t>
              <w:br/>
              <w:t>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Collateralized Loan Obligations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as of January 1, 2022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98,251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8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30,190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6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56,981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198,189</w:t>
            </w:r>
          </w:p>
        </w:tc>
        <w:tc>
          <w:tcPr>
            <w:tcW w:w="213"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Repayments/sales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(38,842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(24,429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6"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(19,749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(83,697</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22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Purchases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58,674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21,272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6" w:type="dxa"/>
            <w:tcBorders/>
            <w:shd w:fill="CFF0FC" w:val="clear"/>
            <w:vAlign w:val="center"/>
          </w:tcPr>
          <w:p>
            <w:pPr>
              <w:pStyle w:val="TableContents"/>
              <w:bidi w:val="0"/>
              <w:spacing w:before="0" w:after="283"/>
              <w:jc w:val="left"/>
              <w:rPr/>
            </w:pPr>
            <w:r>
              <w:rPr/>
              <w:t> </w:t>
            </w:r>
          </w:p>
        </w:tc>
        <w:tc>
          <w:tcPr>
            <w:tcW w:w="106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83,414</w:t>
            </w:r>
          </w:p>
        </w:tc>
        <w:tc>
          <w:tcPr>
            <w:tcW w:w="213"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Payment-in-kind interest and dividends accrued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6"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737</w:t>
            </w:r>
          </w:p>
        </w:tc>
        <w:tc>
          <w:tcPr>
            <w:tcW w:w="213"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Accretion of original issue discount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6" w:type="dxa"/>
            <w:tcBorders/>
            <w:shd w:fill="CFF0FC" w:val="clear"/>
            <w:vAlign w:val="center"/>
          </w:tcPr>
          <w:p>
            <w:pPr>
              <w:pStyle w:val="TableContents"/>
              <w:bidi w:val="0"/>
              <w:spacing w:before="0" w:after="283"/>
              <w:jc w:val="left"/>
              <w:rPr/>
            </w:pPr>
            <w:r>
              <w:rPr/>
              <w:t> </w:t>
            </w:r>
          </w:p>
        </w:tc>
        <w:tc>
          <w:tcPr>
            <w:tcW w:w="106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1,255</w:t>
            </w:r>
          </w:p>
        </w:tc>
        <w:tc>
          <w:tcPr>
            <w:tcW w:w="213"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realized gain (loss) on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6"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11,194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10,274</w:t>
            </w:r>
          </w:p>
        </w:tc>
        <w:tc>
          <w:tcPr>
            <w:tcW w:w="213"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change in unrealized (depreciation) appreciation on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(16,063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(17,322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2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as of September 30, 2022</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119,426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26,096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6,664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32,891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192,850</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val="false"/>
          <w:color w:val="000000"/>
          <w:sz w:val="16"/>
        </w:rPr>
        <w:t>The net change in unrealized appreciation (depreciation) on investments held was $0.4</w:t>
      </w:r>
      <w:r>
        <w:rPr>
          <w:rFonts w:ascii="Times New Roman" w:hAnsi="Times New Roman"/>
          <w:color w:val="000000"/>
          <w:sz w:val="20"/>
        </w:rPr>
        <w:t xml:space="preserve"> </w:t>
      </w:r>
      <w:r>
        <w:rPr>
          <w:rFonts w:ascii="Times New Roman" w:hAnsi="Times New Roman"/>
          <w:b w:val="false"/>
          <w:color w:val="000000"/>
          <w:sz w:val="16"/>
        </w:rPr>
        <w:t>million</w:t>
      </w:r>
      <w:r>
        <w:rPr>
          <w:rFonts w:ascii="Times New Roman" w:hAnsi="Times New Roman"/>
          <w:color w:val="000000"/>
          <w:sz w:val="20"/>
        </w:rPr>
        <w:t xml:space="preserve"> </w:t>
      </w:r>
      <w:r>
        <w:rPr>
          <w:rFonts w:ascii="Times New Roman" w:hAnsi="Times New Roman"/>
          <w:b w:val="false"/>
          <w:color w:val="000000"/>
          <w:sz w:val="16"/>
        </w:rPr>
        <w:t>and $(17.3) million</w:t>
      </w:r>
      <w:r>
        <w:rPr>
          <w:rFonts w:ascii="Times New Roman" w:hAnsi="Times New Roman"/>
          <w:color w:val="000000"/>
          <w:sz w:val="20"/>
        </w:rPr>
        <w:t xml:space="preserve"> </w:t>
      </w:r>
      <w:r>
        <w:rPr>
          <w:rFonts w:ascii="Times New Roman" w:hAnsi="Times New Roman"/>
          <w:b w:val="false"/>
          <w:color w:val="000000"/>
          <w:sz w:val="16"/>
        </w:rPr>
        <w:t>for the nine months ended September 30, 2023 and 2022, respectively, and is included in net change in unrealized depreciation on investments on the consolidated statements of operations.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September 30,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The valuation techniques and significant unobservable inputs used in recurring Level 3 fair value measurements of assets as of September 30, 2023 were as follows:</w:t>
      </w:r>
    </w:p>
    <w:tbl>
      <w:tblPr>
        <w:tblW w:w="10205" w:type="dxa"/>
        <w:jc w:val="left"/>
        <w:tblInd w:w="0" w:type="dxa"/>
        <w:tblLayout w:type="fixed"/>
        <w:tblCellMar>
          <w:top w:w="28" w:type="dxa"/>
          <w:left w:w="28" w:type="dxa"/>
          <w:bottom w:w="28" w:type="dxa"/>
          <w:right w:w="28" w:type="dxa"/>
        </w:tblCellMar>
      </w:tblPr>
      <w:tblGrid>
        <w:gridCol w:w="2297"/>
        <w:gridCol w:w="146"/>
        <w:gridCol w:w="265"/>
        <w:gridCol w:w="691"/>
        <w:gridCol w:w="146"/>
        <w:gridCol w:w="146"/>
        <w:gridCol w:w="2606"/>
        <w:gridCol w:w="146"/>
        <w:gridCol w:w="1778"/>
        <w:gridCol w:w="146"/>
        <w:gridCol w:w="1838"/>
      </w:tblGrid>
      <w:tr>
        <w:trPr/>
        <w:tc>
          <w:tcPr>
            <w:tcW w:w="2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r>
      <w:tr>
        <w:trPr/>
        <w:tc>
          <w:tcPr>
            <w:tcW w:w="22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Valuation </w:t>
              <w:br/>
              <w:t>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br/>
              <w:t>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Range of Input</w:t>
              <w:br/>
              <w:t> (Weighted Average)</w:t>
            </w:r>
            <w:r>
              <w:rPr>
                <w:rFonts w:ascii="Times New Roman" w:hAnsi="Times New Roman"/>
                <w:b/>
                <w:color w:val="000000"/>
                <w:sz w:val="11"/>
              </w:rPr>
              <w:t>(2)</w:t>
            </w:r>
          </w:p>
        </w:tc>
      </w:tr>
      <w:tr>
        <w:trPr/>
        <w:tc>
          <w:tcPr>
            <w:tcW w:w="229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Market</w:t>
            </w:r>
          </w:p>
        </w:tc>
        <w:tc>
          <w:tcPr>
            <w:tcW w:w="146" w:type="dxa"/>
            <w:tcBorders/>
            <w:shd w:fill="CFF0FC" w:val="clear"/>
            <w:vAlign w:val="center"/>
          </w:tcPr>
          <w:p>
            <w:pPr>
              <w:pStyle w:val="TableContents"/>
              <w:bidi w:val="0"/>
              <w:spacing w:before="0" w:after="283"/>
              <w:jc w:val="left"/>
              <w:rPr/>
            </w:pPr>
            <w:r>
              <w:rPr/>
              <w:t> </w:t>
            </w:r>
          </w:p>
        </w:tc>
        <w:tc>
          <w:tcPr>
            <w:tcW w:w="177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Broker/Dealer Quotes</w:t>
            </w:r>
          </w:p>
        </w:tc>
        <w:tc>
          <w:tcPr>
            <w:tcW w:w="146" w:type="dxa"/>
            <w:tcBorders/>
            <w:shd w:fill="CFF0FC" w:val="clear"/>
            <w:vAlign w:val="center"/>
          </w:tcPr>
          <w:p>
            <w:pPr>
              <w:pStyle w:val="TableContents"/>
              <w:bidi w:val="0"/>
              <w:spacing w:before="0" w:after="283"/>
              <w:jc w:val="left"/>
              <w:rPr/>
            </w:pPr>
            <w:r>
              <w:rPr/>
              <w:t> </w:t>
            </w:r>
          </w:p>
        </w:tc>
        <w:tc>
          <w:tcPr>
            <w:tcW w:w="183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N/A</w:t>
            </w:r>
          </w:p>
        </w:tc>
      </w:tr>
      <w:tr>
        <w:trPr/>
        <w:tc>
          <w:tcPr>
            <w:tcW w:w="229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First lien debt</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Income</w:t>
            </w:r>
          </w:p>
        </w:tc>
        <w:tc>
          <w:tcPr>
            <w:tcW w:w="146" w:type="dxa"/>
            <w:tcBorders/>
            <w:shd w:fill="FFFFFF" w:val="clear"/>
            <w:vAlign w:val="center"/>
          </w:tcPr>
          <w:p>
            <w:pPr>
              <w:pStyle w:val="TableContents"/>
              <w:bidi w:val="0"/>
              <w:spacing w:before="0" w:after="283"/>
              <w:jc w:val="left"/>
              <w:rPr/>
            </w:pPr>
            <w:r>
              <w:rPr/>
              <w:t> </w:t>
            </w:r>
          </w:p>
        </w:tc>
        <w:tc>
          <w:tcPr>
            <w:tcW w:w="177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Required Rate of Return</w:t>
            </w:r>
          </w:p>
        </w:tc>
        <w:tc>
          <w:tcPr>
            <w:tcW w:w="146"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6.5% – 30.0% (12.8%)</w:t>
            </w:r>
          </w:p>
        </w:tc>
      </w:tr>
      <w:tr>
        <w:trPr/>
        <w:tc>
          <w:tcPr>
            <w:tcW w:w="229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Enterprise Market Value</w:t>
            </w:r>
          </w:p>
        </w:tc>
        <w:tc>
          <w:tcPr>
            <w:tcW w:w="146" w:type="dxa"/>
            <w:tcBorders/>
            <w:shd w:fill="CFF0FC" w:val="clear"/>
            <w:vAlign w:val="center"/>
          </w:tcPr>
          <w:p>
            <w:pPr>
              <w:pStyle w:val="TableContents"/>
              <w:bidi w:val="0"/>
              <w:spacing w:before="0" w:after="283"/>
              <w:jc w:val="left"/>
              <w:rPr/>
            </w:pPr>
            <w:r>
              <w:rPr/>
              <w:t> </w:t>
            </w:r>
          </w:p>
        </w:tc>
        <w:tc>
          <w:tcPr>
            <w:tcW w:w="177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Revenue Multiple</w:t>
            </w:r>
          </w:p>
        </w:tc>
        <w:tc>
          <w:tcPr>
            <w:tcW w:w="146" w:type="dxa"/>
            <w:tcBorders/>
            <w:shd w:fill="CFF0FC" w:val="clear"/>
            <w:vAlign w:val="center"/>
          </w:tcPr>
          <w:p>
            <w:pPr>
              <w:pStyle w:val="TableContents"/>
              <w:bidi w:val="0"/>
              <w:spacing w:before="0" w:after="283"/>
              <w:jc w:val="left"/>
              <w:rPr/>
            </w:pPr>
            <w:r>
              <w:rPr/>
              <w:t> </w:t>
            </w:r>
          </w:p>
        </w:tc>
        <w:tc>
          <w:tcPr>
            <w:tcW w:w="183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0.4x</w:t>
            </w:r>
          </w:p>
        </w:tc>
      </w:tr>
      <w:tr>
        <w:trPr/>
        <w:tc>
          <w:tcPr>
            <w:tcW w:w="229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Market</w:t>
            </w:r>
          </w:p>
        </w:tc>
        <w:tc>
          <w:tcPr>
            <w:tcW w:w="146" w:type="dxa"/>
            <w:tcBorders/>
            <w:shd w:fill="FFFFFF" w:val="clear"/>
            <w:vAlign w:val="center"/>
          </w:tcPr>
          <w:p>
            <w:pPr>
              <w:pStyle w:val="TableContents"/>
              <w:bidi w:val="0"/>
              <w:spacing w:before="0" w:after="283"/>
              <w:jc w:val="left"/>
              <w:rPr/>
            </w:pPr>
            <w:r>
              <w:rPr/>
              <w:t> </w:t>
            </w:r>
          </w:p>
        </w:tc>
        <w:tc>
          <w:tcPr>
            <w:tcW w:w="177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Broker/Dealer Quotes</w:t>
            </w:r>
          </w:p>
        </w:tc>
        <w:tc>
          <w:tcPr>
            <w:tcW w:w="146"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N/A</w:t>
            </w:r>
          </w:p>
        </w:tc>
      </w:tr>
      <w:tr>
        <w:trPr/>
        <w:tc>
          <w:tcPr>
            <w:tcW w:w="229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Second lien debt</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Income</w:t>
            </w:r>
          </w:p>
        </w:tc>
        <w:tc>
          <w:tcPr>
            <w:tcW w:w="146" w:type="dxa"/>
            <w:tcBorders/>
            <w:shd w:fill="CFF0FC" w:val="clear"/>
            <w:vAlign w:val="center"/>
          </w:tcPr>
          <w:p>
            <w:pPr>
              <w:pStyle w:val="TableContents"/>
              <w:bidi w:val="0"/>
              <w:spacing w:before="0" w:after="283"/>
              <w:jc w:val="left"/>
              <w:rPr/>
            </w:pPr>
            <w:r>
              <w:rPr/>
              <w:t> </w:t>
            </w:r>
          </w:p>
        </w:tc>
        <w:tc>
          <w:tcPr>
            <w:tcW w:w="177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Required Rate of Return</w:t>
            </w:r>
          </w:p>
        </w:tc>
        <w:tc>
          <w:tcPr>
            <w:tcW w:w="146" w:type="dxa"/>
            <w:tcBorders/>
            <w:shd w:fill="CFF0FC" w:val="clear"/>
            <w:vAlign w:val="center"/>
          </w:tcPr>
          <w:p>
            <w:pPr>
              <w:pStyle w:val="TableContents"/>
              <w:bidi w:val="0"/>
              <w:spacing w:before="0" w:after="283"/>
              <w:jc w:val="left"/>
              <w:rPr/>
            </w:pPr>
            <w:r>
              <w:rPr/>
              <w:t> </w:t>
            </w:r>
          </w:p>
        </w:tc>
        <w:tc>
          <w:tcPr>
            <w:tcW w:w="183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2.2% – 20.1% (16.3%)</w:t>
            </w:r>
          </w:p>
        </w:tc>
      </w:tr>
      <w:tr>
        <w:trPr/>
        <w:tc>
          <w:tcPr>
            <w:tcW w:w="229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Subordinated debt</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Income</w:t>
            </w:r>
          </w:p>
        </w:tc>
        <w:tc>
          <w:tcPr>
            <w:tcW w:w="146" w:type="dxa"/>
            <w:tcBorders/>
            <w:shd w:fill="FFFFFF" w:val="clear"/>
            <w:vAlign w:val="center"/>
          </w:tcPr>
          <w:p>
            <w:pPr>
              <w:pStyle w:val="TableContents"/>
              <w:bidi w:val="0"/>
              <w:spacing w:before="0" w:after="283"/>
              <w:jc w:val="left"/>
              <w:rPr/>
            </w:pPr>
            <w:r>
              <w:rPr/>
              <w:t> </w:t>
            </w:r>
          </w:p>
        </w:tc>
        <w:tc>
          <w:tcPr>
            <w:tcW w:w="177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Required Rate of Return</w:t>
            </w:r>
          </w:p>
        </w:tc>
        <w:tc>
          <w:tcPr>
            <w:tcW w:w="146"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5.8% – 11.0% (9.9%)</w:t>
            </w:r>
          </w:p>
        </w:tc>
      </w:tr>
      <w:tr>
        <w:trPr/>
        <w:tc>
          <w:tcPr>
            <w:tcW w:w="229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Enterprise Market Value</w:t>
            </w:r>
          </w:p>
        </w:tc>
        <w:tc>
          <w:tcPr>
            <w:tcW w:w="146" w:type="dxa"/>
            <w:tcBorders/>
            <w:shd w:fill="CFF0FC" w:val="clear"/>
            <w:vAlign w:val="center"/>
          </w:tcPr>
          <w:p>
            <w:pPr>
              <w:pStyle w:val="TableContents"/>
              <w:bidi w:val="0"/>
              <w:spacing w:before="0" w:after="283"/>
              <w:jc w:val="left"/>
              <w:rPr/>
            </w:pPr>
            <w:r>
              <w:rPr/>
              <w:t> </w:t>
            </w:r>
          </w:p>
        </w:tc>
        <w:tc>
          <w:tcPr>
            <w:tcW w:w="177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EBITDA Multiple</w:t>
            </w:r>
          </w:p>
        </w:tc>
        <w:tc>
          <w:tcPr>
            <w:tcW w:w="146" w:type="dxa"/>
            <w:tcBorders/>
            <w:shd w:fill="CFF0FC" w:val="clear"/>
            <w:vAlign w:val="center"/>
          </w:tcPr>
          <w:p>
            <w:pPr>
              <w:pStyle w:val="TableContents"/>
              <w:bidi w:val="0"/>
              <w:spacing w:before="0" w:after="283"/>
              <w:jc w:val="left"/>
              <w:rPr/>
            </w:pPr>
            <w:r>
              <w:rPr/>
              <w:t> </w:t>
            </w:r>
          </w:p>
        </w:tc>
        <w:tc>
          <w:tcPr>
            <w:tcW w:w="183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7.0x</w:t>
            </w:r>
          </w:p>
        </w:tc>
      </w:tr>
      <w:tr>
        <w:trPr/>
        <w:tc>
          <w:tcPr>
            <w:tcW w:w="229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Collateralized Loan Obligations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Income</w:t>
            </w:r>
          </w:p>
        </w:tc>
        <w:tc>
          <w:tcPr>
            <w:tcW w:w="146" w:type="dxa"/>
            <w:tcBorders/>
            <w:shd w:fill="FFFFFF" w:val="clear"/>
            <w:vAlign w:val="center"/>
          </w:tcPr>
          <w:p>
            <w:pPr>
              <w:pStyle w:val="TableContents"/>
              <w:bidi w:val="0"/>
              <w:spacing w:before="0" w:after="283"/>
              <w:jc w:val="left"/>
              <w:rPr/>
            </w:pPr>
            <w:r>
              <w:rPr/>
              <w:t> </w:t>
            </w:r>
          </w:p>
        </w:tc>
        <w:tc>
          <w:tcPr>
            <w:tcW w:w="177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Discount Margin</w:t>
            </w:r>
          </w:p>
        </w:tc>
        <w:tc>
          <w:tcPr>
            <w:tcW w:w="146"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23.3% – 24.9% (24.5%)</w:t>
            </w:r>
          </w:p>
        </w:tc>
      </w:tr>
      <w:tr>
        <w:trPr/>
        <w:tc>
          <w:tcPr>
            <w:tcW w:w="229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Equity</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Income</w:t>
            </w:r>
          </w:p>
        </w:tc>
        <w:tc>
          <w:tcPr>
            <w:tcW w:w="146" w:type="dxa"/>
            <w:tcBorders/>
            <w:shd w:fill="CFF0FC" w:val="clear"/>
            <w:vAlign w:val="center"/>
          </w:tcPr>
          <w:p>
            <w:pPr>
              <w:pStyle w:val="TableContents"/>
              <w:bidi w:val="0"/>
              <w:spacing w:before="0" w:after="283"/>
              <w:jc w:val="left"/>
              <w:rPr/>
            </w:pPr>
            <w:r>
              <w:rPr/>
              <w:t> </w:t>
            </w:r>
          </w:p>
        </w:tc>
        <w:tc>
          <w:tcPr>
            <w:tcW w:w="177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 Price</w:t>
              <w:br/>
              <w:t>Time to Exit (Years)</w:t>
              <w:br/>
              <w:t>Volatility</w:t>
            </w:r>
          </w:p>
        </w:tc>
        <w:tc>
          <w:tcPr>
            <w:tcW w:w="146" w:type="dxa"/>
            <w:tcBorders/>
            <w:shd w:fill="CFF0FC" w:val="clear"/>
            <w:vAlign w:val="center"/>
          </w:tcPr>
          <w:p>
            <w:pPr>
              <w:pStyle w:val="TableContents"/>
              <w:bidi w:val="0"/>
              <w:spacing w:before="0" w:after="283"/>
              <w:jc w:val="left"/>
              <w:rPr/>
            </w:pPr>
            <w:r>
              <w:rPr/>
              <w:t> </w:t>
            </w:r>
          </w:p>
        </w:tc>
        <w:tc>
          <w:tcPr>
            <w:tcW w:w="183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$103.75</w:t>
              <w:br/>
              <w:t>2.0</w:t>
              <w:br/>
              <w:t>35.0%</w:t>
            </w:r>
          </w:p>
        </w:tc>
      </w:tr>
      <w:tr>
        <w:trPr/>
        <w:tc>
          <w:tcPr>
            <w:tcW w:w="229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Enterprise Market Value and Asset</w:t>
            </w:r>
            <w:r>
              <w:rPr>
                <w:rFonts w:ascii="Times New Roman" w:hAnsi="Times New Roman"/>
                <w:b w:val="false"/>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177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EBITDA Multiple</w:t>
            </w:r>
          </w:p>
        </w:tc>
        <w:tc>
          <w:tcPr>
            <w:tcW w:w="146"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2.3x – 17.3x (6.7x)</w:t>
            </w:r>
          </w:p>
        </w:tc>
      </w:tr>
      <w:tr>
        <w:trPr/>
        <w:tc>
          <w:tcPr>
            <w:tcW w:w="229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Equity</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Enterprise Market Value</w:t>
            </w:r>
          </w:p>
        </w:tc>
        <w:tc>
          <w:tcPr>
            <w:tcW w:w="146" w:type="dxa"/>
            <w:tcBorders/>
            <w:shd w:fill="CFF0FC" w:val="clear"/>
            <w:vAlign w:val="center"/>
          </w:tcPr>
          <w:p>
            <w:pPr>
              <w:pStyle w:val="TableContents"/>
              <w:bidi w:val="0"/>
              <w:spacing w:before="0" w:after="283"/>
              <w:jc w:val="left"/>
              <w:rPr/>
            </w:pPr>
            <w:r>
              <w:rPr/>
              <w:t> </w:t>
            </w:r>
          </w:p>
        </w:tc>
        <w:tc>
          <w:tcPr>
            <w:tcW w:w="177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Revenue Multiple</w:t>
            </w:r>
          </w:p>
        </w:tc>
        <w:tc>
          <w:tcPr>
            <w:tcW w:w="146" w:type="dxa"/>
            <w:tcBorders/>
            <w:shd w:fill="CFF0FC" w:val="clear"/>
            <w:vAlign w:val="center"/>
          </w:tcPr>
          <w:p>
            <w:pPr>
              <w:pStyle w:val="TableContents"/>
              <w:bidi w:val="0"/>
              <w:spacing w:before="0" w:after="283"/>
              <w:jc w:val="left"/>
              <w:rPr/>
            </w:pPr>
            <w:r>
              <w:rPr/>
              <w:t> </w:t>
            </w:r>
          </w:p>
        </w:tc>
        <w:tc>
          <w:tcPr>
            <w:tcW w:w="183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0.3x – 1.2x (1.0x)</w:t>
            </w:r>
          </w:p>
        </w:tc>
      </w:tr>
      <w:tr>
        <w:trPr/>
        <w:tc>
          <w:tcPr>
            <w:tcW w:w="229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left"/>
              <w:rPr/>
            </w:pPr>
            <w:r>
              <w:rPr/>
              <w:t> </w:t>
            </w:r>
          </w:p>
        </w:tc>
      </w:tr>
    </w:tbl>
    <w:p>
      <w:pPr>
        <w:pStyle w:val="TextBody"/>
        <w:pBdr>
          <w:top w:val="single" w:sz="6" w:space="1" w:color="000000"/>
        </w:pBdr>
        <w:bidi w:val="0"/>
        <w:spacing w:before="120" w:after="283"/>
        <w:jc w:val="both"/>
        <w:rPr/>
      </w:pPr>
      <w:r>
        <w:rPr/>
        <w:t> </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(1)</w:t>
      </w:r>
    </w:p>
    <w:p>
      <w:pPr>
        <w:pStyle w:val="TextBody"/>
        <w:bidi w:val="0"/>
        <w:spacing w:before="0" w:after="0"/>
        <w:jc w:val="both"/>
        <w:rPr>
          <w:rFonts w:ascii="Times New Roman" w:hAnsi="Times New Roman"/>
          <w:sz w:val="16"/>
        </w:rPr>
      </w:pPr>
      <w:r>
        <w:rPr>
          <w:rFonts w:ascii="Times New Roman" w:hAnsi="Times New Roman"/>
          <w:b w:val="false"/>
          <w:color w:val="000000"/>
          <w:sz w:val="14"/>
        </w:rPr>
        <w:t>$1.0</w:t>
      </w:r>
      <w:r>
        <w:rPr>
          <w:rFonts w:ascii="Times New Roman" w:hAnsi="Times New Roman"/>
          <w:color w:val="000000"/>
          <w:sz w:val="16"/>
        </w:rPr>
        <w:t xml:space="preserve"> </w:t>
      </w:r>
      <w:r>
        <w:rPr>
          <w:rFonts w:ascii="Times New Roman" w:hAnsi="Times New Roman"/>
          <w:b w:val="false"/>
          <w:color w:val="000000"/>
          <w:sz w:val="14"/>
        </w:rPr>
        <w:t>million</w:t>
      </w:r>
      <w:r>
        <w:rPr>
          <w:rFonts w:ascii="Times New Roman" w:hAnsi="Times New Roman"/>
          <w:color w:val="000000"/>
          <w:sz w:val="16"/>
        </w:rPr>
        <w:t xml:space="preserve"> </w:t>
      </w:r>
      <w:r>
        <w:rPr>
          <w:rFonts w:ascii="Times New Roman" w:hAnsi="Times New Roman"/>
          <w:b w:val="false"/>
          <w:color w:val="000000"/>
          <w:sz w:val="14"/>
        </w:rPr>
        <w:t>in equity was valued using the asset approach.</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(2)</w:t>
      </w:r>
    </w:p>
    <w:p>
      <w:pPr>
        <w:pStyle w:val="TextBody"/>
        <w:bidi w:val="0"/>
        <w:jc w:val="both"/>
        <w:rPr>
          <w:rFonts w:ascii="Times New Roman" w:hAnsi="Times New Roman"/>
          <w:b w:val="false"/>
          <w:color w:val="000000"/>
          <w:sz w:val="14"/>
        </w:rPr>
      </w:pPr>
      <w:r>
        <w:rPr>
          <w:rFonts w:ascii="Times New Roman" w:hAnsi="Times New Roman"/>
          <w:b w:val="false"/>
          <w:color w:val="000000"/>
          <w:sz w:val="14"/>
        </w:rPr>
        <w:t>The weighted averages disclosed in the table above were weighted by their relative fair value.</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The valuation techniques and significant unobservable inputs used in recurring Level 3 fair value measurements of assets as of December 31, 2022 were as follows:</w:t>
      </w:r>
    </w:p>
    <w:tbl>
      <w:tblPr>
        <w:tblW w:w="10169" w:type="dxa"/>
        <w:jc w:val="left"/>
        <w:tblInd w:w="0" w:type="dxa"/>
        <w:tblLayout w:type="fixed"/>
        <w:tblCellMar>
          <w:top w:w="28" w:type="dxa"/>
          <w:left w:w="28" w:type="dxa"/>
          <w:bottom w:w="28" w:type="dxa"/>
          <w:right w:w="28" w:type="dxa"/>
        </w:tblCellMar>
      </w:tblPr>
      <w:tblGrid>
        <w:gridCol w:w="2221"/>
        <w:gridCol w:w="146"/>
        <w:gridCol w:w="266"/>
        <w:gridCol w:w="694"/>
        <w:gridCol w:w="146"/>
        <w:gridCol w:w="146"/>
        <w:gridCol w:w="2626"/>
        <w:gridCol w:w="146"/>
        <w:gridCol w:w="1786"/>
        <w:gridCol w:w="146"/>
        <w:gridCol w:w="1846"/>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Valuation </w:t>
              <w:br/>
              <w:t>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br/>
              <w:t>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Range of Input</w:t>
              <w:br/>
              <w:t> (Weighted Average)</w:t>
            </w:r>
            <w:r>
              <w:rPr>
                <w:rFonts w:ascii="Times New Roman" w:hAnsi="Times New Roman"/>
                <w:b/>
                <w:color w:val="000000"/>
                <w:sz w:val="11"/>
              </w:rPr>
              <w:t>(2)</w:t>
            </w:r>
          </w:p>
        </w:tc>
      </w:tr>
      <w:tr>
        <w:trPr/>
        <w:tc>
          <w:tcPr>
            <w:tcW w:w="22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First lien debt</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Market</w:t>
            </w:r>
          </w:p>
        </w:tc>
        <w:tc>
          <w:tcPr>
            <w:tcW w:w="146" w:type="dxa"/>
            <w:tcBorders/>
            <w:shd w:fill="FFFFFF" w:val="clear"/>
            <w:vAlign w:val="center"/>
          </w:tcPr>
          <w:p>
            <w:pPr>
              <w:pStyle w:val="TableContents"/>
              <w:bidi w:val="0"/>
              <w:spacing w:before="0" w:after="283"/>
              <w:jc w:val="left"/>
              <w:rPr/>
            </w:pPr>
            <w:r>
              <w:rPr/>
              <w:t> </w:t>
            </w:r>
          </w:p>
        </w:tc>
        <w:tc>
          <w:tcPr>
            <w:tcW w:w="17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Broker/Dealer Quotes</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N/A</w:t>
            </w:r>
          </w:p>
        </w:tc>
      </w:tr>
      <w:tr>
        <w:trPr/>
        <w:tc>
          <w:tcPr>
            <w:tcW w:w="222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Income</w:t>
            </w:r>
          </w:p>
        </w:tc>
        <w:tc>
          <w:tcPr>
            <w:tcW w:w="146" w:type="dxa"/>
            <w:tcBorders/>
            <w:shd w:fill="CFF0FC" w:val="clear"/>
            <w:vAlign w:val="center"/>
          </w:tcPr>
          <w:p>
            <w:pPr>
              <w:pStyle w:val="TableContents"/>
              <w:bidi w:val="0"/>
              <w:spacing w:before="0" w:after="283"/>
              <w:jc w:val="left"/>
              <w:rPr/>
            </w:pPr>
            <w:r>
              <w:rPr/>
              <w:t> </w:t>
            </w:r>
          </w:p>
        </w:tc>
        <w:tc>
          <w:tcPr>
            <w:tcW w:w="17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Required Rate of Return</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6.0% – 30.0% (12.2%)</w:t>
            </w:r>
          </w:p>
        </w:tc>
      </w:tr>
      <w:tr>
        <w:trPr/>
        <w:tc>
          <w:tcPr>
            <w:tcW w:w="22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First lien debt</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Enterprise Market Value</w:t>
            </w:r>
          </w:p>
        </w:tc>
        <w:tc>
          <w:tcPr>
            <w:tcW w:w="146" w:type="dxa"/>
            <w:tcBorders/>
            <w:shd w:fill="FFFFFF" w:val="clear"/>
            <w:vAlign w:val="center"/>
          </w:tcPr>
          <w:p>
            <w:pPr>
              <w:pStyle w:val="TableContents"/>
              <w:bidi w:val="0"/>
              <w:spacing w:before="0" w:after="283"/>
              <w:jc w:val="left"/>
              <w:rPr/>
            </w:pPr>
            <w:r>
              <w:rPr/>
              <w:t> </w:t>
            </w:r>
          </w:p>
        </w:tc>
        <w:tc>
          <w:tcPr>
            <w:tcW w:w="17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Revenue Multiple</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0.4x</w:t>
            </w:r>
          </w:p>
        </w:tc>
      </w:tr>
      <w:tr>
        <w:trPr/>
        <w:tc>
          <w:tcPr>
            <w:tcW w:w="222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Second lien debt</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Market</w:t>
            </w:r>
          </w:p>
        </w:tc>
        <w:tc>
          <w:tcPr>
            <w:tcW w:w="146" w:type="dxa"/>
            <w:tcBorders/>
            <w:shd w:fill="CFF0FC" w:val="clear"/>
            <w:vAlign w:val="center"/>
          </w:tcPr>
          <w:p>
            <w:pPr>
              <w:pStyle w:val="TableContents"/>
              <w:bidi w:val="0"/>
              <w:spacing w:before="0" w:after="283"/>
              <w:jc w:val="left"/>
              <w:rPr/>
            </w:pPr>
            <w:r>
              <w:rPr/>
              <w:t> </w:t>
            </w:r>
          </w:p>
        </w:tc>
        <w:tc>
          <w:tcPr>
            <w:tcW w:w="17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Broker/Dealer Quotes</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N/A</w:t>
            </w:r>
          </w:p>
        </w:tc>
      </w:tr>
      <w:tr>
        <w:trPr/>
        <w:tc>
          <w:tcPr>
            <w:tcW w:w="22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Income</w:t>
            </w:r>
          </w:p>
        </w:tc>
        <w:tc>
          <w:tcPr>
            <w:tcW w:w="146" w:type="dxa"/>
            <w:tcBorders/>
            <w:shd w:fill="FFFFFF" w:val="clear"/>
            <w:vAlign w:val="center"/>
          </w:tcPr>
          <w:p>
            <w:pPr>
              <w:pStyle w:val="TableContents"/>
              <w:bidi w:val="0"/>
              <w:spacing w:before="0" w:after="283"/>
              <w:jc w:val="left"/>
              <w:rPr/>
            </w:pPr>
            <w:r>
              <w:rPr/>
              <w:t> </w:t>
            </w:r>
          </w:p>
        </w:tc>
        <w:tc>
          <w:tcPr>
            <w:tcW w:w="17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Required Rate of Return</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1.6% – 18.7% (16.1%)</w:t>
            </w:r>
          </w:p>
        </w:tc>
      </w:tr>
      <w:tr>
        <w:trPr/>
        <w:tc>
          <w:tcPr>
            <w:tcW w:w="222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Second lien debt</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Enterprise Market Value</w:t>
            </w:r>
          </w:p>
        </w:tc>
        <w:tc>
          <w:tcPr>
            <w:tcW w:w="146" w:type="dxa"/>
            <w:tcBorders/>
            <w:shd w:fill="CFF0FC" w:val="clear"/>
            <w:vAlign w:val="center"/>
          </w:tcPr>
          <w:p>
            <w:pPr>
              <w:pStyle w:val="TableContents"/>
              <w:bidi w:val="0"/>
              <w:spacing w:before="0" w:after="283"/>
              <w:jc w:val="left"/>
              <w:rPr/>
            </w:pPr>
            <w:r>
              <w:rPr/>
              <w:t> </w:t>
            </w:r>
          </w:p>
        </w:tc>
        <w:tc>
          <w:tcPr>
            <w:tcW w:w="17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Revenue Multiple</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4.7x</w:t>
            </w:r>
          </w:p>
        </w:tc>
      </w:tr>
      <w:tr>
        <w:trPr/>
        <w:tc>
          <w:tcPr>
            <w:tcW w:w="22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Subordinated debt</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Income</w:t>
            </w:r>
          </w:p>
        </w:tc>
        <w:tc>
          <w:tcPr>
            <w:tcW w:w="146" w:type="dxa"/>
            <w:tcBorders/>
            <w:shd w:fill="FFFFFF" w:val="clear"/>
            <w:vAlign w:val="center"/>
          </w:tcPr>
          <w:p>
            <w:pPr>
              <w:pStyle w:val="TableContents"/>
              <w:bidi w:val="0"/>
              <w:spacing w:before="0" w:after="283"/>
              <w:jc w:val="left"/>
              <w:rPr/>
            </w:pPr>
            <w:r>
              <w:rPr/>
              <w:t> </w:t>
            </w:r>
          </w:p>
        </w:tc>
        <w:tc>
          <w:tcPr>
            <w:tcW w:w="17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Required Rate of Return</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5.9% – 18.9% (10.4%)</w:t>
            </w:r>
          </w:p>
        </w:tc>
      </w:tr>
      <w:tr>
        <w:trPr/>
        <w:tc>
          <w:tcPr>
            <w:tcW w:w="222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Collateralized loan obligations</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Income</w:t>
            </w:r>
          </w:p>
        </w:tc>
        <w:tc>
          <w:tcPr>
            <w:tcW w:w="146" w:type="dxa"/>
            <w:tcBorders/>
            <w:shd w:fill="CFF0FC" w:val="clear"/>
            <w:vAlign w:val="center"/>
          </w:tcPr>
          <w:p>
            <w:pPr>
              <w:pStyle w:val="TableContents"/>
              <w:bidi w:val="0"/>
              <w:spacing w:before="0" w:after="283"/>
              <w:jc w:val="left"/>
              <w:rPr/>
            </w:pPr>
            <w:r>
              <w:rPr/>
              <w:t> </w:t>
            </w:r>
          </w:p>
        </w:tc>
        <w:tc>
          <w:tcPr>
            <w:tcW w:w="17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Discount Margin</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21.5% – 24.8% (23.6%)</w:t>
            </w:r>
          </w:p>
        </w:tc>
      </w:tr>
      <w:tr>
        <w:trPr/>
        <w:tc>
          <w:tcPr>
            <w:tcW w:w="22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Income</w:t>
            </w:r>
          </w:p>
        </w:tc>
        <w:tc>
          <w:tcPr>
            <w:tcW w:w="146" w:type="dxa"/>
            <w:tcBorders/>
            <w:shd w:fill="FFFFFF" w:val="clear"/>
            <w:vAlign w:val="center"/>
          </w:tcPr>
          <w:p>
            <w:pPr>
              <w:pStyle w:val="TableContents"/>
              <w:bidi w:val="0"/>
              <w:spacing w:before="0" w:after="283"/>
              <w:jc w:val="left"/>
              <w:rPr/>
            </w:pPr>
            <w:r>
              <w:rPr/>
              <w:t> </w:t>
            </w:r>
          </w:p>
        </w:tc>
        <w:tc>
          <w:tcPr>
            <w:tcW w:w="17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 Price</w:t>
              <w:br/>
              <w:t>Time to Exit (Years)</w:t>
              <w:br/>
              <w:t>Volatility</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$115.8</w:t>
              <w:br/>
              <w:t>2.0</w:t>
              <w:br/>
              <w:t>35.0%</w:t>
            </w:r>
          </w:p>
        </w:tc>
      </w:tr>
      <w:tr>
        <w:trPr/>
        <w:tc>
          <w:tcPr>
            <w:tcW w:w="222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Equity</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2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Enterprise Market Value and Asset</w:t>
            </w:r>
            <w:r>
              <w:rPr>
                <w:rFonts w:ascii="Times New Roman" w:hAnsi="Times New Roman"/>
                <w:b w:val="false"/>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17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EBITDA Multiple</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3.3x – 15.8x (6.4x)</w:t>
            </w:r>
          </w:p>
        </w:tc>
      </w:tr>
      <w:tr>
        <w:trPr/>
        <w:tc>
          <w:tcPr>
            <w:tcW w:w="22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Enterprise Market Value</w:t>
            </w:r>
          </w:p>
        </w:tc>
        <w:tc>
          <w:tcPr>
            <w:tcW w:w="146" w:type="dxa"/>
            <w:tcBorders/>
            <w:shd w:fill="FFFFFF" w:val="clear"/>
            <w:vAlign w:val="center"/>
          </w:tcPr>
          <w:p>
            <w:pPr>
              <w:pStyle w:val="TableContents"/>
              <w:bidi w:val="0"/>
              <w:spacing w:before="0" w:after="283"/>
              <w:jc w:val="left"/>
              <w:rPr/>
            </w:pPr>
            <w:r>
              <w:rPr/>
              <w:t> </w:t>
            </w:r>
          </w:p>
        </w:tc>
        <w:tc>
          <w:tcPr>
            <w:tcW w:w="17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Revenue Multiple</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0.3x – 1.0x (0.9x)</w:t>
            </w:r>
          </w:p>
        </w:tc>
      </w:tr>
      <w:tr>
        <w:trPr/>
        <w:tc>
          <w:tcPr>
            <w:tcW w:w="222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pPr>
            <w:r>
              <w:rPr/>
              <w:t> </w:t>
            </w:r>
          </w:p>
        </w:tc>
      </w:tr>
    </w:tbl>
    <w:p>
      <w:pPr>
        <w:pStyle w:val="TextBody"/>
        <w:pBdr>
          <w:top w:val="single" w:sz="6" w:space="1" w:color="000000"/>
        </w:pBdr>
        <w:bidi w:val="0"/>
        <w:spacing w:before="120" w:after="283"/>
        <w:jc w:val="both"/>
        <w:rPr/>
      </w:pPr>
      <w:r>
        <w:rPr/>
        <w:t> </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(1)</w:t>
      </w:r>
    </w:p>
    <w:p>
      <w:pPr>
        <w:pStyle w:val="TextBody"/>
        <w:bidi w:val="0"/>
        <w:spacing w:before="0" w:after="0"/>
        <w:jc w:val="both"/>
        <w:rPr>
          <w:rFonts w:ascii="Times New Roman" w:hAnsi="Times New Roman"/>
          <w:sz w:val="16"/>
        </w:rPr>
      </w:pPr>
      <w:r>
        <w:rPr>
          <w:rFonts w:ascii="Times New Roman" w:hAnsi="Times New Roman"/>
          <w:b w:val="false"/>
          <w:color w:val="000000"/>
          <w:sz w:val="14"/>
        </w:rPr>
        <w:t>$1.0</w:t>
      </w:r>
      <w:r>
        <w:rPr>
          <w:rFonts w:ascii="Times New Roman" w:hAnsi="Times New Roman"/>
          <w:color w:val="000000"/>
          <w:sz w:val="16"/>
        </w:rPr>
        <w:t xml:space="preserve"> </w:t>
      </w:r>
      <w:r>
        <w:rPr>
          <w:rFonts w:ascii="Times New Roman" w:hAnsi="Times New Roman"/>
          <w:b w:val="false"/>
          <w:color w:val="000000"/>
          <w:sz w:val="14"/>
        </w:rPr>
        <w:t>million in equity was valued using the asset approach.</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(2)</w:t>
      </w:r>
    </w:p>
    <w:p>
      <w:pPr>
        <w:pStyle w:val="TextBody"/>
        <w:bidi w:val="0"/>
        <w:jc w:val="both"/>
        <w:rPr>
          <w:rFonts w:ascii="Times New Roman" w:hAnsi="Times New Roman"/>
          <w:b w:val="false"/>
          <w:color w:val="000000"/>
          <w:sz w:val="14"/>
        </w:rPr>
      </w:pPr>
      <w:r>
        <w:rPr>
          <w:rFonts w:ascii="Times New Roman" w:hAnsi="Times New Roman"/>
          <w:b w:val="false"/>
          <w:color w:val="000000"/>
          <w:sz w:val="14"/>
        </w:rPr>
        <w:t>The weighted averages disclosed in the table above were weighted by their relative fair value.</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The significant unobservable inputs used in the valuation of the Company’s investments are required rate of return, EBITDA multiples, revenue multiples, discount margin, stock price, projected time to exit and volatility. Changes in any of these unobservable inputs could have a significant impact on the Company’s estimate of fair value. An increase (decrease) in the required rate of return or discount margin will result in a lower (higher) estimate of fair value, respectively, while an increase (decrease) in adjusted EBITDA or revenue multiples, stock price, projected time to exit (option-pricing model) or volatility will result in a higher (lower) estimate of fair value, respectively.</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Great Lakes Funding II LLC</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In August 2022, the Company invested in the Great Lakes II Joint Venture, a joint venture with an investment strategy to underwrite and hold senior, secured unitranche loans made to middle-market companies. The Company treats its investment in the Great Lakes II Joint Venture as a joint venture since an affiliate of the Investment Adviser controls a 50% voting interest in the Great Lakes II Joint Venture.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The Great Lakes II Joint Venture is a Delaware series limited liability company, and pursuant to the terms of the Great Lakes Funding II LLC Limited Liability Company Agreement (the “Great Lakes II LLC Agreement”), prior to the end of the investment period with respect to each series established under the Great Lakes II LLC Agreement, each member of the predecessor series would be offered the opportunity to roll its interests into any subsequent series of the Great Lakes II Joint Venture. The Company does not pay any advisory fees in connection with its investment in the Great Lakes II Joint Venture. Certain other funds managed by the Investment Adviser or its affiliates have also invested in the Great Lakes II Joint Venture.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The fair value of the Company’s investment in the Great Lakes II Joint Venture at September 30, 2023 and December 31, 2022 was $0.5</w:t>
      </w:r>
      <w:r>
        <w:rPr>
          <w:rFonts w:ascii="Times New Roman" w:hAnsi="Times New Roman"/>
          <w:color w:val="000000"/>
          <w:sz w:val="20"/>
        </w:rPr>
        <w:t xml:space="preserve"> </w:t>
      </w:r>
      <w:r>
        <w:rPr>
          <w:rFonts w:ascii="Times New Roman" w:hAnsi="Times New Roman"/>
          <w:b w:val="false"/>
          <w:color w:val="000000"/>
          <w:sz w:val="16"/>
        </w:rPr>
        <w:t>million</w:t>
      </w:r>
      <w:r>
        <w:rPr>
          <w:rFonts w:ascii="Times New Roman" w:hAnsi="Times New Roman"/>
          <w:color w:val="000000"/>
          <w:sz w:val="20"/>
        </w:rPr>
        <w:t xml:space="preserve"> </w:t>
      </w:r>
      <w:r>
        <w:rPr>
          <w:rFonts w:ascii="Times New Roman" w:hAnsi="Times New Roman"/>
          <w:b w:val="false"/>
          <w:color w:val="000000"/>
          <w:sz w:val="16"/>
        </w:rPr>
        <w:t>and $0.4</w:t>
      </w:r>
      <w:r>
        <w:rPr>
          <w:rFonts w:ascii="Times New Roman" w:hAnsi="Times New Roman"/>
          <w:color w:val="000000"/>
          <w:sz w:val="20"/>
        </w:rPr>
        <w:t xml:space="preserve"> </w:t>
      </w:r>
      <w:r>
        <w:rPr>
          <w:rFonts w:ascii="Times New Roman" w:hAnsi="Times New Roman"/>
          <w:b w:val="false"/>
          <w:color w:val="000000"/>
          <w:sz w:val="16"/>
        </w:rPr>
        <w:t>million, respectively. Fair value has been determined utilizing the net asset value as a practical expedient pursuant to U.S. GAAP. Pursuant to the terms of the Great Lakes II LLC Agreement, the Company generally may not effect any direct or indirect sale, transfer, assignment, hypothecation, pledge or other disposition of or encumbrance upon its interests in the Great Lakes II Joint Venture, except that the Company may sell or otherwise transfer its interests with the consent of the managing members of the Great Lakes II Joint Venture or to an affiliate or a successor to substantially all of the assets of the Company.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As of September 30, 2023, the Company has an unfunded commitment to the Great Lakes II Joint Venture of less than $0.1</w:t>
      </w:r>
      <w:r>
        <w:rPr>
          <w:rFonts w:ascii="Times New Roman" w:hAnsi="Times New Roman"/>
          <w:color w:val="000000"/>
          <w:sz w:val="20"/>
        </w:rPr>
        <w:t xml:space="preserve"> </w:t>
      </w:r>
      <w:r>
        <w:rPr>
          <w:rFonts w:ascii="Times New Roman" w:hAnsi="Times New Roman"/>
          <w:b w:val="false"/>
          <w:color w:val="000000"/>
          <w:sz w:val="16"/>
        </w:rPr>
        <w:t>million.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September 30,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Note 4. Transactions With Affiliated Companies</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During the nine months ended September 30, 2023, the Company had investments in portfolio companies designated as affiliates under the 1940 Act. Transactions with affiliates were as follows (dollars in thousands):</w:t>
      </w:r>
    </w:p>
    <w:tbl>
      <w:tblPr>
        <w:tblW w:w="10205" w:type="dxa"/>
        <w:jc w:val="left"/>
        <w:tblInd w:w="0" w:type="dxa"/>
        <w:tblLayout w:type="fixed"/>
        <w:tblCellMar>
          <w:top w:w="28" w:type="dxa"/>
          <w:left w:w="28" w:type="dxa"/>
          <w:bottom w:w="28" w:type="dxa"/>
          <w:right w:w="28" w:type="dxa"/>
        </w:tblCellMar>
      </w:tblPr>
      <w:tblGrid>
        <w:gridCol w:w="1018"/>
        <w:gridCol w:w="146"/>
        <w:gridCol w:w="1228"/>
        <w:gridCol w:w="181"/>
        <w:gridCol w:w="414"/>
        <w:gridCol w:w="146"/>
        <w:gridCol w:w="146"/>
        <w:gridCol w:w="242"/>
        <w:gridCol w:w="508"/>
        <w:gridCol w:w="146"/>
        <w:gridCol w:w="146"/>
        <w:gridCol w:w="185"/>
        <w:gridCol w:w="487"/>
        <w:gridCol w:w="146"/>
        <w:gridCol w:w="146"/>
        <w:gridCol w:w="206"/>
        <w:gridCol w:w="432"/>
        <w:gridCol w:w="146"/>
        <w:gridCol w:w="146"/>
        <w:gridCol w:w="205"/>
        <w:gridCol w:w="523"/>
        <w:gridCol w:w="151"/>
        <w:gridCol w:w="146"/>
        <w:gridCol w:w="191"/>
        <w:gridCol w:w="399"/>
        <w:gridCol w:w="146"/>
        <w:gridCol w:w="146"/>
        <w:gridCol w:w="254"/>
        <w:gridCol w:w="647"/>
        <w:gridCol w:w="151"/>
        <w:gridCol w:w="146"/>
        <w:gridCol w:w="188"/>
        <w:gridCol w:w="497"/>
        <w:gridCol w:w="200"/>
      </w:tblGrid>
      <w:tr>
        <w:trPr/>
        <w:tc>
          <w:tcPr>
            <w:tcW w:w="10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Company</w:t>
            </w:r>
            <w:r>
              <w:rPr>
                <w:rFonts w:ascii="Times New Roman" w:hAnsi="Times New Roman"/>
                <w:b/>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Type of Investment</w:t>
            </w:r>
          </w:p>
        </w:tc>
        <w:tc>
          <w:tcPr>
            <w:tcW w:w="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Amount of Interest, Fees or Dividends Credited to Income</w:t>
            </w:r>
            <w:r>
              <w:rPr>
                <w:rFonts w:ascii="Times New Roman" w:hAnsi="Times New Roman"/>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December 31, </w:t>
              <w:br/>
              <w:t>2022</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Gross Additions</w:t>
            </w:r>
            <w:r>
              <w:rPr>
                <w:rFonts w:ascii="Times New Roman" w:hAnsi="Times New Roman"/>
                <w:b/>
                <w:color w:val="000000"/>
                <w:sz w:val="8"/>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Gross Reductions</w:t>
            </w:r>
            <w:r>
              <w:rPr>
                <w:rFonts w:ascii="Times New Roman" w:hAnsi="Times New Roman"/>
                <w:b/>
                <w:color w:val="000000"/>
                <w:sz w:val="8"/>
              </w:rPr>
              <w:t>(3)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Realized Gain/(Loss)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Unrealized Appreciation (Depreciation)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September 30,</w:t>
              <w:br/>
              <w:t>2023</w:t>
              <w:br/>
              <w:t>Fair Value</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2" w:type="dxa"/>
            <w:gridSpan w:val="3"/>
            <w:tcBorders/>
            <w:shd w:fill="CFF0FC" w:val="clear"/>
            <w:vAlign w:val="center"/>
          </w:tcPr>
          <w:p>
            <w:pPr>
              <w:pStyle w:val="TableContents"/>
              <w:bidi w:val="0"/>
              <w:spacing w:before="0" w:after="283"/>
              <w:jc w:val="left"/>
              <w:rPr>
                <w:rFonts w:ascii="Times New Roman" w:hAnsi="Times New Roman"/>
                <w:b/>
                <w:i/>
                <w:color w:val="000000"/>
                <w:sz w:val="12"/>
                <w:u w:val="single"/>
              </w:rPr>
            </w:pPr>
            <w:r>
              <w:rPr>
                <w:rFonts w:ascii="Times New Roman" w:hAnsi="Times New Roman"/>
                <w:b/>
                <w:i/>
                <w:color w:val="000000"/>
                <w:sz w:val="12"/>
                <w:u w:val="single"/>
              </w:rPr>
              <w:t>Affiliate investments</w:t>
            </w:r>
          </w:p>
        </w:tc>
        <w:tc>
          <w:tcPr>
            <w:tcW w:w="59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8"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85" w:type="dxa"/>
            <w:gridSpan w:val="2"/>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r>
      <w:tr>
        <w:trPr/>
        <w:tc>
          <w:tcPr>
            <w:tcW w:w="101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Burgaflex Holdings, LLC</w:t>
            </w:r>
          </w:p>
        </w:tc>
        <w:tc>
          <w:tcPr>
            <w:tcW w:w="14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2"/>
              </w:rPr>
              <w:t>Common Stock Class A (1,253,198</w:t>
            </w:r>
            <w:r>
              <w:rPr>
                <w:rFonts w:ascii="Times New Roman" w:hAnsi="Times New Roman"/>
                <w:color w:val="000000"/>
                <w:sz w:val="20"/>
              </w:rPr>
              <w:t> </w:t>
            </w:r>
            <w:r>
              <w:rPr>
                <w:rFonts w:ascii="Times New Roman" w:hAnsi="Times New Roman"/>
                <w:b w:val="false"/>
                <w:color w:val="000000"/>
                <w:sz w:val="12"/>
              </w:rPr>
              <w:t>shares)</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1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87"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2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647"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(42</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7"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2,760</w:t>
            </w:r>
          </w:p>
        </w:tc>
        <w:tc>
          <w:tcPr>
            <w:tcW w:w="200" w:type="dxa"/>
            <w:tcBorders/>
            <w:shd w:fill="FFFFFF" w:val="clear"/>
            <w:vAlign w:val="center"/>
          </w:tcPr>
          <w:p>
            <w:pPr>
              <w:pStyle w:val="TableContents"/>
              <w:bidi w:val="0"/>
              <w:spacing w:before="0" w:after="283"/>
              <w:jc w:val="left"/>
              <w:rPr/>
            </w:pPr>
            <w:r>
              <w:rPr/>
              <w:t> </w:t>
            </w:r>
          </w:p>
        </w:tc>
      </w:tr>
      <w:tr>
        <w:trPr/>
        <w:tc>
          <w:tcPr>
            <w:tcW w:w="101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Burgaflex Holdings, LLC</w:t>
            </w:r>
          </w:p>
        </w:tc>
        <w:tc>
          <w:tcPr>
            <w:tcW w:w="146"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2"/>
              </w:rPr>
              <w:t>Common Stock Class B (1,085,073</w:t>
            </w:r>
            <w:r>
              <w:rPr>
                <w:rFonts w:ascii="Times New Roman" w:hAnsi="Times New Roman"/>
                <w:color w:val="000000"/>
                <w:sz w:val="20"/>
              </w:rPr>
              <w:t> </w:t>
            </w:r>
            <w:r>
              <w:rPr>
                <w:rFonts w:ascii="Times New Roman" w:hAnsi="Times New Roman"/>
                <w:b w:val="false"/>
                <w:color w:val="000000"/>
                <w:sz w:val="12"/>
              </w:rPr>
              <w:t>shares)</w:t>
            </w:r>
          </w:p>
        </w:tc>
        <w:tc>
          <w:tcPr>
            <w:tcW w:w="181"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2,200</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1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left"/>
              <w:rPr/>
            </w:pPr>
            <w:r>
              <w:rPr/>
              <w:t> </w:t>
            </w:r>
          </w:p>
        </w:tc>
        <w:tc>
          <w:tcPr>
            <w:tcW w:w="59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4,960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1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GA Communications, Inc.</w:t>
            </w:r>
          </w:p>
        </w:tc>
        <w:tc>
          <w:tcPr>
            <w:tcW w:w="146"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2"/>
              </w:rPr>
              <w:t>Series A-1 Preferred Stock (1,998</w:t>
            </w:r>
            <w:r>
              <w:rPr>
                <w:rFonts w:ascii="Times New Roman" w:hAnsi="Times New Roman"/>
                <w:color w:val="000000"/>
                <w:sz w:val="20"/>
              </w:rPr>
              <w:t> </w:t>
            </w:r>
            <w:r>
              <w:rPr>
                <w:rFonts w:ascii="Times New Roman" w:hAnsi="Times New Roman"/>
                <w:b w:val="false"/>
                <w:color w:val="000000"/>
                <w:sz w:val="12"/>
              </w:rPr>
              <w:t>shares)</w:t>
            </w:r>
          </w:p>
        </w:tc>
        <w:tc>
          <w:tcPr>
            <w:tcW w:w="181"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487"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43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3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497"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3,540</w:t>
            </w:r>
          </w:p>
        </w:tc>
        <w:tc>
          <w:tcPr>
            <w:tcW w:w="200" w:type="dxa"/>
            <w:tcBorders/>
            <w:shd w:fill="CFF0FC" w:val="clear"/>
            <w:vAlign w:val="center"/>
          </w:tcPr>
          <w:p>
            <w:pPr>
              <w:pStyle w:val="TableContents"/>
              <w:bidi w:val="0"/>
              <w:spacing w:before="0" w:after="283"/>
              <w:jc w:val="left"/>
              <w:rPr/>
            </w:pPr>
            <w:r>
              <w:rPr/>
              <w:t> </w:t>
            </w:r>
          </w:p>
        </w:tc>
      </w:tr>
      <w:tr>
        <w:trPr/>
        <w:tc>
          <w:tcPr>
            <w:tcW w:w="101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GA Communications, Inc.</w:t>
            </w:r>
          </w:p>
        </w:tc>
        <w:tc>
          <w:tcPr>
            <w:tcW w:w="14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2"/>
              </w:rPr>
              <w:t>Series B-1 Common Stock (200,000</w:t>
            </w:r>
            <w:r>
              <w:rPr>
                <w:rFonts w:ascii="Times New Roman" w:hAnsi="Times New Roman"/>
                <w:color w:val="000000"/>
                <w:sz w:val="20"/>
              </w:rPr>
              <w:t> </w:t>
            </w:r>
            <w:r>
              <w:rPr>
                <w:rFonts w:ascii="Times New Roman" w:hAnsi="Times New Roman"/>
                <w:b w:val="false"/>
                <w:color w:val="000000"/>
                <w:sz w:val="12"/>
              </w:rPr>
              <w:t>shares)</w:t>
            </w:r>
          </w:p>
        </w:tc>
        <w:tc>
          <w:tcPr>
            <w:tcW w:w="181"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18"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left"/>
              <w:rPr/>
            </w:pPr>
            <w:r>
              <w:rPr/>
              <w:t> </w:t>
            </w:r>
          </w:p>
        </w:tc>
        <w:tc>
          <w:tcPr>
            <w:tcW w:w="59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979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4,540</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1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Great Lakes Funding II LLC</w:t>
            </w:r>
          </w:p>
        </w:tc>
        <w:tc>
          <w:tcPr>
            <w:tcW w:w="14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Series A</w:t>
            </w:r>
          </w:p>
        </w:tc>
        <w:tc>
          <w:tcPr>
            <w:tcW w:w="181"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471</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18"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left"/>
              <w:rPr/>
            </w:pPr>
            <w:r>
              <w:rPr/>
              <w:t> </w:t>
            </w:r>
          </w:p>
        </w:tc>
        <w:tc>
          <w:tcPr>
            <w:tcW w:w="59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471</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1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GreenPark Infrastructure, LLC</w:t>
            </w:r>
          </w:p>
        </w:tc>
        <w:tc>
          <w:tcPr>
            <w:tcW w:w="14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2"/>
              </w:rPr>
              <w:t>Series A (400</w:t>
            </w:r>
            <w:r>
              <w:rPr>
                <w:rFonts w:ascii="Times New Roman" w:hAnsi="Times New Roman"/>
                <w:color w:val="000000"/>
                <w:sz w:val="20"/>
              </w:rPr>
              <w:t> </w:t>
            </w:r>
            <w:r>
              <w:rPr>
                <w:rFonts w:ascii="Times New Roman" w:hAnsi="Times New Roman"/>
                <w:b w:val="false"/>
                <w:color w:val="000000"/>
                <w:sz w:val="12"/>
              </w:rPr>
              <w:t>Units)</w:t>
            </w:r>
          </w:p>
        </w:tc>
        <w:tc>
          <w:tcPr>
            <w:tcW w:w="181"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200</w:t>
            </w:r>
          </w:p>
        </w:tc>
        <w:tc>
          <w:tcPr>
            <w:tcW w:w="200" w:type="dxa"/>
            <w:tcBorders/>
            <w:shd w:fill="FFFFFF" w:val="clear"/>
            <w:vAlign w:val="center"/>
          </w:tcPr>
          <w:p>
            <w:pPr>
              <w:pStyle w:val="TableContents"/>
              <w:bidi w:val="0"/>
              <w:spacing w:before="0" w:after="283"/>
              <w:jc w:val="left"/>
              <w:rPr/>
            </w:pPr>
            <w:r>
              <w:rPr/>
              <w:t> </w:t>
            </w:r>
          </w:p>
        </w:tc>
      </w:tr>
      <w:tr>
        <w:trPr/>
        <w:tc>
          <w:tcPr>
            <w:tcW w:w="101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GreenPark Infrastructure, LLC</w:t>
            </w:r>
          </w:p>
        </w:tc>
        <w:tc>
          <w:tcPr>
            <w:tcW w:w="146"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2"/>
              </w:rPr>
              <w:t>Series M-1 (200</w:t>
            </w:r>
            <w:r>
              <w:rPr>
                <w:rFonts w:ascii="Times New Roman" w:hAnsi="Times New Roman"/>
                <w:color w:val="000000"/>
                <w:sz w:val="20"/>
              </w:rPr>
              <w:t> </w:t>
            </w:r>
            <w:r>
              <w:rPr>
                <w:rFonts w:ascii="Times New Roman" w:hAnsi="Times New Roman"/>
                <w:b w:val="false"/>
                <w:color w:val="000000"/>
                <w:sz w:val="12"/>
              </w:rPr>
              <w:t>Units)</w:t>
            </w:r>
          </w:p>
        </w:tc>
        <w:tc>
          <w:tcPr>
            <w:tcW w:w="181"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69</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1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left"/>
              <w:rPr/>
            </w:pPr>
            <w:r>
              <w:rPr/>
              <w:t> </w:t>
            </w:r>
          </w:p>
        </w:tc>
        <w:tc>
          <w:tcPr>
            <w:tcW w:w="59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269</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1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MMI Holdings, LLC</w:t>
            </w:r>
          </w:p>
        </w:tc>
        <w:tc>
          <w:tcPr>
            <w:tcW w:w="146"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First Lien Debt (12.00% Cash, Due 4/1/22)</w:t>
            </w:r>
          </w:p>
        </w:tc>
        <w:tc>
          <w:tcPr>
            <w:tcW w:w="181"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487"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43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3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(94</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497"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2,506</w:t>
            </w:r>
          </w:p>
        </w:tc>
        <w:tc>
          <w:tcPr>
            <w:tcW w:w="200" w:type="dxa"/>
            <w:tcBorders/>
            <w:shd w:fill="CFF0FC" w:val="clear"/>
            <w:vAlign w:val="center"/>
          </w:tcPr>
          <w:p>
            <w:pPr>
              <w:pStyle w:val="TableContents"/>
              <w:bidi w:val="0"/>
              <w:spacing w:before="0" w:after="283"/>
              <w:jc w:val="left"/>
              <w:rPr/>
            </w:pPr>
            <w:r>
              <w:rPr/>
              <w:t> </w:t>
            </w:r>
          </w:p>
        </w:tc>
      </w:tr>
      <w:tr>
        <w:trPr/>
        <w:tc>
          <w:tcPr>
            <w:tcW w:w="101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Second Lien Debt (6.00% Cash, Due 4/1/22)</w:t>
            </w:r>
          </w:p>
        </w:tc>
        <w:tc>
          <w:tcPr>
            <w:tcW w:w="181"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(61</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351</w:t>
            </w:r>
          </w:p>
        </w:tc>
        <w:tc>
          <w:tcPr>
            <w:tcW w:w="200" w:type="dxa"/>
            <w:tcBorders/>
            <w:shd w:fill="FFFFFF" w:val="clear"/>
            <w:vAlign w:val="center"/>
          </w:tcPr>
          <w:p>
            <w:pPr>
              <w:pStyle w:val="TableContents"/>
              <w:bidi w:val="0"/>
              <w:spacing w:before="0" w:after="283"/>
              <w:jc w:val="left"/>
              <w:rPr/>
            </w:pPr>
            <w:r>
              <w:rPr/>
              <w:t> </w:t>
            </w:r>
          </w:p>
        </w:tc>
      </w:tr>
      <w:tr>
        <w:trPr/>
        <w:tc>
          <w:tcPr>
            <w:tcW w:w="1018" w:type="dxa"/>
            <w:tcBorders/>
            <w:shd w:fill="CFF0FC"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MMI Holdings, LLC</w:t>
            </w:r>
            <w:r>
              <w:rPr>
                <w:rFonts w:ascii="Times New Roman" w:hAnsi="Times New Roman"/>
                <w:b w:val="false"/>
                <w:color w:val="000000"/>
                <w:sz w:val="8"/>
              </w:rPr>
              <w:t>(5)</w:t>
            </w:r>
          </w:p>
        </w:tc>
        <w:tc>
          <w:tcPr>
            <w:tcW w:w="146"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2"/>
              </w:rPr>
              <w:t>Preferred Units (1,000</w:t>
            </w:r>
            <w:r>
              <w:rPr>
                <w:rFonts w:ascii="Times New Roman" w:hAnsi="Times New Roman"/>
                <w:color w:val="000000"/>
                <w:sz w:val="20"/>
              </w:rPr>
              <w:t> </w:t>
            </w:r>
            <w:r>
              <w:rPr>
                <w:rFonts w:ascii="Times New Roman" w:hAnsi="Times New Roman"/>
                <w:b w:val="false"/>
                <w:color w:val="000000"/>
                <w:sz w:val="12"/>
              </w:rPr>
              <w:t>units, 8.00% PIK Dividend)</w:t>
            </w:r>
          </w:p>
        </w:tc>
        <w:tc>
          <w:tcPr>
            <w:tcW w:w="181"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487"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432"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3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(1,218</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497"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236</w:t>
            </w:r>
          </w:p>
        </w:tc>
        <w:tc>
          <w:tcPr>
            <w:tcW w:w="200" w:type="dxa"/>
            <w:tcBorders/>
            <w:shd w:fill="CFF0FC" w:val="clear"/>
            <w:vAlign w:val="center"/>
          </w:tcPr>
          <w:p>
            <w:pPr>
              <w:pStyle w:val="TableContents"/>
              <w:bidi w:val="0"/>
              <w:spacing w:before="0" w:after="283"/>
              <w:jc w:val="left"/>
              <w:rPr/>
            </w:pPr>
            <w:r>
              <w:rPr/>
              <w:t> </w:t>
            </w:r>
          </w:p>
        </w:tc>
      </w:tr>
      <w:tr>
        <w:trPr/>
        <w:tc>
          <w:tcPr>
            <w:tcW w:w="101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2"/>
              </w:rPr>
              <w:t>Common Membership Units (45</w:t>
            </w:r>
            <w:r>
              <w:rPr>
                <w:rFonts w:ascii="Times New Roman" w:hAnsi="Times New Roman"/>
                <w:color w:val="000000"/>
                <w:sz w:val="20"/>
              </w:rPr>
              <w:t> </w:t>
            </w:r>
            <w:r>
              <w:rPr>
                <w:rFonts w:ascii="Times New Roman" w:hAnsi="Times New Roman"/>
                <w:b w:val="false"/>
                <w:color w:val="000000"/>
                <w:sz w:val="12"/>
              </w:rPr>
              <w:t>units)</w:t>
            </w:r>
          </w:p>
        </w:tc>
        <w:tc>
          <w:tcPr>
            <w:tcW w:w="181"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18"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left"/>
              <w:rPr/>
            </w:pPr>
            <w:r>
              <w:rPr/>
              <w:t> </w:t>
            </w:r>
          </w:p>
        </w:tc>
        <w:tc>
          <w:tcPr>
            <w:tcW w:w="59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4,360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(1,373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3,093</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1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Nth Degree Investment Group, LLC</w:t>
            </w:r>
          </w:p>
        </w:tc>
        <w:tc>
          <w:tcPr>
            <w:tcW w:w="14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2"/>
              </w:rPr>
              <w:t>Membership Units (6,088,000</w:t>
            </w:r>
            <w:r>
              <w:rPr>
                <w:rFonts w:ascii="Times New Roman" w:hAnsi="Times New Roman"/>
                <w:color w:val="000000"/>
                <w:sz w:val="20"/>
              </w:rPr>
              <w:t> </w:t>
            </w:r>
            <w:r>
              <w:rPr>
                <w:rFonts w:ascii="Times New Roman" w:hAnsi="Times New Roman"/>
                <w:b w:val="false"/>
                <w:color w:val="000000"/>
                <w:sz w:val="12"/>
              </w:rPr>
              <w:t>units)</w:t>
            </w:r>
          </w:p>
        </w:tc>
        <w:tc>
          <w:tcPr>
            <w:tcW w:w="181"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5,320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5,137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10,457</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18"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left"/>
              <w:rPr/>
            </w:pPr>
            <w:r>
              <w:rPr/>
              <w:t> </w:t>
            </w:r>
          </w:p>
        </w:tc>
        <w:tc>
          <w:tcPr>
            <w:tcW w:w="59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5,320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5,137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10,457</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1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RAM Payment, LLC</w:t>
            </w:r>
          </w:p>
        </w:tc>
        <w:tc>
          <w:tcPr>
            <w:tcW w:w="14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First Lien Debt (10.43% Cash (1 month SOFR + 5.00%), 1.50% Floor), Due 1/4/24)</w:t>
            </w:r>
          </w:p>
        </w:tc>
        <w:tc>
          <w:tcPr>
            <w:tcW w:w="181"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(778</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161</w:t>
            </w:r>
          </w:p>
        </w:tc>
        <w:tc>
          <w:tcPr>
            <w:tcW w:w="200" w:type="dxa"/>
            <w:tcBorders/>
            <w:shd w:fill="FFFFFF" w:val="clear"/>
            <w:vAlign w:val="center"/>
          </w:tcPr>
          <w:p>
            <w:pPr>
              <w:pStyle w:val="TableContents"/>
              <w:bidi w:val="0"/>
              <w:spacing w:before="0" w:after="283"/>
              <w:jc w:val="left"/>
              <w:rPr/>
            </w:pPr>
            <w:r>
              <w:rPr/>
              <w:t> </w:t>
            </w:r>
          </w:p>
        </w:tc>
      </w:tr>
      <w:tr>
        <w:trPr/>
        <w:tc>
          <w:tcPr>
            <w:tcW w:w="101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RAM Payment, LLC</w:t>
            </w:r>
          </w:p>
        </w:tc>
        <w:tc>
          <w:tcPr>
            <w:tcW w:w="146"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First Lien Debt (13.76% Cash, Due 1/4/24)</w:t>
            </w:r>
          </w:p>
        </w:tc>
        <w:tc>
          <w:tcPr>
            <w:tcW w:w="181"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487"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43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(2,109</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3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497"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438</w:t>
            </w:r>
          </w:p>
        </w:tc>
        <w:tc>
          <w:tcPr>
            <w:tcW w:w="200" w:type="dxa"/>
            <w:tcBorders/>
            <w:shd w:fill="CFF0FC" w:val="clear"/>
            <w:vAlign w:val="center"/>
          </w:tcPr>
          <w:p>
            <w:pPr>
              <w:pStyle w:val="TableContents"/>
              <w:bidi w:val="0"/>
              <w:spacing w:before="0" w:after="283"/>
              <w:jc w:val="left"/>
              <w:rPr/>
            </w:pPr>
            <w:r>
              <w:rPr/>
              <w:t> </w:t>
            </w:r>
          </w:p>
        </w:tc>
      </w:tr>
      <w:tr>
        <w:trPr/>
        <w:tc>
          <w:tcPr>
            <w:tcW w:w="1018"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RAM Payment, LLC</w:t>
            </w:r>
            <w:r>
              <w:rPr>
                <w:rFonts w:ascii="Times New Roman" w:hAnsi="Times New Roman"/>
                <w:b w:val="false"/>
                <w:color w:val="000000"/>
                <w:sz w:val="8"/>
              </w:rPr>
              <w:t>(5)</w:t>
            </w:r>
          </w:p>
        </w:tc>
        <w:tc>
          <w:tcPr>
            <w:tcW w:w="14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2"/>
              </w:rPr>
              <w:t>Preferred Units (86,000</w:t>
            </w:r>
            <w:r>
              <w:rPr>
                <w:rFonts w:ascii="Times New Roman" w:hAnsi="Times New Roman"/>
                <w:color w:val="000000"/>
                <w:sz w:val="20"/>
              </w:rPr>
              <w:t> </w:t>
            </w:r>
            <w:r>
              <w:rPr>
                <w:rFonts w:ascii="Times New Roman" w:hAnsi="Times New Roman"/>
                <w:b w:val="false"/>
                <w:color w:val="000000"/>
                <w:sz w:val="12"/>
              </w:rPr>
              <w:t>units, 6.00% PIK Dividend)</w:t>
            </w:r>
          </w:p>
        </w:tc>
        <w:tc>
          <w:tcPr>
            <w:tcW w:w="181"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2,395</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18"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left"/>
              <w:rPr/>
            </w:pPr>
            <w:r>
              <w:rPr/>
              <w:t> </w:t>
            </w:r>
          </w:p>
        </w:tc>
        <w:tc>
          <w:tcPr>
            <w:tcW w:w="59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6,651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(3,131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2,994</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1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Sierra Hamilton Holdings Corporation</w:t>
            </w:r>
          </w:p>
        </w:tc>
        <w:tc>
          <w:tcPr>
            <w:tcW w:w="14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Second Lien Debt (15.00% PIK, Due 9/12/23)</w:t>
            </w:r>
          </w:p>
        </w:tc>
        <w:tc>
          <w:tcPr>
            <w:tcW w:w="181"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101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Sierra Hamilton Holdings Corporation</w:t>
            </w:r>
          </w:p>
        </w:tc>
        <w:tc>
          <w:tcPr>
            <w:tcW w:w="146"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2"/>
              </w:rPr>
              <w:t>Common Stock (27,396,364</w:t>
            </w:r>
            <w:r>
              <w:rPr>
                <w:rFonts w:ascii="Times New Roman" w:hAnsi="Times New Roman"/>
                <w:color w:val="000000"/>
                <w:sz w:val="20"/>
              </w:rPr>
              <w:t> </w:t>
            </w:r>
            <w:r>
              <w:rPr>
                <w:rFonts w:ascii="Times New Roman" w:hAnsi="Times New Roman"/>
                <w:b w:val="false"/>
                <w:color w:val="000000"/>
                <w:sz w:val="12"/>
              </w:rPr>
              <w:t>shares)</w:t>
            </w:r>
          </w:p>
        </w:tc>
        <w:tc>
          <w:tcPr>
            <w:tcW w:w="181"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551</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1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left"/>
              <w:rPr/>
            </w:pPr>
            <w:r>
              <w:rPr/>
              <w:t> </w:t>
            </w:r>
          </w:p>
        </w:tc>
        <w:tc>
          <w:tcPr>
            <w:tcW w:w="59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551</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1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V12 Holdings, Inc.</w:t>
            </w:r>
          </w:p>
        </w:tc>
        <w:tc>
          <w:tcPr>
            <w:tcW w:w="146"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Second Lien Debt</w:t>
            </w:r>
          </w:p>
        </w:tc>
        <w:tc>
          <w:tcPr>
            <w:tcW w:w="181"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509</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1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left"/>
              <w:rPr/>
            </w:pPr>
            <w:r>
              <w:rPr/>
              <w:t> </w:t>
            </w:r>
          </w:p>
        </w:tc>
        <w:tc>
          <w:tcPr>
            <w:tcW w:w="59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509</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2" w:type="dxa"/>
            <w:gridSpan w:val="3"/>
            <w:tcBorders/>
            <w:shd w:fill="CFF0FC" w:val="clear"/>
            <w:vAlign w:val="center"/>
          </w:tcPr>
          <w:p>
            <w:pPr>
              <w:pStyle w:val="TableContents"/>
              <w:bidi w:val="0"/>
              <w:spacing w:before="0" w:after="283"/>
              <w:jc w:val="left"/>
              <w:rPr>
                <w:rFonts w:ascii="Times New Roman" w:hAnsi="Times New Roman"/>
                <w:b/>
                <w:i/>
                <w:color w:val="000000"/>
                <w:sz w:val="12"/>
                <w:u w:val="single"/>
              </w:rPr>
            </w:pPr>
            <w:r>
              <w:rPr>
                <w:rFonts w:ascii="Times New Roman" w:hAnsi="Times New Roman"/>
                <w:b/>
                <w:i/>
                <w:color w:val="000000"/>
                <w:sz w:val="12"/>
                <w:u w:val="single"/>
              </w:rPr>
              <w:t>Total Affiliate investments</w:t>
            </w:r>
          </w:p>
        </w:tc>
        <w:tc>
          <w:tcPr>
            <w:tcW w:w="59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26,324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(3,145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4,432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27,844</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top w:val="single" w:sz="6" w:space="1" w:color="000000"/>
        </w:pBdr>
        <w:bidi w:val="0"/>
        <w:spacing w:before="120" w:after="283"/>
        <w:jc w:val="both"/>
        <w:rPr/>
      </w:pPr>
      <w:r>
        <w:rPr/>
        <w:t> </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(1)</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Represents the total amount of interest, original issue discount, fees and dividends credited to income for the portion of the year an investment was included in Affiliate or Control categories, respectively.</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(2)</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(3)</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Gross reductions include decreases in the cost basis of investments resulting from principal repayments and sales. Gross reductions also include transfers out of Affiliate or Control classification.</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(4)</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All debt investments are income producing. Equity and warrant investments are non-income producing, unless otherwise noted.</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(5)</w:t>
      </w:r>
    </w:p>
    <w:p>
      <w:pPr>
        <w:pStyle w:val="TextBody"/>
        <w:bidi w:val="0"/>
        <w:jc w:val="both"/>
        <w:rPr>
          <w:rFonts w:ascii="Times New Roman" w:hAnsi="Times New Roman"/>
          <w:b w:val="false"/>
          <w:color w:val="000000"/>
          <w:sz w:val="14"/>
        </w:rPr>
      </w:pPr>
      <w:r>
        <w:rPr>
          <w:rFonts w:ascii="Times New Roman" w:hAnsi="Times New Roman"/>
          <w:b w:val="false"/>
          <w:color w:val="000000"/>
          <w:sz w:val="14"/>
        </w:rPr>
        <w:t>The equity investment is income producing, based on rate disclosed.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September 30,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During the year ended December 31, 2022, the Company had investments in portfolio companies designated as affiliates under the 1940 Act. Transactions with affiliates were as follows (dollars in thousands):</w:t>
      </w:r>
    </w:p>
    <w:tbl>
      <w:tblPr>
        <w:tblW w:w="10205" w:type="dxa"/>
        <w:jc w:val="left"/>
        <w:tblInd w:w="0" w:type="dxa"/>
        <w:tblLayout w:type="fixed"/>
        <w:tblCellMar>
          <w:top w:w="28" w:type="dxa"/>
          <w:left w:w="28" w:type="dxa"/>
          <w:bottom w:w="28" w:type="dxa"/>
          <w:right w:w="28" w:type="dxa"/>
        </w:tblCellMar>
      </w:tblPr>
      <w:tblGrid>
        <w:gridCol w:w="1002"/>
        <w:gridCol w:w="146"/>
        <w:gridCol w:w="1175"/>
        <w:gridCol w:w="146"/>
        <w:gridCol w:w="179"/>
        <w:gridCol w:w="409"/>
        <w:gridCol w:w="146"/>
        <w:gridCol w:w="146"/>
        <w:gridCol w:w="228"/>
        <w:gridCol w:w="480"/>
        <w:gridCol w:w="146"/>
        <w:gridCol w:w="146"/>
        <w:gridCol w:w="184"/>
        <w:gridCol w:w="485"/>
        <w:gridCol w:w="146"/>
        <w:gridCol w:w="146"/>
        <w:gridCol w:w="204"/>
        <w:gridCol w:w="428"/>
        <w:gridCol w:w="146"/>
        <w:gridCol w:w="146"/>
        <w:gridCol w:w="203"/>
        <w:gridCol w:w="518"/>
        <w:gridCol w:w="151"/>
        <w:gridCol w:w="146"/>
        <w:gridCol w:w="172"/>
        <w:gridCol w:w="438"/>
        <w:gridCol w:w="151"/>
        <w:gridCol w:w="146"/>
        <w:gridCol w:w="248"/>
        <w:gridCol w:w="632"/>
        <w:gridCol w:w="151"/>
        <w:gridCol w:w="146"/>
        <w:gridCol w:w="184"/>
        <w:gridCol w:w="485"/>
        <w:gridCol w:w="200"/>
      </w:tblGrid>
      <w:tr>
        <w:trPr/>
        <w:tc>
          <w:tcPr>
            <w:tcW w:w="1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Company</w:t>
            </w:r>
            <w:r>
              <w:rPr>
                <w:rFonts w:ascii="Times New Roman" w:hAnsi="Times New Roman"/>
                <w:b/>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Type of 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Amount of Interest, Fees or Dividends Credited to Income</w:t>
            </w:r>
            <w:r>
              <w:rPr>
                <w:rFonts w:ascii="Times New Roman" w:hAnsi="Times New Roman"/>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December 31, </w:t>
              <w:br/>
              <w:t xml:space="preserve">2021 </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Gross Additions</w:t>
            </w:r>
            <w:r>
              <w:rPr>
                <w:rFonts w:ascii="Times New Roman" w:hAnsi="Times New Roman"/>
                <w:b/>
                <w:color w:val="000000"/>
                <w:sz w:val="8"/>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Gross Reductions</w:t>
            </w:r>
            <w:r>
              <w:rPr>
                <w:rFonts w:ascii="Times New Roman" w:hAnsi="Times New Roman"/>
                <w:b/>
                <w:color w:val="000000"/>
                <w:sz w:val="8"/>
              </w:rPr>
              <w:t>(3)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Realized Gain/(Loss)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Unrealized Appreciation (Depreciation)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December 31, </w:t>
              <w:br/>
              <w:t xml:space="preserve">2022 </w:t>
              <w:br/>
              <w:t>Fair Value</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3" w:type="dxa"/>
            <w:gridSpan w:val="3"/>
            <w:tcBorders/>
            <w:shd w:fill="CFF0FC" w:val="clear"/>
            <w:vAlign w:val="center"/>
          </w:tcPr>
          <w:p>
            <w:pPr>
              <w:pStyle w:val="TableContents"/>
              <w:bidi w:val="0"/>
              <w:spacing w:before="0" w:after="283"/>
              <w:jc w:val="left"/>
              <w:rPr>
                <w:rFonts w:ascii="Times New Roman" w:hAnsi="Times New Roman"/>
                <w:sz w:val="12"/>
              </w:rPr>
            </w:pPr>
            <w:r>
              <w:rPr>
                <w:rFonts w:ascii="Times New Roman" w:hAnsi="Times New Roman"/>
                <w:b/>
                <w:i/>
                <w:color w:val="000000"/>
                <w:sz w:val="12"/>
                <w:u w:val="single"/>
              </w:rPr>
              <w:t>Affiliate investments</w:t>
            </w:r>
            <w:r>
              <w:rPr>
                <w:rFonts w:ascii="Times New Roman" w:hAnsi="Times New Roman"/>
                <w:b/>
                <w:i/>
                <w:color w:val="000000"/>
                <w:sz w:val="8"/>
                <w:u w:val="single"/>
              </w:rPr>
              <w:t>(6)</w:t>
            </w:r>
          </w:p>
        </w:tc>
        <w:tc>
          <w:tcPr>
            <w:tcW w:w="146" w:type="dxa"/>
            <w:tcBorders/>
            <w:shd w:fill="CFF0FC" w:val="clear"/>
            <w:vAlign w:val="center"/>
          </w:tcPr>
          <w:p>
            <w:pPr>
              <w:pStyle w:val="TableContents"/>
              <w:bidi w:val="0"/>
              <w:spacing w:before="0" w:after="283"/>
              <w:jc w:val="left"/>
              <w:rPr/>
            </w:pPr>
            <w:r>
              <w:rPr/>
              <w:t> </w:t>
            </w:r>
          </w:p>
        </w:tc>
        <w:tc>
          <w:tcPr>
            <w:tcW w:w="58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0"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9" w:type="dxa"/>
            <w:gridSpan w:val="2"/>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Burgaflex Holdings, LLC</w:t>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2"/>
              </w:rPr>
              <w:t>Common Stock Class B (1,085,073</w:t>
            </w:r>
            <w:r>
              <w:rPr>
                <w:rFonts w:ascii="Times New Roman" w:hAnsi="Times New Roman"/>
                <w:color w:val="000000"/>
                <w:sz w:val="20"/>
              </w:rPr>
              <w:t> </w:t>
            </w:r>
            <w:r>
              <w:rPr>
                <w:rFonts w:ascii="Times New Roman" w:hAnsi="Times New Roman"/>
                <w:b w:val="false"/>
                <w:color w:val="000000"/>
                <w:sz w:val="12"/>
              </w:rPr>
              <w:t>shares)</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8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1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63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662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8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2,190</w:t>
            </w:r>
          </w:p>
        </w:tc>
        <w:tc>
          <w:tcPr>
            <w:tcW w:w="200" w:type="dxa"/>
            <w:tcBorders/>
            <w:shd w:fill="FFFFFF" w:val="cle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Burgaflex Holdings, LLC</w:t>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2"/>
              </w:rPr>
              <w:t>Common Stock Class A (1,253,198</w:t>
            </w:r>
            <w:r>
              <w:rPr>
                <w:rFonts w:ascii="Times New Roman" w:hAnsi="Times New Roman"/>
                <w:color w:val="000000"/>
                <w:sz w:val="20"/>
              </w:rPr>
              <w:t> </w:t>
            </w:r>
            <w:r>
              <w:rPr>
                <w:rFonts w:ascii="Times New Roman" w:hAnsi="Times New Roman"/>
                <w:b w:val="false"/>
                <w:color w:val="000000"/>
                <w:sz w:val="12"/>
              </w:rPr>
              <w:t>shares)</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1,609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2,802</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2,271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4,992</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GA Communications, Inc.</w:t>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2"/>
              </w:rPr>
              <w:t>Series A-1 Preferred Stock (1,998</w:t>
            </w:r>
            <w:r>
              <w:rPr>
                <w:rFonts w:ascii="Times New Roman" w:hAnsi="Times New Roman"/>
                <w:color w:val="000000"/>
                <w:sz w:val="20"/>
              </w:rPr>
              <w:t> </w:t>
            </w:r>
            <w:r>
              <w:rPr>
                <w:rFonts w:ascii="Times New Roman" w:hAnsi="Times New Roman"/>
                <w:b w:val="false"/>
                <w:color w:val="000000"/>
                <w:sz w:val="12"/>
              </w:rPr>
              <w:t>shares)</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4,394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632"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(832</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3,562</w:t>
            </w:r>
          </w:p>
        </w:tc>
        <w:tc>
          <w:tcPr>
            <w:tcW w:w="200" w:type="dxa"/>
            <w:tcBorders/>
            <w:shd w:fill="CFF0FC" w:val="cle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GA Communications, Inc.</w:t>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2"/>
              </w:rPr>
              <w:t>Series B-1 Common Stock (200,000</w:t>
            </w:r>
            <w:r>
              <w:rPr>
                <w:rFonts w:ascii="Times New Roman" w:hAnsi="Times New Roman"/>
                <w:color w:val="000000"/>
                <w:sz w:val="20"/>
              </w:rPr>
              <w:t> </w:t>
            </w:r>
            <w:r>
              <w:rPr>
                <w:rFonts w:ascii="Times New Roman" w:hAnsi="Times New Roman"/>
                <w:b w:val="false"/>
                <w:color w:val="000000"/>
                <w:sz w:val="12"/>
              </w:rPr>
              <w:t>shares)</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(1,017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3,562</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Great Lakes Funding II LLC</w:t>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Series A</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403</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403</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GreenPark Infrastructure, LLC</w:t>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2"/>
              </w:rPr>
              <w:t>Series A (400</w:t>
            </w:r>
            <w:r>
              <w:rPr>
                <w:rFonts w:ascii="Times New Roman" w:hAnsi="Times New Roman"/>
                <w:color w:val="000000"/>
                <w:sz w:val="20"/>
              </w:rPr>
              <w:t> </w:t>
            </w:r>
            <w:r>
              <w:rPr>
                <w:rFonts w:ascii="Times New Roman" w:hAnsi="Times New Roman"/>
                <w:b w:val="false"/>
                <w:color w:val="000000"/>
                <w:sz w:val="12"/>
              </w:rPr>
              <w:t>Units)</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200</w:t>
            </w:r>
          </w:p>
        </w:tc>
        <w:tc>
          <w:tcPr>
            <w:tcW w:w="200" w:type="dxa"/>
            <w:tcBorders/>
            <w:shd w:fill="FFFFFF" w:val="cle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GreenPark Infrastructure, LLC</w:t>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2"/>
              </w:rPr>
              <w:t>Series M-1 (200</w:t>
            </w:r>
            <w:r>
              <w:rPr>
                <w:rFonts w:ascii="Times New Roman" w:hAnsi="Times New Roman"/>
                <w:color w:val="000000"/>
                <w:sz w:val="20"/>
              </w:rPr>
              <w:t> </w:t>
            </w:r>
            <w:r>
              <w:rPr>
                <w:rFonts w:ascii="Times New Roman" w:hAnsi="Times New Roman"/>
                <w:b w:val="false"/>
                <w:color w:val="000000"/>
                <w:sz w:val="12"/>
              </w:rPr>
              <w:t>Units)</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69</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269</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LJS Partners, LLC</w:t>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2"/>
              </w:rPr>
              <w:t>Preferred Units (202,336</w:t>
            </w:r>
            <w:r>
              <w:rPr>
                <w:rFonts w:ascii="Times New Roman" w:hAnsi="Times New Roman"/>
                <w:color w:val="000000"/>
                <w:sz w:val="20"/>
              </w:rPr>
              <w:t> </w:t>
            </w:r>
            <w:r>
              <w:rPr>
                <w:rFonts w:ascii="Times New Roman" w:hAnsi="Times New Roman"/>
                <w:b w:val="false"/>
                <w:color w:val="000000"/>
                <w:sz w:val="12"/>
              </w:rPr>
              <w:t>units)</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(979</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542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632"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(406</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LJS Partners, LLC</w:t>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2"/>
              </w:rPr>
              <w:t>Common Membership Units (2,593,234</w:t>
            </w:r>
            <w:r>
              <w:rPr>
                <w:rFonts w:ascii="Times New Roman" w:hAnsi="Times New Roman"/>
                <w:color w:val="000000"/>
                <w:sz w:val="20"/>
              </w:rPr>
              <w:t> </w:t>
            </w:r>
            <w:r>
              <w:rPr>
                <w:rFonts w:ascii="Times New Roman" w:hAnsi="Times New Roman"/>
                <w:b w:val="false"/>
                <w:color w:val="000000"/>
                <w:sz w:val="12"/>
              </w:rPr>
              <w:t>units)</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7,164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(2,354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1,130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(5,940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8,007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(3,333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1,672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(6,346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2"/>
              </w:rPr>
              <w:t>First Lien Debt (12.0% Cash, Due</w:t>
            </w:r>
            <w:r>
              <w:rPr>
                <w:rFonts w:ascii="Times New Roman" w:hAnsi="Times New Roman"/>
                <w:color w:val="000000"/>
                <w:sz w:val="20"/>
              </w:rPr>
              <w:t xml:space="preserve"> </w:t>
            </w:r>
            <w:r>
              <w:rPr>
                <w:rFonts w:ascii="Times New Roman" w:hAnsi="Times New Roman"/>
                <w:b w:val="false"/>
                <w:color w:val="000000"/>
                <w:sz w:val="12"/>
              </w:rPr>
              <w:t>4/1/22)</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2,600</w:t>
            </w:r>
          </w:p>
        </w:tc>
        <w:tc>
          <w:tcPr>
            <w:tcW w:w="200" w:type="dxa"/>
            <w:tcBorders/>
            <w:shd w:fill="FFFFFF" w:val="cle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MMI Holdings, LLC</w:t>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Second Lien Debt (6.0% Cash, Due 4/1/22)</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63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400</w:t>
            </w:r>
          </w:p>
        </w:tc>
        <w:tc>
          <w:tcPr>
            <w:tcW w:w="200" w:type="dxa"/>
            <w:tcBorders/>
            <w:shd w:fill="CFF0FC" w:val="cle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MMI Holdings, LLC</w:t>
            </w:r>
            <w:r>
              <w:rPr>
                <w:rFonts w:ascii="Times New Roman" w:hAnsi="Times New Roman"/>
                <w:b w:val="false"/>
                <w:color w:val="000000"/>
                <w:sz w:val="8"/>
              </w:rPr>
              <w:t>(5)</w:t>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2"/>
              </w:rPr>
              <w:t>Preferred Units (1,000</w:t>
            </w:r>
            <w:r>
              <w:rPr>
                <w:rFonts w:ascii="Times New Roman" w:hAnsi="Times New Roman"/>
                <w:color w:val="000000"/>
                <w:sz w:val="20"/>
              </w:rPr>
              <w:t> </w:t>
            </w:r>
            <w:r>
              <w:rPr>
                <w:rFonts w:ascii="Times New Roman" w:hAnsi="Times New Roman"/>
                <w:b w:val="false"/>
                <w:color w:val="000000"/>
                <w:sz w:val="12"/>
              </w:rPr>
              <w:t>units, 8.0% PIK Dividend)</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(656</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1,360</w:t>
            </w:r>
          </w:p>
        </w:tc>
        <w:tc>
          <w:tcPr>
            <w:tcW w:w="200" w:type="dxa"/>
            <w:tcBorders/>
            <w:shd w:fill="FFFFFF" w:val="cle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MMI Holdings, LLC</w:t>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2"/>
              </w:rPr>
              <w:t>Common Membership Units (45</w:t>
            </w:r>
            <w:r>
              <w:rPr>
                <w:rFonts w:ascii="Times New Roman" w:hAnsi="Times New Roman"/>
                <w:color w:val="000000"/>
                <w:sz w:val="20"/>
              </w:rPr>
              <w:t> </w:t>
            </w:r>
            <w:r>
              <w:rPr>
                <w:rFonts w:ascii="Times New Roman" w:hAnsi="Times New Roman"/>
                <w:b w:val="false"/>
                <w:color w:val="000000"/>
                <w:sz w:val="12"/>
              </w:rPr>
              <w:t>units)</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(719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4,360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Nth Degree Investment Group, LLC</w:t>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2"/>
              </w:rPr>
              <w:t>Membership Units (6,088,000</w:t>
            </w:r>
            <w:r>
              <w:rPr>
                <w:rFonts w:ascii="Times New Roman" w:hAnsi="Times New Roman"/>
                <w:color w:val="000000"/>
                <w:sz w:val="20"/>
              </w:rPr>
              <w:t> </w:t>
            </w:r>
            <w:r>
              <w:rPr>
                <w:rFonts w:ascii="Times New Roman" w:hAnsi="Times New Roman"/>
                <w:b w:val="false"/>
                <w:color w:val="000000"/>
                <w:sz w:val="12"/>
              </w:rPr>
              <w:t>units)</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5,320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5,320</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5,320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5,320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RAM Payment, LLC</w:t>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First Lien Debt (6.5% Cash (1 month LIBOR + 5.0%), 1.5% Floor), Due 1/4/24)</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(59</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63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939</w:t>
            </w:r>
          </w:p>
        </w:tc>
        <w:tc>
          <w:tcPr>
            <w:tcW w:w="200" w:type="dxa"/>
            <w:tcBorders/>
            <w:shd w:fill="CFF0FC" w:val="cle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RAM Payment, LLC</w:t>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First Lien Debt (12.45% Cash, Due 1/4/24)</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(159</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2,547</w:t>
            </w:r>
          </w:p>
        </w:tc>
        <w:tc>
          <w:tcPr>
            <w:tcW w:w="200" w:type="dxa"/>
            <w:tcBorders/>
            <w:shd w:fill="FFFFFF" w:val="cle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RAM Payment, LLC</w:t>
            </w:r>
            <w:r>
              <w:rPr>
                <w:rFonts w:ascii="Times New Roman" w:hAnsi="Times New Roman"/>
                <w:b w:val="false"/>
                <w:color w:val="000000"/>
                <w:sz w:val="8"/>
              </w:rPr>
              <w:t>(5)</w:t>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2"/>
              </w:rPr>
              <w:t>Preferred Units (86,000</w:t>
            </w:r>
            <w:r>
              <w:rPr>
                <w:rFonts w:ascii="Times New Roman" w:hAnsi="Times New Roman"/>
                <w:color w:val="000000"/>
                <w:sz w:val="20"/>
              </w:rPr>
              <w:t> </w:t>
            </w:r>
            <w:r>
              <w:rPr>
                <w:rFonts w:ascii="Times New Roman" w:hAnsi="Times New Roman"/>
                <w:b w:val="false"/>
                <w:color w:val="000000"/>
                <w:sz w:val="12"/>
              </w:rPr>
              <w:t>units, 6.0% PIK Dividend)</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(630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3,165</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(630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6,651</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Sierra Hamilton Holdings Corporation</w:t>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Second Lien Debt (15.0% PIK, Due 9/12/23)</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63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w:t>
            </w:r>
          </w:p>
        </w:tc>
        <w:tc>
          <w:tcPr>
            <w:tcW w:w="200" w:type="dxa"/>
            <w:tcBorders/>
            <w:shd w:fill="CFF0FC" w:val="cle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Sierra Hamilton Holdings Corporation</w:t>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2"/>
              </w:rPr>
              <w:t>Common Stock (15,068,000</w:t>
            </w:r>
            <w:r>
              <w:rPr>
                <w:rFonts w:ascii="Times New Roman" w:hAnsi="Times New Roman"/>
                <w:color w:val="000000"/>
                <w:sz w:val="20"/>
              </w:rPr>
              <w:t> </w:t>
            </w:r>
            <w:r>
              <w:rPr>
                <w:rFonts w:ascii="Times New Roman" w:hAnsi="Times New Roman"/>
                <w:b w:val="false"/>
                <w:color w:val="000000"/>
                <w:sz w:val="12"/>
              </w:rPr>
              <w:t>shares)</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254</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258</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V12 Holdings, Inc.</w:t>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Second Lien Debt</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509</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509</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23" w:type="dxa"/>
            <w:gridSpan w:val="3"/>
            <w:tcBorders/>
            <w:shd w:fill="FFFFFF" w:val="clear"/>
            <w:vAlign w:val="center"/>
          </w:tcPr>
          <w:p>
            <w:pPr>
              <w:pStyle w:val="TableContents"/>
              <w:bidi w:val="0"/>
              <w:spacing w:before="0" w:after="283"/>
              <w:jc w:val="left"/>
              <w:rPr>
                <w:rFonts w:ascii="Times New Roman" w:hAnsi="Times New Roman"/>
                <w:b/>
                <w:i/>
                <w:color w:val="000000"/>
                <w:sz w:val="12"/>
                <w:u w:val="single"/>
              </w:rPr>
            </w:pPr>
            <w:r>
              <w:rPr>
                <w:rFonts w:ascii="Times New Roman" w:hAnsi="Times New Roman"/>
                <w:b/>
                <w:i/>
                <w:color w:val="000000"/>
                <w:sz w:val="12"/>
                <w:u w:val="single"/>
              </w:rPr>
              <w:t>Total Affiliate investments</w:t>
            </w:r>
          </w:p>
        </w:tc>
        <w:tc>
          <w:tcPr>
            <w:tcW w:w="146" w:type="dxa"/>
            <w:tcBorders/>
            <w:shd w:fill="FFFFFF" w:val="clear"/>
            <w:vAlign w:val="center"/>
          </w:tcPr>
          <w:p>
            <w:pPr>
              <w:pStyle w:val="TableContents"/>
              <w:bidi w:val="0"/>
              <w:spacing w:before="0" w:after="283"/>
              <w:jc w:val="left"/>
              <w:rPr/>
            </w:pPr>
            <w:r>
              <w:rPr/>
              <w:t> </w:t>
            </w:r>
          </w:p>
        </w:tc>
        <w:tc>
          <w:tcPr>
            <w:tcW w:w="58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28,540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(3,654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1,672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(1,208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26,324</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23" w:type="dxa"/>
            <w:gridSpan w:val="3"/>
            <w:tcBorders/>
            <w:shd w:fill="CFF0FC" w:val="clear"/>
            <w:vAlign w:val="center"/>
          </w:tcPr>
          <w:p>
            <w:pPr>
              <w:pStyle w:val="TableContents"/>
              <w:bidi w:val="0"/>
              <w:spacing w:before="0" w:after="283"/>
              <w:jc w:val="left"/>
              <w:rPr>
                <w:rFonts w:ascii="Times New Roman" w:hAnsi="Times New Roman"/>
                <w:b/>
                <w:i/>
                <w:color w:val="000000"/>
                <w:sz w:val="12"/>
                <w:u w:val="single"/>
              </w:rPr>
            </w:pPr>
            <w:r>
              <w:rPr>
                <w:rFonts w:ascii="Times New Roman" w:hAnsi="Times New Roman"/>
                <w:b/>
                <w:i/>
                <w:color w:val="000000"/>
                <w:sz w:val="12"/>
                <w:u w:val="single"/>
              </w:rPr>
              <w:t>Control investments</w:t>
            </w:r>
          </w:p>
        </w:tc>
        <w:tc>
          <w:tcPr>
            <w:tcW w:w="146" w:type="dxa"/>
            <w:tcBorders/>
            <w:shd w:fill="CFF0FC" w:val="clear"/>
            <w:vAlign w:val="center"/>
          </w:tcPr>
          <w:p>
            <w:pPr>
              <w:pStyle w:val="TableContents"/>
              <w:bidi w:val="0"/>
              <w:spacing w:before="0" w:after="283"/>
              <w:jc w:val="left"/>
              <w:rPr/>
            </w:pPr>
            <w:r>
              <w:rPr/>
              <w:t> </w:t>
            </w:r>
          </w:p>
        </w:tc>
        <w:tc>
          <w:tcPr>
            <w:tcW w:w="58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0"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9" w:type="dxa"/>
            <w:gridSpan w:val="2"/>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Vology, Inc.</w:t>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First Lien Debt (10.5% Cash (1 month LIBOR + 8.5%, 2.0% Floor), Due 3/31/22)</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8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8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3,635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1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(3,635</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63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85"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Vology, Inc.</w:t>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2"/>
              </w:rPr>
              <w:t>Class A Preferred Units (9,041,810</w:t>
            </w:r>
            <w:r>
              <w:rPr>
                <w:rFonts w:ascii="Times New Roman" w:hAnsi="Times New Roman"/>
                <w:color w:val="000000"/>
                <w:sz w:val="20"/>
              </w:rPr>
              <w:t> </w:t>
            </w:r>
            <w:r>
              <w:rPr>
                <w:rFonts w:ascii="Times New Roman" w:hAnsi="Times New Roman"/>
                <w:b w:val="false"/>
                <w:color w:val="000000"/>
                <w:sz w:val="12"/>
              </w:rPr>
              <w:t>Units)</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(5,215</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632"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2,011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Vology, Inc.</w:t>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2"/>
              </w:rPr>
              <w:t>Membership Units (5,363,982</w:t>
            </w:r>
            <w:r>
              <w:rPr>
                <w:rFonts w:ascii="Times New Roman" w:hAnsi="Times New Roman"/>
                <w:color w:val="000000"/>
                <w:sz w:val="20"/>
              </w:rPr>
              <w:t> </w:t>
            </w:r>
            <w:r>
              <w:rPr>
                <w:rFonts w:ascii="Times New Roman" w:hAnsi="Times New Roman"/>
                <w:b w:val="false"/>
                <w:color w:val="000000"/>
                <w:sz w:val="12"/>
              </w:rPr>
              <w:t>Units)</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23" w:type="dxa"/>
            <w:gridSpan w:val="3"/>
            <w:tcBorders/>
            <w:shd w:fill="CFF0FC" w:val="clear"/>
            <w:vAlign w:val="center"/>
          </w:tcPr>
          <w:p>
            <w:pPr>
              <w:pStyle w:val="TableContents"/>
              <w:bidi w:val="0"/>
              <w:spacing w:before="0" w:after="283"/>
              <w:jc w:val="left"/>
              <w:rPr>
                <w:rFonts w:ascii="Times New Roman" w:hAnsi="Times New Roman"/>
                <w:b/>
                <w:i/>
                <w:color w:val="000000"/>
                <w:sz w:val="12"/>
                <w:u w:val="single"/>
              </w:rPr>
            </w:pPr>
            <w:r>
              <w:rPr>
                <w:rFonts w:ascii="Times New Roman" w:hAnsi="Times New Roman"/>
                <w:b/>
                <w:i/>
                <w:color w:val="000000"/>
                <w:sz w:val="12"/>
                <w:u w:val="single"/>
              </w:rPr>
              <w:t>Total Control investments</w:t>
            </w:r>
          </w:p>
        </w:tc>
        <w:tc>
          <w:tcPr>
            <w:tcW w:w="146" w:type="dxa"/>
            <w:tcBorders/>
            <w:shd w:fill="CFF0FC" w:val="clear"/>
            <w:vAlign w:val="center"/>
          </w:tcPr>
          <w:p>
            <w:pPr>
              <w:pStyle w:val="TableContents"/>
              <w:bidi w:val="0"/>
              <w:spacing w:before="0" w:after="283"/>
              <w:jc w:val="left"/>
              <w:rPr/>
            </w:pPr>
            <w:r>
              <w:rPr/>
              <w:t> </w:t>
            </w:r>
          </w:p>
        </w:tc>
        <w:tc>
          <w:tcPr>
            <w:tcW w:w="58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6,839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(3,635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(5,215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6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2,011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top w:val="single" w:sz="6" w:space="1" w:color="000000"/>
        </w:pBdr>
        <w:bidi w:val="0"/>
        <w:spacing w:before="120" w:after="283"/>
        <w:jc w:val="both"/>
        <w:rPr/>
      </w:pPr>
      <w:r>
        <w:rPr/>
        <w:t> </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(1)</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Represents the total amount of interest, original issue discount, fees and dividends credited to income for the portion of the year an investment was included in Affiliate or Control categories, respectively.</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(2)</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(3)</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Gross reductions include decreases in the cost basis of investments resulting from principal repayments and sales. Gross reductions also include transfers out of Affiliate or Control classification.</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(4)</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All debt investments are income producing. Equity and warrant investments are non-income producing, unless otherwise noted.</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(5)</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The equity investment is income producing, based on rate disclosed.</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(6)</w:t>
      </w:r>
    </w:p>
    <w:p>
      <w:pPr>
        <w:pStyle w:val="TextBody"/>
        <w:bidi w:val="0"/>
        <w:jc w:val="both"/>
        <w:rPr>
          <w:rFonts w:ascii="Times New Roman" w:hAnsi="Times New Roman"/>
          <w:sz w:val="20"/>
        </w:rPr>
      </w:pPr>
      <w:r>
        <w:rPr>
          <w:rFonts w:ascii="Times New Roman" w:hAnsi="Times New Roman"/>
          <w:b w:val="false"/>
          <w:color w:val="000000"/>
          <w:sz w:val="14"/>
        </w:rPr>
        <w:t>During the second quarter of 2022, Eastport Holdings, LLC completed a refinancing and recapitalization transaction. Logan Ridge received $16.5</w:t>
      </w:r>
      <w:r>
        <w:rPr>
          <w:rFonts w:ascii="Times New Roman" w:hAnsi="Times New Roman"/>
          <w:color w:val="000000"/>
          <w:sz w:val="20"/>
        </w:rPr>
        <w:t xml:space="preserve"> </w:t>
      </w:r>
      <w:r>
        <w:rPr>
          <w:rFonts w:ascii="Times New Roman" w:hAnsi="Times New Roman"/>
          <w:b w:val="false"/>
          <w:color w:val="000000"/>
          <w:sz w:val="14"/>
        </w:rPr>
        <w:t>million in cash and $19.3</w:t>
      </w:r>
      <w:r>
        <w:rPr>
          <w:rFonts w:ascii="Times New Roman" w:hAnsi="Times New Roman"/>
          <w:color w:val="000000"/>
          <w:sz w:val="20"/>
        </w:rPr>
        <w:t xml:space="preserve"> </w:t>
      </w:r>
      <w:r>
        <w:rPr>
          <w:rFonts w:ascii="Times New Roman" w:hAnsi="Times New Roman"/>
          <w:b w:val="false"/>
          <w:color w:val="000000"/>
          <w:sz w:val="14"/>
        </w:rPr>
        <w:t>million in principal of a new debt security in exchange for all of its previous debt and equity securities, which resulted in a realized gain of approximately $16.0</w:t>
      </w:r>
      <w:r>
        <w:rPr>
          <w:rFonts w:ascii="Times New Roman" w:hAnsi="Times New Roman"/>
          <w:color w:val="000000"/>
          <w:sz w:val="20"/>
        </w:rPr>
        <w:t xml:space="preserve"> </w:t>
      </w:r>
      <w:r>
        <w:rPr>
          <w:rFonts w:ascii="Times New Roman" w:hAnsi="Times New Roman"/>
          <w:b w:val="false"/>
          <w:color w:val="000000"/>
          <w:sz w:val="14"/>
        </w:rPr>
        <w:t>million on the Company's equity interest. As a result of this transaction, Eastport Holdings, LLC is no longer an affiliate of the Company.</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September 30,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240" w:after="120"/>
        <w:jc w:val="left"/>
        <w:rPr>
          <w:rFonts w:ascii="Times New Roman" w:hAnsi="Times New Roman"/>
          <w:b/>
          <w:color w:val="000000"/>
          <w:sz w:val="16"/>
        </w:rPr>
      </w:pPr>
      <w:r>
        <w:rPr>
          <w:rFonts w:ascii="Times New Roman" w:hAnsi="Times New Roman"/>
          <w:b/>
          <w:color w:val="000000"/>
          <w:sz w:val="16"/>
        </w:rPr>
        <w:t>Note 5. Agreements and Related Party Transactions</w:t>
      </w:r>
    </w:p>
    <w:p>
      <w:pPr>
        <w:pStyle w:val="TextBody"/>
        <w:bidi w:val="0"/>
        <w:spacing w:before="240" w:after="120"/>
        <w:jc w:val="left"/>
        <w:rPr>
          <w:rFonts w:ascii="Times New Roman" w:hAnsi="Times New Roman"/>
          <w:b w:val="false"/>
          <w:i/>
          <w:color w:val="000000"/>
          <w:sz w:val="16"/>
        </w:rPr>
      </w:pPr>
      <w:r>
        <w:rPr>
          <w:rFonts w:ascii="Times New Roman" w:hAnsi="Times New Roman"/>
          <w:b w:val="false"/>
          <w:i/>
          <w:color w:val="000000"/>
          <w:sz w:val="16"/>
        </w:rPr>
        <w:t>Investment Advisory Agreement</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On July 1, 2021, the Company entered into the Investment Advisory Agreement with the Investment Adviser, which was approved by the Company’s stockholders on May 27, 2021. Unless earlier terminated in accordance with its terms, the Investment Advisory Agreement will remain in effect from year to year if approved annually by the Board or by a majority of our Independent Directors. The Board most recently approved the renewal of the Investment Advisory Agreement ata meeting on May 9, 2023. Subject to the overall supervision of the Board, the Investment Adviser manages our day-to-day operations and provides investment advisory and management services to us. Under the terms of the Investment Advisory Agreement, the Investment Adviser:</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 determines the composition of our portfolio, the nature and timing of the changes to our portfolio, and the manner of implementing such changes;</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 identifies, evaluates, and negotiates the structure of the investments we make (including performing due diligence on our prospective portfolio companies);</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 closes and monitors the investments we make; and</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 provides us with other investment advisory, research, and related services as we may from time to time require.</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The Investment Adviser’s services under the Investment Advisory Agreement are not exclusive, and it is free to furnish similar services to other entities so long as its services to us are not impaired.</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The Investment Advisory Agreement provides that, absent willful misfeasance, bad faith, or negligence in the performance of its duties or by reason of the reckless disregard of its duties and obligations, the Investment Adviser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Adviser’s services under the Investment Advisory Agreement or otherwise as Investment Adviser for the Company.</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Pursuant to the Investment Advisory Agreement, the Company has agreed to pay the Investment Adviser a fee for investment advisory and management services consisting of two components — a base management fee and an incentive fee.</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 xml:space="preserve">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is calculated based on the average value of the gross assets at the end of the two most recently completed calendar quarters, and appropriately adjusted for any share issuances or repurchases during the current calendar quarter. </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The incentive fee consists of the following two parts:</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Company pays the Investment Adviser an incentive fee with respect to the pre-incentive fee net investment income in each calendar quarter as follows: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 no incentive fee in any calendar quarter in which the pre-incentive fee net investment income does not exceed the hurdle of 2.0%;</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 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Adviser with 20% of the pre-incentive fee net investment income as if a hurdle did not apply if this net investment income exceeds 2.5% in any calendar quarter; and</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 20% of the amount of the pre-incentive fee net investment income, if any, that exceeds 2.5% in any calendar quarter (10.0% annualized) is payable to the Investment Adviser (once the hurdle is reached and the catch-up is achieved, 20% of all pre-incentive fee investment income thereafter is allocated to the Investment Adviser).</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The second part of the incentive fee is determined and payable in arrears as of the end of each calendar year, commencing on December 31, 2021, and equals 20.0% of the Company’s realized capital gains, if any, on a cumulative basis with respect to each of the investments in the Company’s portfolio from the fiscal quarter ending on or immediately prior to July 1, 2021 through the end of each calendar year beginning with the calendar year ending December 31, 2021, computed net of all realized capital losses and unrealized capital depreciation on a cumulative basis from September 30, 2021 through the end of each calendar year beginning with the calendar year ending December 31, 2021, less the aggregate amount of any previously paid capital gain fees under the Investment Advisory Agreement. Any realized capital gains, realized capital losses and unrealized capital depreciation with respect to the Company’s portfolio as of the end of the fiscal quarter ending on or immediately prior to July 1, 2021 are excluded from the calculations of the capital gains fee. In the event that the Investment Advisory Agreement terminates as of a date that is not a calendar year end, the termination date shall be treated as though it were a calendar year end for purposes of calculating and paying a capital gains fee.</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The Company will defer cash payment of the portion of any incentive fee otherwise earned by the Investment Adviser that would, when taken together with all other incentive fees paid to the Investment Adviser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September 30,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such payment is payable under the Investment Advisory Agreement. As of September 30, 2023 and December 31, 2022, the Company did not have incentive fees payable to the Investment Adviser related to fees earned in prior years but deferred under the incentive fee deferral mechanism.</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As part of the Transaction, the Investment Adviser entered into the Fee Waiver with the Company to waive, to the extent necessary, any capital gains fee under the Investment Advisory Agreement that exceeds what would have been paid to Capitala in the aggregate over such two-year period under the prior advisory agreement. The Fee Waiver expired at the end of the two-year period.</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For the three months ended September 30, 2023 and 2022, the Company incurred $0.9</w:t>
      </w:r>
      <w:r>
        <w:rPr>
          <w:rFonts w:ascii="Times New Roman" w:hAnsi="Times New Roman"/>
          <w:color w:val="000000"/>
          <w:sz w:val="20"/>
        </w:rPr>
        <w:t xml:space="preserve"> </w:t>
      </w:r>
      <w:r>
        <w:rPr>
          <w:rFonts w:ascii="Times New Roman" w:hAnsi="Times New Roman"/>
          <w:b w:val="false"/>
          <w:color w:val="000000"/>
          <w:sz w:val="16"/>
        </w:rPr>
        <w:t>million</w:t>
      </w:r>
      <w:r>
        <w:rPr>
          <w:rFonts w:ascii="Times New Roman" w:hAnsi="Times New Roman"/>
          <w:color w:val="000000"/>
          <w:sz w:val="20"/>
        </w:rPr>
        <w:t xml:space="preserve"> </w:t>
      </w:r>
      <w:r>
        <w:rPr>
          <w:rFonts w:ascii="Times New Roman" w:hAnsi="Times New Roman"/>
          <w:b w:val="false"/>
          <w:color w:val="000000"/>
          <w:sz w:val="16"/>
        </w:rPr>
        <w:t>and $0.9</w:t>
      </w:r>
      <w:r>
        <w:rPr>
          <w:rFonts w:ascii="Times New Roman" w:hAnsi="Times New Roman"/>
          <w:color w:val="000000"/>
          <w:sz w:val="20"/>
        </w:rPr>
        <w:t xml:space="preserve"> </w:t>
      </w:r>
      <w:r>
        <w:rPr>
          <w:rFonts w:ascii="Times New Roman" w:hAnsi="Times New Roman"/>
          <w:b w:val="false"/>
          <w:color w:val="000000"/>
          <w:sz w:val="16"/>
        </w:rPr>
        <w:t>million</w:t>
      </w:r>
      <w:r>
        <w:rPr>
          <w:rFonts w:ascii="Times New Roman" w:hAnsi="Times New Roman"/>
          <w:color w:val="000000"/>
          <w:sz w:val="20"/>
        </w:rPr>
        <w:t xml:space="preserve"> </w:t>
      </w:r>
      <w:r>
        <w:rPr>
          <w:rFonts w:ascii="Times New Roman" w:hAnsi="Times New Roman"/>
          <w:b w:val="false"/>
          <w:color w:val="000000"/>
          <w:sz w:val="16"/>
        </w:rPr>
        <w:t>in base management fees, respectively. The Company did not an earn incentive fee related to pre-incentive fee net investment income or capital gains for the three months ended September 30, 2023 and 2022.</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For the nine months ended September 30, 2023 and 2022, the Company incurred $2.8</w:t>
      </w:r>
      <w:r>
        <w:rPr>
          <w:rFonts w:ascii="Times New Roman" w:hAnsi="Times New Roman"/>
          <w:color w:val="000000"/>
          <w:sz w:val="20"/>
        </w:rPr>
        <w:t xml:space="preserve"> </w:t>
      </w:r>
      <w:r>
        <w:rPr>
          <w:rFonts w:ascii="Times New Roman" w:hAnsi="Times New Roman"/>
          <w:b w:val="false"/>
          <w:color w:val="000000"/>
          <w:sz w:val="16"/>
        </w:rPr>
        <w:t>million</w:t>
      </w:r>
      <w:r>
        <w:rPr>
          <w:rFonts w:ascii="Times New Roman" w:hAnsi="Times New Roman"/>
          <w:color w:val="000000"/>
          <w:sz w:val="20"/>
        </w:rPr>
        <w:t xml:space="preserve"> </w:t>
      </w:r>
      <w:r>
        <w:rPr>
          <w:rFonts w:ascii="Times New Roman" w:hAnsi="Times New Roman"/>
          <w:b w:val="false"/>
          <w:color w:val="000000"/>
          <w:sz w:val="16"/>
        </w:rPr>
        <w:t>and $2.9</w:t>
      </w:r>
      <w:r>
        <w:rPr>
          <w:rFonts w:ascii="Times New Roman" w:hAnsi="Times New Roman"/>
          <w:color w:val="000000"/>
          <w:sz w:val="20"/>
        </w:rPr>
        <w:t xml:space="preserve"> </w:t>
      </w:r>
      <w:r>
        <w:rPr>
          <w:rFonts w:ascii="Times New Roman" w:hAnsi="Times New Roman"/>
          <w:b w:val="false"/>
          <w:color w:val="000000"/>
          <w:sz w:val="16"/>
        </w:rPr>
        <w:t>million</w:t>
      </w:r>
      <w:r>
        <w:rPr>
          <w:rFonts w:ascii="Times New Roman" w:hAnsi="Times New Roman"/>
          <w:color w:val="000000"/>
          <w:sz w:val="20"/>
        </w:rPr>
        <w:t xml:space="preserve"> </w:t>
      </w:r>
      <w:r>
        <w:rPr>
          <w:rFonts w:ascii="Times New Roman" w:hAnsi="Times New Roman"/>
          <w:b w:val="false"/>
          <w:color w:val="000000"/>
          <w:sz w:val="16"/>
        </w:rPr>
        <w:t>in base management fees, respectively. The Company did not an earn incentive fee related to pre-incentive fee net investment income or capital gains for the nine months ended September 30, 2023 and 2022.</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As of September 30, 2023 and December 31, 2022, the Company had $0.9</w:t>
      </w:r>
      <w:r>
        <w:rPr>
          <w:rFonts w:ascii="Times New Roman" w:hAnsi="Times New Roman"/>
          <w:color w:val="000000"/>
          <w:sz w:val="20"/>
        </w:rPr>
        <w:t xml:space="preserve"> </w:t>
      </w:r>
      <w:r>
        <w:rPr>
          <w:rFonts w:ascii="Times New Roman" w:hAnsi="Times New Roman"/>
          <w:b w:val="false"/>
          <w:color w:val="000000"/>
          <w:sz w:val="16"/>
        </w:rPr>
        <w:t>million</w:t>
      </w:r>
      <w:r>
        <w:rPr>
          <w:rFonts w:ascii="Times New Roman" w:hAnsi="Times New Roman"/>
          <w:color w:val="000000"/>
          <w:sz w:val="20"/>
        </w:rPr>
        <w:t xml:space="preserve"> </w:t>
      </w:r>
      <w:r>
        <w:rPr>
          <w:rFonts w:ascii="Times New Roman" w:hAnsi="Times New Roman"/>
          <w:b w:val="false"/>
          <w:color w:val="000000"/>
          <w:sz w:val="16"/>
        </w:rPr>
        <w:t>and $0.9</w:t>
      </w:r>
      <w:r>
        <w:rPr>
          <w:rFonts w:ascii="Times New Roman" w:hAnsi="Times New Roman"/>
          <w:color w:val="000000"/>
          <w:sz w:val="20"/>
        </w:rPr>
        <w:t xml:space="preserve"> </w:t>
      </w:r>
      <w:r>
        <w:rPr>
          <w:rFonts w:ascii="Times New Roman" w:hAnsi="Times New Roman"/>
          <w:b w:val="false"/>
          <w:color w:val="000000"/>
          <w:sz w:val="16"/>
        </w:rPr>
        <w:t>million, respectively, of management and incentive fees payable to the Investment Adviser. These amounts are reflected in the accompanying consolidated statements of assets and liabilities under the caption “Management and incentive fees payable.”</w:t>
      </w:r>
    </w:p>
    <w:p>
      <w:pPr>
        <w:pStyle w:val="TextBody"/>
        <w:bidi w:val="0"/>
        <w:spacing w:before="120" w:after="283"/>
        <w:jc w:val="both"/>
        <w:rPr>
          <w:rFonts w:ascii="Times New Roman" w:hAnsi="Times New Roman"/>
          <w:b w:val="false"/>
          <w:i/>
          <w:color w:val="000000"/>
          <w:sz w:val="16"/>
        </w:rPr>
      </w:pPr>
      <w:r>
        <w:rPr>
          <w:rFonts w:ascii="Times New Roman" w:hAnsi="Times New Roman"/>
          <w:b w:val="false"/>
          <w:i/>
          <w:color w:val="000000"/>
          <w:sz w:val="16"/>
        </w:rPr>
        <w:t>Administration Agreement</w:t>
      </w:r>
    </w:p>
    <w:p>
      <w:pPr>
        <w:pStyle w:val="TextBody"/>
        <w:bidi w:val="0"/>
        <w:spacing w:before="120" w:after="120"/>
        <w:jc w:val="both"/>
        <w:rPr>
          <w:rFonts w:ascii="Times New Roman" w:hAnsi="Times New Roman"/>
          <w:sz w:val="20"/>
        </w:rPr>
      </w:pPr>
      <w:r>
        <w:rPr>
          <w:rFonts w:ascii="Times New Roman" w:hAnsi="Times New Roman"/>
          <w:b w:val="false"/>
          <w:color w:val="000000"/>
          <w:sz w:val="16"/>
        </w:rPr>
        <w:t>On July 1, 2021, the Company entered into the Administration Agreement, pursuant to which the Administrator has agreed to furnish the Company with office facilities, equipment and clerical, bookkeeping, and record keeping services at such facilities. The Administrator also performs or oversees the performance of the required administrative services, which include, among other things, being responsible for the financial records that the Company is required to maintain and preparing reports to our stockholders. In addition, the Administrator assists in determining and publishing the net asset value, oversees the preparation and filing of the tax returns and the printing and dissemination of reports to the stockholders, and generally oversees the payment of the expenses and the performance of administrative and professional services rendered to the Company by others.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the chief compliance officer, and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was renewed on May 9, 2023 for a period of one year effective July 1, 2023 and will remain in effect until July 1, 2024. It will remain in effect from year-to-year thereafter if approved annually by the Board.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For the three months ended September 30, 2023 and 2022, the Company accrued $0.2</w:t>
      </w:r>
      <w:r>
        <w:rPr>
          <w:rFonts w:ascii="Times New Roman" w:hAnsi="Times New Roman"/>
          <w:color w:val="000000"/>
          <w:sz w:val="20"/>
        </w:rPr>
        <w:t xml:space="preserve"> </w:t>
      </w:r>
      <w:r>
        <w:rPr>
          <w:rFonts w:ascii="Times New Roman" w:hAnsi="Times New Roman"/>
          <w:b w:val="false"/>
          <w:color w:val="000000"/>
          <w:sz w:val="16"/>
        </w:rPr>
        <w:t>million</w:t>
      </w:r>
      <w:r>
        <w:rPr>
          <w:rFonts w:ascii="Times New Roman" w:hAnsi="Times New Roman"/>
          <w:color w:val="000000"/>
          <w:sz w:val="20"/>
        </w:rPr>
        <w:t xml:space="preserve"> </w:t>
      </w:r>
      <w:r>
        <w:rPr>
          <w:rFonts w:ascii="Times New Roman" w:hAnsi="Times New Roman"/>
          <w:b w:val="false"/>
          <w:color w:val="000000"/>
          <w:sz w:val="16"/>
        </w:rPr>
        <w:t>and $0.2</w:t>
      </w:r>
      <w:r>
        <w:rPr>
          <w:rFonts w:ascii="Times New Roman" w:hAnsi="Times New Roman"/>
          <w:color w:val="000000"/>
          <w:sz w:val="20"/>
        </w:rPr>
        <w:t xml:space="preserve"> </w:t>
      </w:r>
      <w:r>
        <w:rPr>
          <w:rFonts w:ascii="Times New Roman" w:hAnsi="Times New Roman"/>
          <w:b w:val="false"/>
          <w:color w:val="000000"/>
          <w:sz w:val="16"/>
        </w:rPr>
        <w:t>million, respectively, for the Company’s allocable portion of the Administrator’s overhead.</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For the nine months ended September 30, 2023 and 2022, the Company accrued $0.7</w:t>
      </w:r>
      <w:r>
        <w:rPr>
          <w:rFonts w:ascii="Times New Roman" w:hAnsi="Times New Roman"/>
          <w:color w:val="000000"/>
          <w:sz w:val="20"/>
        </w:rPr>
        <w:t xml:space="preserve"> </w:t>
      </w:r>
      <w:r>
        <w:rPr>
          <w:rFonts w:ascii="Times New Roman" w:hAnsi="Times New Roman"/>
          <w:b w:val="false"/>
          <w:color w:val="000000"/>
          <w:sz w:val="16"/>
        </w:rPr>
        <w:t>million</w:t>
      </w:r>
      <w:r>
        <w:rPr>
          <w:rFonts w:ascii="Times New Roman" w:hAnsi="Times New Roman"/>
          <w:color w:val="000000"/>
          <w:sz w:val="20"/>
        </w:rPr>
        <w:t xml:space="preserve"> </w:t>
      </w:r>
      <w:r>
        <w:rPr>
          <w:rFonts w:ascii="Times New Roman" w:hAnsi="Times New Roman"/>
          <w:b w:val="false"/>
          <w:color w:val="000000"/>
          <w:sz w:val="16"/>
        </w:rPr>
        <w:t>and $0.4</w:t>
      </w:r>
      <w:r>
        <w:rPr>
          <w:rFonts w:ascii="Times New Roman" w:hAnsi="Times New Roman"/>
          <w:color w:val="000000"/>
          <w:sz w:val="20"/>
        </w:rPr>
        <w:t xml:space="preserve"> </w:t>
      </w:r>
      <w:r>
        <w:rPr>
          <w:rFonts w:ascii="Times New Roman" w:hAnsi="Times New Roman"/>
          <w:b w:val="false"/>
          <w:color w:val="000000"/>
          <w:sz w:val="16"/>
        </w:rPr>
        <w:t>million, respectively, for the Company’s allocable portion of the Administrator’s overhead.</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pStyle w:val="TextBody"/>
        <w:bidi w:val="0"/>
        <w:spacing w:before="120" w:after="283"/>
        <w:jc w:val="left"/>
        <w:rPr>
          <w:rFonts w:ascii="Times New Roman" w:hAnsi="Times New Roman"/>
          <w:b w:val="false"/>
          <w:i/>
          <w:color w:val="000000"/>
          <w:sz w:val="16"/>
        </w:rPr>
      </w:pPr>
      <w:r>
        <w:rPr>
          <w:rFonts w:ascii="Times New Roman" w:hAnsi="Times New Roman"/>
          <w:b w:val="false"/>
          <w:i/>
          <w:color w:val="000000"/>
          <w:sz w:val="16"/>
        </w:rPr>
        <w:t>Co-investment Exemptive Relief</w:t>
      </w:r>
    </w:p>
    <w:p>
      <w:pPr>
        <w:pStyle w:val="TextBody"/>
        <w:bidi w:val="0"/>
        <w:spacing w:before="120" w:after="120"/>
        <w:jc w:val="both"/>
        <w:rPr>
          <w:rFonts w:ascii="Times New Roman" w:hAnsi="Times New Roman"/>
          <w:sz w:val="20"/>
        </w:rPr>
      </w:pPr>
      <w:r>
        <w:rPr>
          <w:rFonts w:ascii="Times New Roman" w:hAnsi="Times New Roman"/>
          <w:b w:val="false"/>
          <w:color w:val="000000"/>
          <w:sz w:val="16"/>
        </w:rPr>
        <w:t>As a BDC, the Company is subject to certain regulatory restrictions in making its investments. For example, BDCs generally are not permitted to co-invest with certain affiliated entities in transactions originated by the BDC or its affiliates in the absence of an exemptive order from the SEC. However, BDCs are permitted to, and may, simultaneously co-invest in transactions where price is the only negotiated term. On April 10, 2023, superseding a prior exemptive order granted on October 23, 2018, the SEC issued an order granting an application for exemptive relief to us and certain of our affiliates that allows BDCs managed by the Investment Adviser, including Logan Ridge, to co-invest, subject to the satisfaction of certain conditions, in certain private placement transactions, with other funds managed by the Investment Adviser or its affiliates, certain proprietary accounts of the Investment Adviser or its affiliates and any future funds that are advised by the Investment Adviser or its affiliated investment advisers.</w:t>
      </w:r>
      <w:r>
        <w:rPr>
          <w:rFonts w:ascii="Times New Roman" w:hAnsi="Times New Roman"/>
          <w:color w:val="000000"/>
          <w:sz w:val="20"/>
        </w:rPr>
        <w:t xml:space="preserve"> </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Under the terms of the exemptive order, in order for the Company to participate in a co-investment transaction a “required majority” (as defined in Section 57(0) of the 1940 Act) of the Company's independent directors must conclude that (i) the terms of the proposed transaction, including the consideration to be paid, are reasonable and fair to the Company and its stockholders and do not involve overreaching with respect of the Company or its stockholders on the part of any person concerned, and (ii) the proposed transaction is consistent with the interests of the Company's stockholders and is consistent with the Company's investment objectives and strategies and certain criteria established by the Board.</w:t>
      </w:r>
    </w:p>
    <w:p>
      <w:pPr>
        <w:pStyle w:val="TextBody"/>
        <w:bidi w:val="0"/>
        <w:spacing w:before="120" w:after="120"/>
        <w:jc w:val="both"/>
        <w:rPr>
          <w:rFonts w:ascii="Times New Roman" w:hAnsi="Times New Roman"/>
          <w:b w:val="false"/>
          <w:i/>
          <w:color w:val="000000"/>
          <w:sz w:val="16"/>
        </w:rPr>
      </w:pPr>
      <w:r>
        <w:rPr>
          <w:rFonts w:ascii="Times New Roman" w:hAnsi="Times New Roman"/>
          <w:b w:val="false"/>
          <w:i/>
          <w:color w:val="000000"/>
          <w:sz w:val="16"/>
        </w:rPr>
        <w:t>Trade with Affiliated Funds</w:t>
      </w:r>
    </w:p>
    <w:p>
      <w:pPr>
        <w:pStyle w:val="TextBody"/>
        <w:bidi w:val="0"/>
        <w:spacing w:before="120" w:after="120"/>
        <w:jc w:val="both"/>
        <w:rPr>
          <w:rFonts w:ascii="Times New Roman" w:hAnsi="Times New Roman"/>
          <w:sz w:val="20"/>
        </w:rPr>
      </w:pPr>
      <w:r>
        <w:rPr>
          <w:rFonts w:ascii="Times New Roman" w:hAnsi="Times New Roman"/>
          <w:b w:val="false"/>
          <w:color w:val="000000"/>
          <w:sz w:val="16"/>
        </w:rPr>
        <w:t>There were no transactions subject to Rule 17a-7 under the 1940 Act during the three and nine months ended September 30, 2023. During both the three and nine months ended September 30, 2022, the Company sold $7.9</w:t>
      </w:r>
      <w:r>
        <w:rPr>
          <w:rFonts w:ascii="Times New Roman" w:hAnsi="Times New Roman"/>
          <w:color w:val="000000"/>
          <w:sz w:val="20"/>
        </w:rPr>
        <w:t xml:space="preserve"> </w:t>
      </w:r>
      <w:r>
        <w:rPr>
          <w:rFonts w:ascii="Times New Roman" w:hAnsi="Times New Roman"/>
          <w:b w:val="false"/>
          <w:color w:val="000000"/>
          <w:sz w:val="16"/>
        </w:rPr>
        <w:t>million in total investments to an affiliated fund in accordance with, and pursuant to procedures adopted under, Rule 17a-7 of the 1940 Act. Realized losses on those sales for the same periods amounted to less than $0.1</w:t>
      </w:r>
      <w:r>
        <w:rPr>
          <w:rFonts w:ascii="Times New Roman" w:hAnsi="Times New Roman"/>
          <w:color w:val="000000"/>
          <w:sz w:val="20"/>
        </w:rPr>
        <w:t xml:space="preserve"> </w:t>
      </w:r>
      <w:r>
        <w:rPr>
          <w:rFonts w:ascii="Times New Roman" w:hAnsi="Times New Roman"/>
          <w:b w:val="false"/>
          <w:color w:val="000000"/>
          <w:sz w:val="16"/>
        </w:rPr>
        <w:t>million, respectively.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September 30,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120"/>
        <w:jc w:val="both"/>
        <w:rPr>
          <w:rFonts w:ascii="Times New Roman" w:hAnsi="Times New Roman"/>
          <w:b w:val="false"/>
          <w:i/>
          <w:color w:val="000000"/>
          <w:sz w:val="16"/>
        </w:rPr>
      </w:pPr>
      <w:r>
        <w:rPr>
          <w:rFonts w:ascii="Times New Roman" w:hAnsi="Times New Roman"/>
          <w:b w:val="false"/>
          <w:i/>
          <w:color w:val="000000"/>
          <w:sz w:val="16"/>
        </w:rPr>
        <w:t>Potential Conflicts of Interest</w:t>
      </w:r>
    </w:p>
    <w:p>
      <w:pPr>
        <w:pStyle w:val="TextBody"/>
        <w:bidi w:val="0"/>
        <w:spacing w:before="120" w:after="120"/>
        <w:jc w:val="both"/>
        <w:rPr>
          <w:rFonts w:ascii="Times New Roman" w:hAnsi="Times New Roman"/>
          <w:sz w:val="20"/>
        </w:rPr>
      </w:pPr>
      <w:r>
        <w:rPr>
          <w:rFonts w:ascii="Times New Roman" w:hAnsi="Times New Roman"/>
          <w:b w:val="false"/>
          <w:color w:val="000000"/>
          <w:sz w:val="16"/>
        </w:rPr>
        <w:t>The members of the senior management and investment teams of the Investment Adviser serve or may serve as officers, directors or principals of entities that operate in the same or a related line of business as the Company does, or of investment vehicles managed by the same personnel. In serving in these multiple and other capacities, they may have obligations to other clients or investors in those entities, the fulfillment of which may or may not be in the Company's best interests or in the best interest of the Company's stockholders. The Company's investment objectives may overlap with the investment objectives of such investment funds, accounts or other investment vehicles.</w:t>
      </w:r>
      <w:r>
        <w:rPr>
          <w:rFonts w:ascii="Times New Roman" w:hAnsi="Times New Roman"/>
          <w:color w:val="000000"/>
          <w:sz w:val="20"/>
        </w:rPr>
        <w:t xml:space="preserve"> </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Note 6. Borrowings</w:t>
      </w:r>
    </w:p>
    <w:p>
      <w:pPr>
        <w:pStyle w:val="TextBody"/>
        <w:bidi w:val="0"/>
        <w:spacing w:before="120" w:after="120"/>
        <w:jc w:val="left"/>
        <w:rPr>
          <w:rFonts w:ascii="Times New Roman" w:hAnsi="Times New Roman"/>
          <w:sz w:val="20"/>
        </w:rPr>
      </w:pPr>
      <w:r>
        <w:rPr>
          <w:rFonts w:ascii="Times New Roman" w:hAnsi="Times New Roman"/>
          <w:b/>
          <w:i/>
          <w:color w:val="000000"/>
          <w:sz w:val="16"/>
        </w:rPr>
        <w:t>2022 Notes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val="false"/>
          <w:color w:val="000000"/>
          <w:sz w:val="16"/>
        </w:rPr>
        <w:t>On May 16, 2017, the Company issued $70.0</w:t>
      </w:r>
      <w:r>
        <w:rPr>
          <w:rFonts w:ascii="Times New Roman" w:hAnsi="Times New Roman"/>
          <w:color w:val="000000"/>
          <w:sz w:val="20"/>
        </w:rPr>
        <w:t xml:space="preserve"> </w:t>
      </w:r>
      <w:r>
        <w:rPr>
          <w:rFonts w:ascii="Times New Roman" w:hAnsi="Times New Roman"/>
          <w:b w:val="false"/>
          <w:color w:val="000000"/>
          <w:sz w:val="16"/>
        </w:rPr>
        <w:t>million in aggregate principal amount of 6.0% fixed-rate notes due May 31, 2022 (the “2022 Notes”). On May 25, 2017, the Company issued an additional $5.0</w:t>
      </w:r>
      <w:r>
        <w:rPr>
          <w:rFonts w:ascii="Times New Roman" w:hAnsi="Times New Roman"/>
          <w:color w:val="000000"/>
          <w:sz w:val="20"/>
        </w:rPr>
        <w:t xml:space="preserve"> </w:t>
      </w:r>
      <w:r>
        <w:rPr>
          <w:rFonts w:ascii="Times New Roman" w:hAnsi="Times New Roman"/>
          <w:b w:val="false"/>
          <w:color w:val="000000"/>
          <w:sz w:val="16"/>
        </w:rPr>
        <w:t>million in aggregate principal amount of the 2022 Notes pursuant to a partial exercise of the underwriters’ overallotment option. On November 1, 2021, the Company notified the Trustee for the Company's 2022 Notes, of the Company's election to redeem $50.0</w:t>
      </w:r>
      <w:r>
        <w:rPr>
          <w:rFonts w:ascii="Times New Roman" w:hAnsi="Times New Roman"/>
          <w:color w:val="000000"/>
          <w:sz w:val="20"/>
        </w:rPr>
        <w:t xml:space="preserve"> </w:t>
      </w:r>
      <w:r>
        <w:rPr>
          <w:rFonts w:ascii="Times New Roman" w:hAnsi="Times New Roman"/>
          <w:b w:val="false"/>
          <w:color w:val="000000"/>
          <w:sz w:val="16"/>
        </w:rPr>
        <w:t>million aggregate principal amount of the 2022 Notes outstanding. The redemption was completed on December 6, 2021. On May 31, 2022, the remaining 2022 Notes reached maturity, and the entire outstanding principal of the 2022 Notes became payable and was paid by the Company. Accordingly, as of September 30, 2023 and December 31, 2022, there were no</w:t>
      </w:r>
      <w:r>
        <w:rPr>
          <w:rFonts w:ascii="Times New Roman" w:hAnsi="Times New Roman"/>
          <w:color w:val="000000"/>
          <w:sz w:val="20"/>
        </w:rPr>
        <w:t xml:space="preserve"> </w:t>
      </w:r>
      <w:r>
        <w:rPr>
          <w:rFonts w:ascii="Times New Roman" w:hAnsi="Times New Roman"/>
          <w:b w:val="false"/>
          <w:color w:val="000000"/>
          <w:sz w:val="16"/>
        </w:rPr>
        <w:t>2022 Notes outstanding.</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The 2022 Notes were scheduled to mature on May 31, 2022</w:t>
      </w:r>
      <w:r>
        <w:rPr>
          <w:rFonts w:ascii="Times New Roman" w:hAnsi="Times New Roman"/>
          <w:color w:val="000000"/>
          <w:sz w:val="20"/>
        </w:rPr>
        <w:t xml:space="preserve"> </w:t>
      </w:r>
      <w:r>
        <w:rPr>
          <w:rFonts w:ascii="Times New Roman" w:hAnsi="Times New Roman"/>
          <w:b w:val="false"/>
          <w:color w:val="000000"/>
          <w:sz w:val="16"/>
        </w:rPr>
        <w:t>and could be redeemed in whole or in part at any time or from time to time at the Company’s option on or after May 31, 2019</w:t>
      </w:r>
      <w:r>
        <w:rPr>
          <w:rFonts w:ascii="Times New Roman" w:hAnsi="Times New Roman"/>
          <w:color w:val="000000"/>
          <w:sz w:val="20"/>
        </w:rPr>
        <w:t xml:space="preserve"> </w:t>
      </w:r>
      <w:r>
        <w:rPr>
          <w:rFonts w:ascii="Times New Roman" w:hAnsi="Times New Roman"/>
          <w:b w:val="false"/>
          <w:color w:val="000000"/>
          <w:sz w:val="16"/>
        </w:rPr>
        <w:t xml:space="preserve">at a redemption price equal to 100% of the outstanding principal, plus accrued and unpaid interest. Interest on the 2022 Notes was payable quarterly. The 2022 Notes were listed on the NASDAQ Global Select Market under the trading symbol </w:t>
      </w:r>
      <w:r>
        <w:rPr>
          <w:rFonts w:ascii="Times New Roman" w:hAnsi="Times New Roman"/>
          <w:color w:val="000000"/>
          <w:sz w:val="20"/>
        </w:rPr>
        <w:t>“</w:t>
      </w:r>
      <w:r>
        <w:rPr>
          <w:rFonts w:ascii="Times New Roman" w:hAnsi="Times New Roman"/>
          <w:b w:val="false"/>
          <w:color w:val="000000"/>
          <w:sz w:val="16"/>
        </w:rPr>
        <w:t>CPTAL” with a par value of $25.00</w:t>
      </w:r>
      <w:r>
        <w:rPr>
          <w:rFonts w:ascii="Times New Roman" w:hAnsi="Times New Roman"/>
          <w:color w:val="000000"/>
          <w:sz w:val="20"/>
        </w:rPr>
        <w:t xml:space="preserve"> </w:t>
      </w:r>
      <w:r>
        <w:rPr>
          <w:rFonts w:ascii="Times New Roman" w:hAnsi="Times New Roman"/>
          <w:b w:val="false"/>
          <w:color w:val="000000"/>
          <w:sz w:val="16"/>
        </w:rPr>
        <w:t>per share.</w:t>
      </w:r>
      <w:r>
        <w:rPr>
          <w:rFonts w:ascii="Times New Roman" w:hAnsi="Times New Roman"/>
          <w:color w:val="000000"/>
          <w:sz w:val="20"/>
        </w:rPr>
        <w:t xml:space="preserve"> </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The following table summarizes the interest expense, deferred financing costs, average outstanding balance, and average stated interest rate on the 2022 Notes for the three and nine months ended September 30, 2023 and 2022 (dollars in thousands):</w:t>
      </w:r>
    </w:p>
    <w:tbl>
      <w:tblPr>
        <w:tblW w:w="9712" w:type="dxa"/>
        <w:jc w:val="left"/>
        <w:tblInd w:w="0" w:type="dxa"/>
        <w:tblLayout w:type="fixed"/>
        <w:tblCellMar>
          <w:top w:w="28" w:type="dxa"/>
          <w:left w:w="28" w:type="dxa"/>
          <w:bottom w:w="28" w:type="dxa"/>
          <w:right w:w="28" w:type="dxa"/>
        </w:tblCellMar>
      </w:tblPr>
      <w:tblGrid>
        <w:gridCol w:w="2686"/>
        <w:gridCol w:w="146"/>
        <w:gridCol w:w="1413"/>
        <w:gridCol w:w="443"/>
        <w:gridCol w:w="1413"/>
        <w:gridCol w:w="146"/>
        <w:gridCol w:w="1052"/>
        <w:gridCol w:w="329"/>
        <w:gridCol w:w="442"/>
        <w:gridCol w:w="1356"/>
        <w:gridCol w:w="28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26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7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Interest expense</w:t>
            </w:r>
          </w:p>
        </w:tc>
        <w:tc>
          <w:tcPr>
            <w:tcW w:w="146" w:type="dxa"/>
            <w:tcBorders/>
            <w:shd w:fill="CFF0FC" w:val="clear"/>
            <w:vAlign w:val="center"/>
          </w:tcPr>
          <w:p>
            <w:pPr>
              <w:pStyle w:val="TableContents"/>
              <w:bidi w:val="0"/>
              <w:spacing w:before="0" w:after="283"/>
              <w:jc w:val="left"/>
              <w:rPr/>
            </w:pPr>
            <w:r>
              <w:rPr/>
              <w:t> </w:t>
            </w:r>
          </w:p>
        </w:tc>
        <w:tc>
          <w:tcPr>
            <w:tcW w:w="141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443" w:type="dxa"/>
            <w:tcBorders/>
            <w:shd w:fill="CFF0FC" w:val="clear"/>
            <w:vAlign w:val="center"/>
          </w:tcPr>
          <w:p>
            <w:pPr>
              <w:pStyle w:val="TableContents"/>
              <w:bidi w:val="0"/>
              <w:spacing w:before="0" w:after="283"/>
              <w:jc w:val="right"/>
              <w:rPr/>
            </w:pPr>
            <w:r>
              <w:rPr/>
              <w:t> </w:t>
            </w:r>
          </w:p>
        </w:tc>
        <w:tc>
          <w:tcPr>
            <w:tcW w:w="141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0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329" w:type="dxa"/>
            <w:tcBorders/>
            <w:shd w:fill="CFF0FC" w:val="clear"/>
            <w:vAlign w:val="center"/>
          </w:tcPr>
          <w:p>
            <w:pPr>
              <w:pStyle w:val="TableContents"/>
              <w:bidi w:val="0"/>
              <w:spacing w:before="0" w:after="283"/>
              <w:jc w:val="right"/>
              <w:rPr/>
            </w:pPr>
            <w:r>
              <w:rPr/>
              <w:t> </w:t>
            </w:r>
          </w:p>
        </w:tc>
        <w:tc>
          <w:tcPr>
            <w:tcW w:w="44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3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609</w:t>
            </w:r>
          </w:p>
        </w:tc>
        <w:tc>
          <w:tcPr>
            <w:tcW w:w="286"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Deferred financing costs</w:t>
            </w:r>
          </w:p>
        </w:tc>
        <w:tc>
          <w:tcPr>
            <w:tcW w:w="146" w:type="dxa"/>
            <w:tcBorders/>
            <w:shd w:fill="FFFFFF" w:val="clear"/>
            <w:vAlign w:val="center"/>
          </w:tcPr>
          <w:p>
            <w:pPr>
              <w:pStyle w:val="TableContents"/>
              <w:bidi w:val="0"/>
              <w:spacing w:before="0" w:after="283"/>
              <w:jc w:val="left"/>
              <w:rPr/>
            </w:pPr>
            <w:r>
              <w:rPr/>
              <w:t> </w:t>
            </w:r>
          </w:p>
        </w:tc>
        <w:tc>
          <w:tcPr>
            <w:tcW w:w="1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interest and financing expenses</w:t>
            </w:r>
          </w:p>
        </w:tc>
        <w:tc>
          <w:tcPr>
            <w:tcW w:w="146" w:type="dxa"/>
            <w:tcBorders/>
            <w:shd w:fill="CFF0FC" w:val="clear"/>
            <w:vAlign w:val="center"/>
          </w:tcPr>
          <w:p>
            <w:pPr>
              <w:pStyle w:val="TableContents"/>
              <w:bidi w:val="0"/>
              <w:spacing w:before="0" w:after="283"/>
              <w:jc w:val="left"/>
              <w:rPr/>
            </w:pPr>
            <w:r>
              <w:rPr/>
              <w:t> </w:t>
            </w:r>
          </w:p>
        </w:tc>
        <w:tc>
          <w:tcPr>
            <w:tcW w:w="1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654</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Average outstanding balance</w:t>
            </w:r>
          </w:p>
        </w:tc>
        <w:tc>
          <w:tcPr>
            <w:tcW w:w="146" w:type="dxa"/>
            <w:tcBorders/>
            <w:shd w:fill="FFFFFF" w:val="clear"/>
            <w:vAlign w:val="center"/>
          </w:tcPr>
          <w:p>
            <w:pPr>
              <w:pStyle w:val="TableContents"/>
              <w:bidi w:val="0"/>
              <w:spacing w:before="0" w:after="283"/>
              <w:jc w:val="left"/>
              <w:rPr/>
            </w:pPr>
            <w:r>
              <w:rPr/>
              <w:t> </w:t>
            </w:r>
          </w:p>
        </w:tc>
        <w:tc>
          <w:tcPr>
            <w:tcW w:w="141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443" w:type="dxa"/>
            <w:tcBorders/>
            <w:shd w:fill="FFFFFF" w:val="clear"/>
            <w:vAlign w:val="center"/>
          </w:tcPr>
          <w:p>
            <w:pPr>
              <w:pStyle w:val="TableContents"/>
              <w:bidi w:val="0"/>
              <w:spacing w:before="0" w:after="283"/>
              <w:jc w:val="right"/>
              <w:rPr/>
            </w:pPr>
            <w:r>
              <w:rPr/>
              <w:t> </w:t>
            </w:r>
          </w:p>
        </w:tc>
        <w:tc>
          <w:tcPr>
            <w:tcW w:w="141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0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329" w:type="dxa"/>
            <w:tcBorders/>
            <w:shd w:fill="FFFFFF" w:val="clear"/>
            <w:vAlign w:val="center"/>
          </w:tcPr>
          <w:p>
            <w:pPr>
              <w:pStyle w:val="TableContents"/>
              <w:bidi w:val="0"/>
              <w:spacing w:before="0" w:after="283"/>
              <w:jc w:val="right"/>
              <w:rPr/>
            </w:pPr>
            <w:r>
              <w:rPr/>
              <w:t> </w:t>
            </w:r>
          </w:p>
        </w:tc>
        <w:tc>
          <w:tcPr>
            <w:tcW w:w="44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3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12,546</w:t>
            </w:r>
          </w:p>
        </w:tc>
        <w:tc>
          <w:tcPr>
            <w:tcW w:w="286"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Average stated interest rate</w:t>
            </w:r>
          </w:p>
        </w:tc>
        <w:tc>
          <w:tcPr>
            <w:tcW w:w="146" w:type="dxa"/>
            <w:tcBorders/>
            <w:shd w:fill="CFF0FC" w:val="clear"/>
            <w:vAlign w:val="center"/>
          </w:tcPr>
          <w:p>
            <w:pPr>
              <w:pStyle w:val="TableContents"/>
              <w:bidi w:val="0"/>
              <w:spacing w:before="0" w:after="283"/>
              <w:jc w:val="left"/>
              <w:rPr/>
            </w:pPr>
            <w:r>
              <w:rPr/>
              <w:t> </w:t>
            </w:r>
          </w:p>
        </w:tc>
        <w:tc>
          <w:tcPr>
            <w:tcW w:w="141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443" w:type="dxa"/>
            <w:tcBorders/>
            <w:shd w:fill="CFF0FC" w:val="clear"/>
            <w:vAlign w:val="center"/>
          </w:tcPr>
          <w:p>
            <w:pPr>
              <w:pStyle w:val="TableContents"/>
              <w:bidi w:val="0"/>
              <w:spacing w:before="0" w:after="283"/>
              <w:jc w:val="right"/>
              <w:rPr/>
            </w:pPr>
            <w:r>
              <w:rPr/>
              <w:t> </w:t>
            </w:r>
          </w:p>
        </w:tc>
        <w:tc>
          <w:tcPr>
            <w:tcW w:w="141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0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329" w:type="dxa"/>
            <w:tcBorders/>
            <w:shd w:fill="CFF0FC" w:val="clear"/>
            <w:vAlign w:val="center"/>
          </w:tcPr>
          <w:p>
            <w:pPr>
              <w:pStyle w:val="TableContents"/>
              <w:bidi w:val="0"/>
              <w:spacing w:before="0" w:after="283"/>
              <w:jc w:val="right"/>
              <w:rPr/>
            </w:pPr>
            <w:r>
              <w:rPr/>
              <w:t> </w:t>
            </w:r>
          </w:p>
        </w:tc>
        <w:tc>
          <w:tcPr>
            <w:tcW w:w="442" w:type="dxa"/>
            <w:tcBorders/>
            <w:shd w:fill="CFF0FC" w:val="clear"/>
            <w:vAlign w:val="center"/>
          </w:tcPr>
          <w:p>
            <w:pPr>
              <w:pStyle w:val="TableContents"/>
              <w:bidi w:val="0"/>
              <w:spacing w:before="0" w:after="283"/>
              <w:jc w:val="left"/>
              <w:rPr/>
            </w:pPr>
            <w:r>
              <w:rPr/>
              <w:t> </w:t>
            </w:r>
          </w:p>
        </w:tc>
        <w:tc>
          <w:tcPr>
            <w:tcW w:w="13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6.00</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bl>
    <w:p>
      <w:pPr>
        <w:pStyle w:val="TextBody"/>
        <w:bidi w:val="0"/>
        <w:spacing w:before="240" w:after="120"/>
        <w:jc w:val="left"/>
        <w:rPr>
          <w:rFonts w:ascii="Times New Roman" w:hAnsi="Times New Roman"/>
          <w:sz w:val="20"/>
        </w:rPr>
      </w:pPr>
      <w:r>
        <w:rPr>
          <w:rFonts w:ascii="Times New Roman" w:hAnsi="Times New Roman"/>
          <w:b/>
          <w:i/>
          <w:color w:val="000000"/>
          <w:sz w:val="16"/>
        </w:rPr>
        <w:t>2022 Convertible Notes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val="false"/>
          <w:color w:val="000000"/>
          <w:sz w:val="16"/>
        </w:rPr>
        <w:t>On May 26, 2017, the Company issued $50.0</w:t>
      </w:r>
      <w:r>
        <w:rPr>
          <w:rFonts w:ascii="Times New Roman" w:hAnsi="Times New Roman"/>
          <w:color w:val="000000"/>
          <w:sz w:val="20"/>
        </w:rPr>
        <w:t xml:space="preserve"> </w:t>
      </w:r>
      <w:r>
        <w:rPr>
          <w:rFonts w:ascii="Times New Roman" w:hAnsi="Times New Roman"/>
          <w:b w:val="false"/>
          <w:color w:val="000000"/>
          <w:sz w:val="16"/>
        </w:rPr>
        <w:t>million in aggregate principal amount of 5.75% fixed-rate convertible notes due May 31, 2022</w:t>
      </w:r>
      <w:r>
        <w:rPr>
          <w:rFonts w:ascii="Times New Roman" w:hAnsi="Times New Roman"/>
          <w:color w:val="000000"/>
          <w:sz w:val="20"/>
        </w:rPr>
        <w:t xml:space="preserve"> </w:t>
      </w:r>
      <w:r>
        <w:rPr>
          <w:rFonts w:ascii="Times New Roman" w:hAnsi="Times New Roman"/>
          <w:b w:val="false"/>
          <w:color w:val="000000"/>
          <w:sz w:val="16"/>
        </w:rPr>
        <w:t>(the “2022 Convertible Notes”). On June 26, 2017, the Company issued an additional $2.1</w:t>
      </w:r>
      <w:r>
        <w:rPr>
          <w:rFonts w:ascii="Times New Roman" w:hAnsi="Times New Roman"/>
          <w:color w:val="000000"/>
          <w:sz w:val="20"/>
        </w:rPr>
        <w:t xml:space="preserve"> </w:t>
      </w:r>
      <w:r>
        <w:rPr>
          <w:rFonts w:ascii="Times New Roman" w:hAnsi="Times New Roman"/>
          <w:b w:val="false"/>
          <w:color w:val="000000"/>
          <w:sz w:val="16"/>
        </w:rPr>
        <w:t>million in aggregate principal amount of the 2022 Convertible Notes pursuant to a partial exercise of the underwriters’ overallotment option. On May 31, 2022, the 2022 Convertible Notes reached maturity, and the entire outstanding principal of the 2022 Convertible Notes became payable, and was paid by the Company. Accordingly, as of September 30, 2023 and December 31, 2022, there were no</w:t>
      </w:r>
      <w:r>
        <w:rPr>
          <w:rFonts w:ascii="Times New Roman" w:hAnsi="Times New Roman"/>
          <w:color w:val="000000"/>
          <w:sz w:val="20"/>
        </w:rPr>
        <w:t xml:space="preserve"> </w:t>
      </w:r>
      <w:r>
        <w:rPr>
          <w:rFonts w:ascii="Times New Roman" w:hAnsi="Times New Roman"/>
          <w:b w:val="false"/>
          <w:color w:val="000000"/>
          <w:sz w:val="16"/>
        </w:rPr>
        <w:t>2022 Convertible Notes outstanding.</w:t>
      </w:r>
    </w:p>
    <w:p>
      <w:pPr>
        <w:pStyle w:val="TextBody"/>
        <w:bidi w:val="0"/>
        <w:spacing w:before="120" w:after="283"/>
        <w:jc w:val="both"/>
        <w:rPr>
          <w:rFonts w:ascii="Times New Roman" w:hAnsi="Times New Roman"/>
          <w:sz w:val="16"/>
        </w:rPr>
      </w:pPr>
      <w:r>
        <w:rPr>
          <w:rFonts w:ascii="Times New Roman" w:hAnsi="Times New Roman"/>
          <w:b w:val="false"/>
          <w:color w:val="000000"/>
          <w:sz w:val="16"/>
        </w:rPr>
        <w:t>The 2022 Convertible Notes were convertible, at the holder’s option, into shares of the Company’s common stock at any time on or prior to the close of business on the business day immediately preceding the maturity date. The conversion rate for the 2022 Convertible Notes was initially 1.5913</w:t>
      </w:r>
      <w:r>
        <w:rPr>
          <w:rFonts w:ascii="Times New Roman" w:hAnsi="Times New Roman"/>
          <w:color w:val="000000"/>
          <w:sz w:val="16"/>
        </w:rPr>
        <w:t xml:space="preserve"> </w:t>
      </w:r>
      <w:r>
        <w:rPr>
          <w:rFonts w:ascii="Times New Roman" w:hAnsi="Times New Roman"/>
          <w:b w:val="false"/>
          <w:color w:val="000000"/>
          <w:sz w:val="16"/>
        </w:rPr>
        <w:t>shares per $25.00</w:t>
      </w:r>
      <w:r>
        <w:rPr>
          <w:rFonts w:ascii="Times New Roman" w:hAnsi="Times New Roman"/>
          <w:color w:val="000000"/>
          <w:sz w:val="16"/>
        </w:rPr>
        <w:t xml:space="preserve"> </w:t>
      </w:r>
      <w:r>
        <w:rPr>
          <w:rFonts w:ascii="Times New Roman" w:hAnsi="Times New Roman"/>
          <w:b w:val="false"/>
          <w:color w:val="000000"/>
          <w:sz w:val="16"/>
        </w:rPr>
        <w:t>principal amount of 2022 Convertible Notes (equivalent to an initial conversion price of approximately $15.71</w:t>
      </w:r>
      <w:r>
        <w:rPr>
          <w:rFonts w:ascii="Times New Roman" w:hAnsi="Times New Roman"/>
          <w:color w:val="000000"/>
          <w:sz w:val="16"/>
        </w:rPr>
        <w:t xml:space="preserve"> </w:t>
      </w:r>
      <w:r>
        <w:rPr>
          <w:rFonts w:ascii="Times New Roman" w:hAnsi="Times New Roman"/>
          <w:b w:val="false"/>
          <w:color w:val="000000"/>
          <w:sz w:val="16"/>
        </w:rPr>
        <w:t>per share of common stock). The initial conversion premium was approximately 14.0%. As a result of the reverse stock split, the conversion rate for the 2022 Convertible Notes was 0.2652</w:t>
      </w:r>
      <w:r>
        <w:rPr>
          <w:rFonts w:ascii="Times New Roman" w:hAnsi="Times New Roman"/>
          <w:color w:val="000000"/>
          <w:sz w:val="16"/>
        </w:rPr>
        <w:t xml:space="preserve"> </w:t>
      </w:r>
      <w:r>
        <w:rPr>
          <w:rFonts w:ascii="Times New Roman" w:hAnsi="Times New Roman"/>
          <w:b w:val="false"/>
          <w:color w:val="000000"/>
          <w:sz w:val="16"/>
        </w:rPr>
        <w:t>shares per $25.00</w:t>
      </w:r>
      <w:r>
        <w:rPr>
          <w:rFonts w:ascii="Times New Roman" w:hAnsi="Times New Roman"/>
          <w:color w:val="000000"/>
          <w:sz w:val="16"/>
        </w:rPr>
        <w:t xml:space="preserve"> </w:t>
      </w:r>
      <w:r>
        <w:rPr>
          <w:rFonts w:ascii="Times New Roman" w:hAnsi="Times New Roman"/>
          <w:b w:val="false"/>
          <w:color w:val="000000"/>
          <w:sz w:val="16"/>
        </w:rPr>
        <w:t>principal amount of 2022 Convertible Notes (equivalent to a conversion price of approximately $94.26), effective August 21, 2020. Upon conversion, the Company was obligated to deliver shares of its common stock (and cash in lieu of fractional shares). The conversion rate was subject to adjustment if certain events occurred as outlined in the supplemental indenture relating to the 2022 Convertible Notes. The Company determined that the embedded conversion option in the 2022 Convertible Notes was not required to be separately accounted for as a derivative under U.S. GAAP.</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In addition, pursuant to a “fundamental change”, as defined in the supplemental indenture relating to the 2022 Convertible Notes, holders of the 2022 Convertible Notes could require the Company to repurchase for cash all or part of their 2022 Convertible Notes at a repurchase price equal to 100.0% of the principal amount of the 2022 Convertible Notes to be repurchased, plus accrued and unpaid interest through, but excluding, the repurchase date. The 2022 Convertible Notes were not redeemable prior to maturity and no</w:t>
      </w:r>
      <w:r>
        <w:rPr>
          <w:rFonts w:ascii="Times New Roman" w:hAnsi="Times New Roman"/>
          <w:color w:val="000000"/>
          <w:sz w:val="20"/>
        </w:rPr>
        <w:t xml:space="preserve"> “</w:t>
      </w:r>
      <w:r>
        <w:rPr>
          <w:rFonts w:ascii="Times New Roman" w:hAnsi="Times New Roman"/>
          <w:b w:val="false"/>
          <w:color w:val="000000"/>
          <w:sz w:val="16"/>
        </w:rPr>
        <w:t>sinking fund” was provided for the 2022 Convertible Notes.</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The following table summarizes the interest expense, deferred financing costs, average outstanding balance, and average stated interest rate on the 2022 Convertible Notes for the three and nine months ended September 30, 2023 and 2022 (dollars in thousands):</w:t>
      </w:r>
    </w:p>
    <w:tbl>
      <w:tblPr>
        <w:tblW w:w="9712" w:type="dxa"/>
        <w:jc w:val="left"/>
        <w:tblInd w:w="0" w:type="dxa"/>
        <w:tblLayout w:type="fixed"/>
        <w:tblCellMar>
          <w:top w:w="28" w:type="dxa"/>
          <w:left w:w="28" w:type="dxa"/>
          <w:bottom w:w="28" w:type="dxa"/>
          <w:right w:w="28" w:type="dxa"/>
        </w:tblCellMar>
      </w:tblPr>
      <w:tblGrid>
        <w:gridCol w:w="2686"/>
        <w:gridCol w:w="146"/>
        <w:gridCol w:w="1413"/>
        <w:gridCol w:w="443"/>
        <w:gridCol w:w="1413"/>
        <w:gridCol w:w="146"/>
        <w:gridCol w:w="1052"/>
        <w:gridCol w:w="329"/>
        <w:gridCol w:w="442"/>
        <w:gridCol w:w="1356"/>
        <w:gridCol w:w="28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26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7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Interest expense</w:t>
            </w:r>
          </w:p>
        </w:tc>
        <w:tc>
          <w:tcPr>
            <w:tcW w:w="146" w:type="dxa"/>
            <w:tcBorders/>
            <w:shd w:fill="CFF0FC" w:val="clear"/>
            <w:vAlign w:val="center"/>
          </w:tcPr>
          <w:p>
            <w:pPr>
              <w:pStyle w:val="TableContents"/>
              <w:bidi w:val="0"/>
              <w:spacing w:before="0" w:after="283"/>
              <w:jc w:val="left"/>
              <w:rPr/>
            </w:pPr>
            <w:r>
              <w:rPr/>
              <w:t> </w:t>
            </w:r>
          </w:p>
        </w:tc>
        <w:tc>
          <w:tcPr>
            <w:tcW w:w="141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443" w:type="dxa"/>
            <w:tcBorders/>
            <w:shd w:fill="CFF0FC" w:val="clear"/>
            <w:vAlign w:val="center"/>
          </w:tcPr>
          <w:p>
            <w:pPr>
              <w:pStyle w:val="TableContents"/>
              <w:bidi w:val="0"/>
              <w:spacing w:before="0" w:after="283"/>
              <w:jc w:val="right"/>
              <w:rPr/>
            </w:pPr>
            <w:r>
              <w:rPr/>
              <w:t> </w:t>
            </w:r>
          </w:p>
        </w:tc>
        <w:tc>
          <w:tcPr>
            <w:tcW w:w="141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0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329" w:type="dxa"/>
            <w:tcBorders/>
            <w:shd w:fill="CFF0FC" w:val="clear"/>
            <w:vAlign w:val="center"/>
          </w:tcPr>
          <w:p>
            <w:pPr>
              <w:pStyle w:val="TableContents"/>
              <w:bidi w:val="0"/>
              <w:spacing w:before="0" w:after="283"/>
              <w:jc w:val="right"/>
              <w:rPr/>
            </w:pPr>
            <w:r>
              <w:rPr/>
              <w:t> </w:t>
            </w:r>
          </w:p>
        </w:tc>
        <w:tc>
          <w:tcPr>
            <w:tcW w:w="44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3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1,239</w:t>
            </w:r>
          </w:p>
        </w:tc>
        <w:tc>
          <w:tcPr>
            <w:tcW w:w="286"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Deferred financing costs</w:t>
            </w:r>
          </w:p>
        </w:tc>
        <w:tc>
          <w:tcPr>
            <w:tcW w:w="146" w:type="dxa"/>
            <w:tcBorders/>
            <w:shd w:fill="FFFFFF" w:val="clear"/>
            <w:vAlign w:val="center"/>
          </w:tcPr>
          <w:p>
            <w:pPr>
              <w:pStyle w:val="TableContents"/>
              <w:bidi w:val="0"/>
              <w:spacing w:before="0" w:after="283"/>
              <w:jc w:val="left"/>
              <w:rPr/>
            </w:pPr>
            <w:r>
              <w:rPr/>
              <w:t> </w:t>
            </w:r>
          </w:p>
        </w:tc>
        <w:tc>
          <w:tcPr>
            <w:tcW w:w="1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interest and financing expenses</w:t>
            </w:r>
          </w:p>
        </w:tc>
        <w:tc>
          <w:tcPr>
            <w:tcW w:w="146" w:type="dxa"/>
            <w:tcBorders/>
            <w:shd w:fill="CFF0FC" w:val="clear"/>
            <w:vAlign w:val="center"/>
          </w:tcPr>
          <w:p>
            <w:pPr>
              <w:pStyle w:val="TableContents"/>
              <w:bidi w:val="0"/>
              <w:spacing w:before="0" w:after="283"/>
              <w:jc w:val="left"/>
              <w:rPr/>
            </w:pPr>
            <w:r>
              <w:rPr/>
              <w:t> </w:t>
            </w:r>
          </w:p>
        </w:tc>
        <w:tc>
          <w:tcPr>
            <w:tcW w:w="1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1,407</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Average outstanding balance</w:t>
            </w:r>
          </w:p>
        </w:tc>
        <w:tc>
          <w:tcPr>
            <w:tcW w:w="146" w:type="dxa"/>
            <w:tcBorders/>
            <w:shd w:fill="FFFFFF" w:val="clear"/>
            <w:vAlign w:val="center"/>
          </w:tcPr>
          <w:p>
            <w:pPr>
              <w:pStyle w:val="TableContents"/>
              <w:bidi w:val="0"/>
              <w:spacing w:before="0" w:after="283"/>
              <w:jc w:val="left"/>
              <w:rPr/>
            </w:pPr>
            <w:r>
              <w:rPr/>
              <w:t> </w:t>
            </w:r>
          </w:p>
        </w:tc>
        <w:tc>
          <w:tcPr>
            <w:tcW w:w="141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443" w:type="dxa"/>
            <w:tcBorders/>
            <w:shd w:fill="FFFFFF" w:val="clear"/>
            <w:vAlign w:val="center"/>
          </w:tcPr>
          <w:p>
            <w:pPr>
              <w:pStyle w:val="TableContents"/>
              <w:bidi w:val="0"/>
              <w:spacing w:before="0" w:after="283"/>
              <w:jc w:val="right"/>
              <w:rPr/>
            </w:pPr>
            <w:r>
              <w:rPr/>
              <w:t> </w:t>
            </w:r>
          </w:p>
        </w:tc>
        <w:tc>
          <w:tcPr>
            <w:tcW w:w="141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05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329" w:type="dxa"/>
            <w:tcBorders/>
            <w:shd w:fill="FFFFFF" w:val="clear"/>
            <w:vAlign w:val="center"/>
          </w:tcPr>
          <w:p>
            <w:pPr>
              <w:pStyle w:val="TableContents"/>
              <w:bidi w:val="0"/>
              <w:spacing w:before="0" w:after="283"/>
              <w:jc w:val="right"/>
              <w:rPr/>
            </w:pPr>
            <w:r>
              <w:rPr/>
              <w:t> </w:t>
            </w:r>
          </w:p>
        </w:tc>
        <w:tc>
          <w:tcPr>
            <w:tcW w:w="44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3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28,620</w:t>
            </w:r>
          </w:p>
        </w:tc>
        <w:tc>
          <w:tcPr>
            <w:tcW w:w="286"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Average stated interest rate</w:t>
            </w:r>
          </w:p>
        </w:tc>
        <w:tc>
          <w:tcPr>
            <w:tcW w:w="146" w:type="dxa"/>
            <w:tcBorders/>
            <w:shd w:fill="CFF0FC" w:val="clear"/>
            <w:vAlign w:val="center"/>
          </w:tcPr>
          <w:p>
            <w:pPr>
              <w:pStyle w:val="TableContents"/>
              <w:bidi w:val="0"/>
              <w:spacing w:before="0" w:after="283"/>
              <w:jc w:val="left"/>
              <w:rPr/>
            </w:pPr>
            <w:r>
              <w:rPr/>
              <w:t> </w:t>
            </w:r>
          </w:p>
        </w:tc>
        <w:tc>
          <w:tcPr>
            <w:tcW w:w="141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443" w:type="dxa"/>
            <w:tcBorders/>
            <w:shd w:fill="CFF0FC" w:val="clear"/>
            <w:vAlign w:val="center"/>
          </w:tcPr>
          <w:p>
            <w:pPr>
              <w:pStyle w:val="TableContents"/>
              <w:bidi w:val="0"/>
              <w:spacing w:before="0" w:after="283"/>
              <w:jc w:val="right"/>
              <w:rPr/>
            </w:pPr>
            <w:r>
              <w:rPr/>
              <w:t> </w:t>
            </w:r>
          </w:p>
        </w:tc>
        <w:tc>
          <w:tcPr>
            <w:tcW w:w="141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0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329" w:type="dxa"/>
            <w:tcBorders/>
            <w:shd w:fill="CFF0FC" w:val="clear"/>
            <w:vAlign w:val="center"/>
          </w:tcPr>
          <w:p>
            <w:pPr>
              <w:pStyle w:val="TableContents"/>
              <w:bidi w:val="0"/>
              <w:spacing w:before="0" w:after="283"/>
              <w:jc w:val="right"/>
              <w:rPr/>
            </w:pPr>
            <w:r>
              <w:rPr/>
              <w:t> </w:t>
            </w:r>
          </w:p>
        </w:tc>
        <w:tc>
          <w:tcPr>
            <w:tcW w:w="442" w:type="dxa"/>
            <w:tcBorders/>
            <w:shd w:fill="CFF0FC" w:val="clear"/>
            <w:vAlign w:val="center"/>
          </w:tcPr>
          <w:p>
            <w:pPr>
              <w:pStyle w:val="TableContents"/>
              <w:bidi w:val="0"/>
              <w:spacing w:before="0" w:after="283"/>
              <w:jc w:val="left"/>
              <w:rPr/>
            </w:pPr>
            <w:r>
              <w:rPr/>
              <w:t> </w:t>
            </w:r>
          </w:p>
        </w:tc>
        <w:tc>
          <w:tcPr>
            <w:tcW w:w="13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5.75</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bl>
    <w:p>
      <w:pPr>
        <w:pStyle w:val="TextBody"/>
        <w:bidi w:val="0"/>
        <w:spacing w:before="240" w:after="120"/>
        <w:jc w:val="both"/>
        <w:rPr>
          <w:rFonts w:ascii="Times New Roman" w:hAnsi="Times New Roman"/>
          <w:sz w:val="20"/>
        </w:rPr>
      </w:pPr>
      <w:r>
        <w:rPr>
          <w:rFonts w:ascii="Times New Roman" w:hAnsi="Times New Roman"/>
          <w:b/>
          <w:i/>
          <w:color w:val="000000"/>
          <w:sz w:val="16"/>
        </w:rPr>
        <w:t>2026 Notes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val="false"/>
          <w:color w:val="000000"/>
          <w:sz w:val="16"/>
        </w:rPr>
        <w:t>On October 29, 2021, the Company issued $50.0</w:t>
      </w:r>
      <w:r>
        <w:rPr>
          <w:rFonts w:ascii="Times New Roman" w:hAnsi="Times New Roman"/>
          <w:color w:val="000000"/>
          <w:sz w:val="20"/>
        </w:rPr>
        <w:t xml:space="preserve"> </w:t>
      </w:r>
      <w:r>
        <w:rPr>
          <w:rFonts w:ascii="Times New Roman" w:hAnsi="Times New Roman"/>
          <w:b w:val="false"/>
          <w:color w:val="000000"/>
          <w:sz w:val="16"/>
        </w:rPr>
        <w:t>million in aggregate principal amount of 5.25% fixed-rate notes due October 30, 2026</w:t>
      </w:r>
      <w:r>
        <w:rPr>
          <w:rFonts w:ascii="Times New Roman" w:hAnsi="Times New Roman"/>
          <w:color w:val="000000"/>
          <w:sz w:val="20"/>
        </w:rPr>
        <w:t xml:space="preserve"> </w:t>
      </w:r>
      <w:r>
        <w:rPr>
          <w:rFonts w:ascii="Times New Roman" w:hAnsi="Times New Roman"/>
          <w:b w:val="false"/>
          <w:color w:val="000000"/>
          <w:sz w:val="16"/>
        </w:rPr>
        <w:t>(the “2026 Notes”) pursuant to a supplemental indenture with U.S. Bank National Association (the “Trustee”), which supplements that certain base indenture, dated as of June 16, 2014. The 2026 Notes were issued in a private placement exempt from registration under the Section 4(a)(2) of the Securities Act of 1933, as amended (the “Securities Act”). The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September 30,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16"/>
        </w:rPr>
        <w:t>net proceeds to the Company were approximately $48.8</w:t>
      </w:r>
      <w:r>
        <w:rPr>
          <w:rFonts w:ascii="Times New Roman" w:hAnsi="Times New Roman"/>
          <w:color w:val="000000"/>
          <w:sz w:val="20"/>
        </w:rPr>
        <w:t xml:space="preserve"> </w:t>
      </w:r>
      <w:r>
        <w:rPr>
          <w:rFonts w:ascii="Times New Roman" w:hAnsi="Times New Roman"/>
          <w:b w:val="false"/>
          <w:color w:val="000000"/>
          <w:sz w:val="16"/>
        </w:rPr>
        <w:t>million, after deducting estimated offering expenses.</w:t>
      </w:r>
      <w:r>
        <w:rPr>
          <w:rFonts w:ascii="Times New Roman" w:hAnsi="Times New Roman"/>
          <w:color w:val="000000"/>
          <w:sz w:val="20"/>
        </w:rPr>
        <w:t xml:space="preserve"> </w:t>
      </w:r>
      <w:r>
        <w:rPr>
          <w:rFonts w:ascii="Times New Roman" w:hAnsi="Times New Roman"/>
          <w:b w:val="false"/>
          <w:color w:val="000000"/>
          <w:sz w:val="16"/>
        </w:rPr>
        <w:t>The Notes will mature on October 30, 2026 and may be redeemed in whole or in part at the Company's option at any time or from time to time at the redemption prices set forth in the Indenture. The Notes bear interest at a rate of 5.25% per year payable semi-annually</w:t>
      </w:r>
      <w:r>
        <w:rPr>
          <w:rFonts w:ascii="Times New Roman" w:hAnsi="Times New Roman"/>
          <w:color w:val="000000"/>
          <w:sz w:val="16"/>
        </w:rPr>
        <w:t xml:space="preserve"> </w:t>
      </w:r>
      <w:r>
        <w:rPr>
          <w:rFonts w:ascii="Times New Roman" w:hAnsi="Times New Roman"/>
          <w:b w:val="false"/>
          <w:color w:val="000000"/>
          <w:sz w:val="16"/>
        </w:rPr>
        <w:t>on April 30 and October 30 of each year, commencing on April 30, 2022.</w:t>
      </w:r>
      <w:r>
        <w:rPr>
          <w:rFonts w:ascii="Times New Roman" w:hAnsi="Times New Roman"/>
          <w:color w:val="000000"/>
          <w:sz w:val="20"/>
        </w:rPr>
        <w:t xml:space="preserve"> </w:t>
      </w:r>
      <w:r>
        <w:rPr>
          <w:rFonts w:ascii="Times New Roman" w:hAnsi="Times New Roman"/>
          <w:b w:val="false"/>
          <w:color w:val="000000"/>
          <w:sz w:val="16"/>
        </w:rPr>
        <w:t>The Notes are general unsecured obligations of the Company that rank senior in right of payment to all of the Company's existing and future indebtedness that is expressly subordinated in right of payment to the Notes, rank pari passu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In July 2022, pursuant to the requirements of a registration rights agreements entered into in connection with the offering described above, the Company completed an exchange offer pursuant to which all of the outstanding 2026 Notes were exchanged for notes with substantially identical terms, but that are registered under the Securities Act (which notes are also referred to herein as the “2026 Notes”).</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As of September 30, 2023 and December 31, 2022, the Company had $50.0</w:t>
      </w:r>
      <w:r>
        <w:rPr>
          <w:rFonts w:ascii="Times New Roman" w:hAnsi="Times New Roman"/>
          <w:color w:val="000000"/>
          <w:sz w:val="20"/>
        </w:rPr>
        <w:t xml:space="preserve"> </w:t>
      </w:r>
      <w:r>
        <w:rPr>
          <w:rFonts w:ascii="Times New Roman" w:hAnsi="Times New Roman"/>
          <w:b w:val="false"/>
          <w:color w:val="000000"/>
          <w:sz w:val="16"/>
        </w:rPr>
        <w:t>million</w:t>
      </w:r>
      <w:r>
        <w:rPr>
          <w:rFonts w:ascii="Times New Roman" w:hAnsi="Times New Roman"/>
          <w:color w:val="000000"/>
          <w:sz w:val="20"/>
        </w:rPr>
        <w:t xml:space="preserve"> </w:t>
      </w:r>
      <w:r>
        <w:rPr>
          <w:rFonts w:ascii="Times New Roman" w:hAnsi="Times New Roman"/>
          <w:b w:val="false"/>
          <w:color w:val="000000"/>
          <w:sz w:val="16"/>
        </w:rPr>
        <w:t>and $50.0</w:t>
      </w:r>
      <w:r>
        <w:rPr>
          <w:rFonts w:ascii="Times New Roman" w:hAnsi="Times New Roman"/>
          <w:color w:val="000000"/>
          <w:sz w:val="20"/>
        </w:rPr>
        <w:t xml:space="preserve"> </w:t>
      </w:r>
      <w:r>
        <w:rPr>
          <w:rFonts w:ascii="Times New Roman" w:hAnsi="Times New Roman"/>
          <w:b w:val="false"/>
          <w:color w:val="000000"/>
          <w:sz w:val="16"/>
        </w:rPr>
        <w:t>million, respectively in 2026 Notes outstanding.</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The following table summarizes the interest expense, deferred financing costs, average outstanding balance, and average stated interest rate on the 2026 Notes for the three and nine months ended September 30, 2023 and 2022 (dollars in thousands):</w:t>
      </w:r>
    </w:p>
    <w:tbl>
      <w:tblPr>
        <w:tblW w:w="9951" w:type="dxa"/>
        <w:jc w:val="left"/>
        <w:tblInd w:w="0" w:type="dxa"/>
        <w:tblLayout w:type="fixed"/>
        <w:tblCellMar>
          <w:top w:w="28" w:type="dxa"/>
          <w:left w:w="28" w:type="dxa"/>
          <w:bottom w:w="28" w:type="dxa"/>
          <w:right w:w="28" w:type="dxa"/>
        </w:tblCellMar>
      </w:tblPr>
      <w:tblGrid>
        <w:gridCol w:w="2686"/>
        <w:gridCol w:w="146"/>
        <w:gridCol w:w="323"/>
        <w:gridCol w:w="992"/>
        <w:gridCol w:w="397"/>
        <w:gridCol w:w="241"/>
        <w:gridCol w:w="323"/>
        <w:gridCol w:w="992"/>
        <w:gridCol w:w="241"/>
        <w:gridCol w:w="146"/>
        <w:gridCol w:w="314"/>
        <w:gridCol w:w="965"/>
        <w:gridCol w:w="386"/>
        <w:gridCol w:w="234"/>
        <w:gridCol w:w="314"/>
        <w:gridCol w:w="965"/>
        <w:gridCol w:w="28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2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left"/>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shd w:fill="FFFFFF" w:val="clear"/>
            <w:vAlign w:val="center"/>
          </w:tcPr>
          <w:p>
            <w:pPr>
              <w:pStyle w:val="TableContents"/>
              <w:bidi w:val="0"/>
              <w:spacing w:before="0" w:after="283"/>
              <w:jc w:val="left"/>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Interest expense</w:t>
            </w:r>
          </w:p>
        </w:tc>
        <w:tc>
          <w:tcPr>
            <w:tcW w:w="146" w:type="dxa"/>
            <w:tcBorders/>
            <w:shd w:fill="CFF0FC" w:val="clear"/>
            <w:vAlign w:val="center"/>
          </w:tcPr>
          <w:p>
            <w:pPr>
              <w:pStyle w:val="TableContents"/>
              <w:bidi w:val="0"/>
              <w:spacing w:before="0" w:after="283"/>
              <w:jc w:val="left"/>
              <w:rPr/>
            </w:pPr>
            <w:r>
              <w:rPr/>
              <w:t> </w:t>
            </w:r>
          </w:p>
        </w:tc>
        <w:tc>
          <w:tcPr>
            <w:tcW w:w="32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707</w:t>
            </w:r>
          </w:p>
        </w:tc>
        <w:tc>
          <w:tcPr>
            <w:tcW w:w="397"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right"/>
              <w:rPr/>
            </w:pPr>
            <w:r>
              <w:rPr/>
              <w:t> </w:t>
            </w:r>
          </w:p>
        </w:tc>
        <w:tc>
          <w:tcPr>
            <w:tcW w:w="32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694</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6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2,126</w:t>
            </w:r>
          </w:p>
        </w:tc>
        <w:tc>
          <w:tcPr>
            <w:tcW w:w="38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6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2,106</w:t>
            </w:r>
          </w:p>
        </w:tc>
        <w:tc>
          <w:tcPr>
            <w:tcW w:w="286"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Deferred financing costs</w:t>
            </w:r>
          </w:p>
        </w:tc>
        <w:tc>
          <w:tcPr>
            <w:tcW w:w="146" w:type="dxa"/>
            <w:tcBorders/>
            <w:shd w:fill="FFFFFF" w:val="cle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righ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116</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righ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interest and financing expenses</w:t>
            </w:r>
          </w:p>
        </w:tc>
        <w:tc>
          <w:tcPr>
            <w:tcW w:w="146" w:type="dxa"/>
            <w:tcBorders/>
            <w:shd w:fill="CFF0FC" w:val="cle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746</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righ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744</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2,242</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righ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2,226</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Average outstanding balance</w:t>
            </w:r>
          </w:p>
        </w:tc>
        <w:tc>
          <w:tcPr>
            <w:tcW w:w="146"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9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50,000</w:t>
            </w:r>
          </w:p>
        </w:tc>
        <w:tc>
          <w:tcPr>
            <w:tcW w:w="397"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9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50,000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6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50,000</w:t>
            </w:r>
          </w:p>
        </w:tc>
        <w:tc>
          <w:tcPr>
            <w:tcW w:w="38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6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50,000</w:t>
            </w:r>
          </w:p>
        </w:tc>
        <w:tc>
          <w:tcPr>
            <w:tcW w:w="286"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Average stated interest rate</w:t>
            </w:r>
          </w:p>
        </w:tc>
        <w:tc>
          <w:tcPr>
            <w:tcW w:w="146" w:type="dxa"/>
            <w:tcBorders/>
            <w:shd w:fill="CFF0FC" w:val="clear"/>
            <w:vAlign w:val="center"/>
          </w:tcPr>
          <w:p>
            <w:pPr>
              <w:pStyle w:val="TableContents"/>
              <w:bidi w:val="0"/>
              <w:spacing w:before="0" w:after="283"/>
              <w:jc w:val="left"/>
              <w:rPr/>
            </w:pPr>
            <w:r>
              <w:rPr/>
              <w:t> </w:t>
            </w:r>
          </w:p>
        </w:tc>
        <w:tc>
          <w:tcPr>
            <w:tcW w:w="323"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5.25</w:t>
            </w:r>
          </w:p>
        </w:tc>
        <w:tc>
          <w:tcPr>
            <w:tcW w:w="39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41" w:type="dxa"/>
            <w:tcBorders/>
            <w:shd w:fill="CFF0FC" w:val="clear"/>
            <w:vAlign w:val="center"/>
          </w:tcPr>
          <w:p>
            <w:pPr>
              <w:pStyle w:val="TableContents"/>
              <w:bidi w:val="0"/>
              <w:spacing w:before="0" w:after="283"/>
              <w:jc w:val="right"/>
              <w:rPr/>
            </w:pPr>
            <w:r>
              <w:rPr/>
              <w:t> </w:t>
            </w:r>
          </w:p>
        </w:tc>
        <w:tc>
          <w:tcPr>
            <w:tcW w:w="323"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5.25</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96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5.25</w:t>
            </w:r>
          </w:p>
        </w:tc>
        <w:tc>
          <w:tcPr>
            <w:tcW w:w="3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34"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96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5.25</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bl>
    <w:p>
      <w:pPr>
        <w:pStyle w:val="TextBody"/>
        <w:bidi w:val="0"/>
        <w:spacing w:before="240" w:after="120"/>
        <w:jc w:val="both"/>
        <w:rPr>
          <w:rFonts w:ascii="Times New Roman" w:hAnsi="Times New Roman"/>
          <w:sz w:val="20"/>
        </w:rPr>
      </w:pPr>
      <w:r>
        <w:rPr>
          <w:rFonts w:ascii="Times New Roman" w:hAnsi="Times New Roman"/>
          <w:b/>
          <w:i/>
          <w:color w:val="000000"/>
          <w:sz w:val="16"/>
        </w:rPr>
        <w:t>2032 Convertible Notes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val="false"/>
          <w:color w:val="000000"/>
          <w:sz w:val="16"/>
        </w:rPr>
        <w:t>On April 1, 2022, the Company issued $15.0</w:t>
      </w:r>
      <w:r>
        <w:rPr>
          <w:rFonts w:ascii="Times New Roman" w:hAnsi="Times New Roman"/>
          <w:color w:val="000000"/>
          <w:sz w:val="20"/>
        </w:rPr>
        <w:t xml:space="preserve"> </w:t>
      </w:r>
      <w:r>
        <w:rPr>
          <w:rFonts w:ascii="Times New Roman" w:hAnsi="Times New Roman"/>
          <w:b w:val="false"/>
          <w:color w:val="000000"/>
          <w:sz w:val="16"/>
        </w:rPr>
        <w:t>million in aggregate principal amount of 5.25% fixed-rate convertible notes due April 1, 2032</w:t>
      </w:r>
      <w:r>
        <w:rPr>
          <w:rFonts w:ascii="Times New Roman" w:hAnsi="Times New Roman"/>
          <w:color w:val="000000"/>
          <w:sz w:val="20"/>
        </w:rPr>
        <w:t xml:space="preserve"> </w:t>
      </w:r>
      <w:r>
        <w:rPr>
          <w:rFonts w:ascii="Times New Roman" w:hAnsi="Times New Roman"/>
          <w:b w:val="false"/>
          <w:color w:val="000000"/>
          <w:sz w:val="16"/>
        </w:rPr>
        <w:t>(the “2032 Convertible Notes”).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16"/>
        </w:rPr>
      </w:pPr>
      <w:r>
        <w:rPr>
          <w:rFonts w:ascii="Times New Roman" w:hAnsi="Times New Roman"/>
          <w:b w:val="false"/>
          <w:color w:val="000000"/>
          <w:sz w:val="16"/>
        </w:rPr>
        <w:t>The 2032 Convertible Notes are convertible, at the holder’s option and at any time on or prior to the close of business on the business day immediately preceding the maturity date, into such number of shares of the Company’s common stock as is equal to the principal balance of the notes being converted on such date divided by the “Conversion Price,” as described below. The Company will not issue more than 539,503</w:t>
      </w:r>
      <w:r>
        <w:rPr>
          <w:rFonts w:ascii="Times New Roman" w:hAnsi="Times New Roman"/>
          <w:color w:val="000000"/>
          <w:sz w:val="16"/>
        </w:rPr>
        <w:t xml:space="preserve"> </w:t>
      </w:r>
      <w:r>
        <w:rPr>
          <w:rFonts w:ascii="Times New Roman" w:hAnsi="Times New Roman"/>
          <w:b w:val="false"/>
          <w:color w:val="000000"/>
          <w:sz w:val="16"/>
        </w:rPr>
        <w:t>shares of common stock in the aggregate under the purchase agreement governing the 2032 Convertible Notes (the “Purchase Agreement”); however, such number of shares may be adjusted from time to time to give effect to any forward or reverse stock splits with respect to the common stock as well as any further adjustments described in the purchase agreement. The “Conversion Price” will be equal to the average “Closing Sale Price” for the five</w:t>
      </w:r>
      <w:r>
        <w:rPr>
          <w:rFonts w:ascii="Times New Roman" w:hAnsi="Times New Roman"/>
          <w:color w:val="000000"/>
          <w:sz w:val="16"/>
        </w:rPr>
        <w:t xml:space="preserve"> “</w:t>
      </w:r>
      <w:r>
        <w:rPr>
          <w:rFonts w:ascii="Times New Roman" w:hAnsi="Times New Roman"/>
          <w:b w:val="false"/>
          <w:color w:val="000000"/>
          <w:sz w:val="16"/>
        </w:rPr>
        <w:t>Trading Days” immediately prior to the relevant “Conversion Date,” as those terms are defined in the Purchase Agreement, subject to certain anti-dilutive provisions, as further described in the Purchase Agreement. No holder of a 2032 Convertible Note will be entitled to convert any such note or portion thereof if such conversion would result in more than $7,500,000</w:t>
      </w:r>
      <w:r>
        <w:rPr>
          <w:rFonts w:ascii="Times New Roman" w:hAnsi="Times New Roman"/>
          <w:color w:val="000000"/>
          <w:sz w:val="16"/>
        </w:rPr>
        <w:t xml:space="preserve"> </w:t>
      </w:r>
      <w:r>
        <w:rPr>
          <w:rFonts w:ascii="Times New Roman" w:hAnsi="Times New Roman"/>
          <w:b w:val="false"/>
          <w:color w:val="000000"/>
          <w:sz w:val="16"/>
        </w:rPr>
        <w:t>in principal amount of 2032 Convertible Notes being converted in any such calendar quarter. The Company has determined that the embedded conversion option in the 2032 Convertible Notes is not required to be separately accounted for as a derivative under U.S. GAAP.</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The Company obtained an Investment Grade rating from a Nationally Recognized Statistical Rating Organization (“NRSRO”) with respect to the 2032 Convertible Notes. The 2032 Convertible Notes have a fixed interest rate of 5.25% per annum payable semi-annually on March 31 and September 30 of each year, commencing on September 30, 2022, subject to a step up of 0.75% per annum to the extent that the 2032 Convertible Notes are downgraded below Investment Grade by an NRSRO or the 2032 Convertible Notes no longer maintain a rating from an NRSRO. The Company will also be required to pay an additional interest rate of 2.0% per annum (x) on any overdue payment of interest and (y) during the continuance of an “Event of Default.</w:t>
      </w:r>
      <w:r>
        <w:rPr>
          <w:rFonts w:ascii="Times New Roman" w:hAnsi="Times New Roman"/>
          <w:color w:val="000000"/>
          <w:sz w:val="20"/>
        </w:rPr>
        <w:t xml:space="preserve">” </w:t>
      </w:r>
      <w:r>
        <w:rPr>
          <w:rFonts w:ascii="Times New Roman" w:hAnsi="Times New Roman"/>
          <w:b w:val="false"/>
          <w:color w:val="000000"/>
          <w:sz w:val="16"/>
        </w:rPr>
        <w:t>The Company intends to use the net proceeds from the offering of the 2032 Convertible Notes for general corporate purposes, which may include repaying outstanding indebtedness, making opportunistic investments and paying corporate expenses. In addition, on the occurrence of a “Change in Control Repurchase Event” or “Delisting Event,” as defined in the Purchase Agreement, the Company will generally be required to make an offer to purchase the outstanding 2032 Convertible Notes at a price equal to 100% of the principal amount of such 2032 Convertible Notes plus accrued and unpaid interest to the repurchase date. The 2032 Convertible Notes are redeemable prior to maturity. No “sinking fund” is provided for the 2032 Convertible Notes.</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As of September 30, 2023 and December 31, 2022, the Company had $15.0</w:t>
      </w:r>
      <w:r>
        <w:rPr>
          <w:rFonts w:ascii="Times New Roman" w:hAnsi="Times New Roman"/>
          <w:color w:val="000000"/>
          <w:sz w:val="20"/>
        </w:rPr>
        <w:t xml:space="preserve"> </w:t>
      </w:r>
      <w:r>
        <w:rPr>
          <w:rFonts w:ascii="Times New Roman" w:hAnsi="Times New Roman"/>
          <w:b w:val="false"/>
          <w:color w:val="000000"/>
          <w:sz w:val="16"/>
        </w:rPr>
        <w:t>million</w:t>
      </w:r>
      <w:r>
        <w:rPr>
          <w:rFonts w:ascii="Times New Roman" w:hAnsi="Times New Roman"/>
          <w:color w:val="000000"/>
          <w:sz w:val="20"/>
        </w:rPr>
        <w:t xml:space="preserve"> </w:t>
      </w:r>
      <w:r>
        <w:rPr>
          <w:rFonts w:ascii="Times New Roman" w:hAnsi="Times New Roman"/>
          <w:b w:val="false"/>
          <w:color w:val="000000"/>
          <w:sz w:val="16"/>
        </w:rPr>
        <w:t>and $15.0</w:t>
      </w:r>
      <w:r>
        <w:rPr>
          <w:rFonts w:ascii="Times New Roman" w:hAnsi="Times New Roman"/>
          <w:color w:val="000000"/>
          <w:sz w:val="20"/>
        </w:rPr>
        <w:t xml:space="preserve"> </w:t>
      </w:r>
      <w:r>
        <w:rPr>
          <w:rFonts w:ascii="Times New Roman" w:hAnsi="Times New Roman"/>
          <w:b w:val="false"/>
          <w:color w:val="000000"/>
          <w:sz w:val="16"/>
        </w:rPr>
        <w:t>million, respectively, in 2032 Convertible Notes outstanding.</w:t>
      </w:r>
      <w:r>
        <w:rPr>
          <w:rFonts w:ascii="Times New Roman" w:hAnsi="Times New Roman"/>
          <w:color w:val="000000"/>
          <w:sz w:val="20"/>
        </w:rPr>
        <w:t xml:space="preserve"> </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The following table summarizes the interest expense, deferred financing costs, average outstanding balance, and average stated interest rate on the 2032 Convertible Notes for the three and nine months ended September 30, 2023 and 2022 (dollars in thousands):</w:t>
      </w:r>
    </w:p>
    <w:tbl>
      <w:tblPr>
        <w:tblW w:w="9951" w:type="dxa"/>
        <w:jc w:val="left"/>
        <w:tblInd w:w="0" w:type="dxa"/>
        <w:tblLayout w:type="fixed"/>
        <w:tblCellMar>
          <w:top w:w="28" w:type="dxa"/>
          <w:left w:w="28" w:type="dxa"/>
          <w:bottom w:w="28" w:type="dxa"/>
          <w:right w:w="28" w:type="dxa"/>
        </w:tblCellMar>
      </w:tblPr>
      <w:tblGrid>
        <w:gridCol w:w="2686"/>
        <w:gridCol w:w="146"/>
        <w:gridCol w:w="323"/>
        <w:gridCol w:w="992"/>
        <w:gridCol w:w="397"/>
        <w:gridCol w:w="241"/>
        <w:gridCol w:w="323"/>
        <w:gridCol w:w="992"/>
        <w:gridCol w:w="241"/>
        <w:gridCol w:w="146"/>
        <w:gridCol w:w="314"/>
        <w:gridCol w:w="965"/>
        <w:gridCol w:w="386"/>
        <w:gridCol w:w="234"/>
        <w:gridCol w:w="314"/>
        <w:gridCol w:w="965"/>
        <w:gridCol w:w="28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2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left"/>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shd w:fill="FFFFFF" w:val="clear"/>
            <w:vAlign w:val="center"/>
          </w:tcPr>
          <w:p>
            <w:pPr>
              <w:pStyle w:val="TableContents"/>
              <w:bidi w:val="0"/>
              <w:spacing w:before="0" w:after="283"/>
              <w:jc w:val="left"/>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Interest expense</w:t>
            </w:r>
          </w:p>
        </w:tc>
        <w:tc>
          <w:tcPr>
            <w:tcW w:w="146" w:type="dxa"/>
            <w:tcBorders/>
            <w:shd w:fill="CFF0FC" w:val="clear"/>
            <w:vAlign w:val="center"/>
          </w:tcPr>
          <w:p>
            <w:pPr>
              <w:pStyle w:val="TableContents"/>
              <w:bidi w:val="0"/>
              <w:spacing w:before="0" w:after="283"/>
              <w:jc w:val="left"/>
              <w:rPr/>
            </w:pPr>
            <w:r>
              <w:rPr/>
              <w:t> </w:t>
            </w:r>
          </w:p>
        </w:tc>
        <w:tc>
          <w:tcPr>
            <w:tcW w:w="32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223</w:t>
            </w:r>
          </w:p>
        </w:tc>
        <w:tc>
          <w:tcPr>
            <w:tcW w:w="397"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right"/>
              <w:rPr/>
            </w:pPr>
            <w:r>
              <w:rPr/>
              <w:t> </w:t>
            </w:r>
          </w:p>
        </w:tc>
        <w:tc>
          <w:tcPr>
            <w:tcW w:w="32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6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669</w:t>
            </w:r>
          </w:p>
        </w:tc>
        <w:tc>
          <w:tcPr>
            <w:tcW w:w="38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6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423</w:t>
            </w:r>
          </w:p>
        </w:tc>
        <w:tc>
          <w:tcPr>
            <w:tcW w:w="286"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Deferred financing costs</w:t>
            </w:r>
          </w:p>
        </w:tc>
        <w:tc>
          <w:tcPr>
            <w:tcW w:w="146" w:type="dxa"/>
            <w:tcBorders/>
            <w:shd w:fill="FFFFFF" w:val="cle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righ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righ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interest and financing expenses</w:t>
            </w:r>
          </w:p>
        </w:tc>
        <w:tc>
          <w:tcPr>
            <w:tcW w:w="146" w:type="dxa"/>
            <w:tcBorders/>
            <w:shd w:fill="CFF0FC" w:val="cle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226</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righ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226</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678</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righ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451</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Average outstanding balance</w:t>
            </w:r>
          </w:p>
        </w:tc>
        <w:tc>
          <w:tcPr>
            <w:tcW w:w="146"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9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15,000</w:t>
            </w:r>
          </w:p>
        </w:tc>
        <w:tc>
          <w:tcPr>
            <w:tcW w:w="397"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9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15,000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6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15,000</w:t>
            </w:r>
          </w:p>
        </w:tc>
        <w:tc>
          <w:tcPr>
            <w:tcW w:w="38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6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10,055</w:t>
            </w:r>
          </w:p>
        </w:tc>
        <w:tc>
          <w:tcPr>
            <w:tcW w:w="286"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Average stated interest rate</w:t>
            </w:r>
          </w:p>
        </w:tc>
        <w:tc>
          <w:tcPr>
            <w:tcW w:w="146" w:type="dxa"/>
            <w:tcBorders/>
            <w:shd w:fill="CFF0FC" w:val="clear"/>
            <w:vAlign w:val="center"/>
          </w:tcPr>
          <w:p>
            <w:pPr>
              <w:pStyle w:val="TableContents"/>
              <w:bidi w:val="0"/>
              <w:spacing w:before="0" w:after="283"/>
              <w:jc w:val="left"/>
              <w:rPr/>
            </w:pPr>
            <w:r>
              <w:rPr/>
              <w:t> </w:t>
            </w:r>
          </w:p>
        </w:tc>
        <w:tc>
          <w:tcPr>
            <w:tcW w:w="323"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5.25</w:t>
            </w:r>
          </w:p>
        </w:tc>
        <w:tc>
          <w:tcPr>
            <w:tcW w:w="39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41" w:type="dxa"/>
            <w:tcBorders/>
            <w:shd w:fill="CFF0FC" w:val="clear"/>
            <w:vAlign w:val="center"/>
          </w:tcPr>
          <w:p>
            <w:pPr>
              <w:pStyle w:val="TableContents"/>
              <w:bidi w:val="0"/>
              <w:spacing w:before="0" w:after="283"/>
              <w:jc w:val="right"/>
              <w:rPr/>
            </w:pPr>
            <w:r>
              <w:rPr/>
              <w:t> </w:t>
            </w:r>
          </w:p>
        </w:tc>
        <w:tc>
          <w:tcPr>
            <w:tcW w:w="323"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5.25</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96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5.25</w:t>
            </w:r>
          </w:p>
        </w:tc>
        <w:tc>
          <w:tcPr>
            <w:tcW w:w="3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34"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96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5.25</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bl>
    <w:p>
      <w:pPr>
        <w:pStyle w:val="TextBody"/>
        <w:bidi w:val="0"/>
        <w:spacing w:before="240" w:after="120"/>
        <w:jc w:val="left"/>
        <w:rPr>
          <w:rFonts w:ascii="Times New Roman" w:hAnsi="Times New Roman"/>
          <w:b/>
          <w:i/>
          <w:color w:val="000000"/>
          <w:sz w:val="16"/>
        </w:rPr>
      </w:pPr>
      <w:r>
        <w:rPr>
          <w:rFonts w:ascii="Times New Roman" w:hAnsi="Times New Roman"/>
          <w:b/>
          <w:i/>
          <w:color w:val="000000"/>
          <w:sz w:val="16"/>
        </w:rPr>
        <w:t>KeyBank Credit Facility</w:t>
      </w:r>
    </w:p>
    <w:p>
      <w:pPr>
        <w:pStyle w:val="TextBody"/>
        <w:bidi w:val="0"/>
        <w:jc w:val="both"/>
        <w:rPr>
          <w:rFonts w:ascii="Times New Roman" w:hAnsi="Times New Roman"/>
          <w:sz w:val="20"/>
        </w:rPr>
      </w:pPr>
      <w:r>
        <w:rPr>
          <w:rFonts w:ascii="Times New Roman" w:hAnsi="Times New Roman"/>
          <w:b w:val="false"/>
          <w:color w:val="000000"/>
          <w:sz w:val="16"/>
        </w:rPr>
        <w:t>On October 30, 2020, CBL, a direct, wholly owned, consolidated subsidiary of the Company entered into the KeyBank Credit Facility with the investment adviser at the time, as collateral manager, the lenders from time to time parties thereto (each a “Lender”), KeyBank National Association, as administrative agent, and U.S. Bank National Association, as custodian. The KeyBank Credit Facility was amended on May 10, 2022 and October 20, 2022. Under the KeyBank Credit Facility, the Lenders have agreed to extend credit to CBL in an aggregate principal amount of up to $75.0</w:t>
      </w:r>
      <w:r>
        <w:rPr>
          <w:rFonts w:ascii="Times New Roman" w:hAnsi="Times New Roman"/>
          <w:color w:val="000000"/>
          <w:sz w:val="20"/>
        </w:rPr>
        <w:t xml:space="preserve"> </w:t>
      </w:r>
      <w:r>
        <w:rPr>
          <w:rFonts w:ascii="Times New Roman" w:hAnsi="Times New Roman"/>
          <w:b w:val="false"/>
          <w:color w:val="000000"/>
          <w:sz w:val="16"/>
        </w:rPr>
        <w:t>million as of May 10, 2022, with an uncommitted accordion feature that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September 30,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16"/>
        </w:rPr>
        <w:t>allows the Company to borrow up to an additional $125.0</w:t>
      </w:r>
      <w:r>
        <w:rPr>
          <w:rFonts w:ascii="Times New Roman" w:hAnsi="Times New Roman"/>
          <w:color w:val="000000"/>
          <w:sz w:val="20"/>
        </w:rPr>
        <w:t xml:space="preserve"> </w:t>
      </w:r>
      <w:r>
        <w:rPr>
          <w:rFonts w:ascii="Times New Roman" w:hAnsi="Times New Roman"/>
          <w:b w:val="false"/>
          <w:color w:val="000000"/>
          <w:sz w:val="16"/>
        </w:rPr>
        <w:t>million. The KeyBank Credit Facility</w:t>
      </w:r>
      <w:r>
        <w:rPr>
          <w:rFonts w:ascii="Times New Roman" w:hAnsi="Times New Roman"/>
          <w:color w:val="000000"/>
          <w:sz w:val="20"/>
        </w:rPr>
        <w:t xml:space="preserve"> </w:t>
      </w:r>
      <w:r>
        <w:rPr>
          <w:rFonts w:ascii="Times New Roman" w:hAnsi="Times New Roman"/>
          <w:b w:val="false"/>
          <w:color w:val="000000"/>
          <w:sz w:val="16"/>
        </w:rPr>
        <w:t>matures on May 10, 2027, unless there is an earlier termination or event of default. The period during which the Lenders may make loans to CBL under the KeyBank Credit Facility commenced on October 30, 2020 and will continue through May 10, 2025, unless there is an earlier termination or event of default.</w:t>
      </w:r>
      <w:r>
        <w:rPr>
          <w:rFonts w:ascii="Times New Roman" w:hAnsi="Times New Roman"/>
          <w:color w:val="000000"/>
          <w:sz w:val="20"/>
        </w:rPr>
        <w:t xml:space="preserve"> </w:t>
      </w:r>
      <w:r>
        <w:rPr>
          <w:rFonts w:ascii="Times New Roman" w:hAnsi="Times New Roman"/>
          <w:b w:val="false"/>
          <w:color w:val="000000"/>
          <w:sz w:val="16"/>
        </w:rPr>
        <w:t>Borrowings under the KeyBank Credit Facility bear interest at 1M Term SOFR plus 2.90% during the 3-year</w:t>
      </w:r>
      <w:r>
        <w:rPr>
          <w:rFonts w:ascii="Times New Roman" w:hAnsi="Times New Roman"/>
          <w:color w:val="000000"/>
          <w:sz w:val="20"/>
        </w:rPr>
        <w:t xml:space="preserve"> </w:t>
      </w:r>
      <w:r>
        <w:rPr>
          <w:rFonts w:ascii="Times New Roman" w:hAnsi="Times New Roman"/>
          <w:b w:val="false"/>
          <w:color w:val="000000"/>
          <w:sz w:val="16"/>
        </w:rPr>
        <w:t>revolving period and 3.25% thereafter, with a 0.40% 1M Term SOFR floor. CBL</w:t>
      </w:r>
      <w:r>
        <w:rPr>
          <w:rFonts w:ascii="Times New Roman" w:hAnsi="Times New Roman"/>
          <w:color w:val="000000"/>
          <w:sz w:val="16"/>
        </w:rPr>
        <w:t xml:space="preserve"> </w:t>
      </w:r>
      <w:r>
        <w:rPr>
          <w:rFonts w:ascii="Times New Roman" w:hAnsi="Times New Roman"/>
          <w:b w:val="false"/>
          <w:color w:val="000000"/>
          <w:sz w:val="16"/>
        </w:rPr>
        <w:t>will also pay an unused commitment fee at a rate of (1) 1.00% if utilization is less than or equal to 30.0%, (2) 0.65% if utilization is greater than 30.0% but less than or equal to 60.0%, or (3) 0.35% if utilization is greater than 60.0%, per annum on the unutilized portion of the aggregate commitments under the KeyBank Credit Facility.</w:t>
      </w:r>
      <w:r>
        <w:rPr>
          <w:rFonts w:ascii="Times New Roman" w:hAnsi="Times New Roman"/>
          <w:color w:val="000000"/>
          <w:sz w:val="20"/>
        </w:rPr>
        <w:t xml:space="preserve"> </w:t>
      </w:r>
      <w:r>
        <w:rPr>
          <w:rFonts w:ascii="Times New Roman" w:hAnsi="Times New Roman"/>
          <w:b w:val="false"/>
          <w:color w:val="000000"/>
          <w:sz w:val="16"/>
        </w:rPr>
        <w:t>As of September 30, 2023 and December 31, 2022, there were draws of $35.9</w:t>
      </w:r>
      <w:r>
        <w:rPr>
          <w:rFonts w:ascii="Times New Roman" w:hAnsi="Times New Roman"/>
          <w:color w:val="000000"/>
          <w:sz w:val="20"/>
        </w:rPr>
        <w:t xml:space="preserve"> </w:t>
      </w:r>
      <w:r>
        <w:rPr>
          <w:rFonts w:ascii="Times New Roman" w:hAnsi="Times New Roman"/>
          <w:b w:val="false"/>
          <w:color w:val="000000"/>
          <w:sz w:val="16"/>
        </w:rPr>
        <w:t>million</w:t>
      </w:r>
      <w:r>
        <w:rPr>
          <w:rFonts w:ascii="Times New Roman" w:hAnsi="Times New Roman"/>
          <w:color w:val="000000"/>
          <w:sz w:val="20"/>
        </w:rPr>
        <w:t xml:space="preserve"> </w:t>
      </w:r>
      <w:r>
        <w:rPr>
          <w:rFonts w:ascii="Times New Roman" w:hAnsi="Times New Roman"/>
          <w:b w:val="false"/>
          <w:color w:val="231F20"/>
          <w:sz w:val="16"/>
        </w:rPr>
        <w:t>and $55.9</w:t>
      </w:r>
      <w:r>
        <w:rPr>
          <w:rFonts w:ascii="Times New Roman" w:hAnsi="Times New Roman"/>
          <w:color w:val="231F20"/>
          <w:sz w:val="20"/>
        </w:rPr>
        <w:t xml:space="preserve"> </w:t>
      </w:r>
      <w:r>
        <w:rPr>
          <w:rFonts w:ascii="Times New Roman" w:hAnsi="Times New Roman"/>
          <w:b w:val="false"/>
          <w:color w:val="231F20"/>
          <w:sz w:val="16"/>
        </w:rPr>
        <w:t>million</w:t>
      </w:r>
      <w:r>
        <w:rPr>
          <w:rFonts w:ascii="Times New Roman" w:hAnsi="Times New Roman"/>
          <w:b w:val="false"/>
          <w:color w:val="000000"/>
          <w:sz w:val="16"/>
        </w:rPr>
        <w:t>, respectively, on the KeyBank Credit Facility. The KeyBank Credit Facility includes customary affirmative and negative covenants, including certain limitations on the incurrence of additional indebtedness and liens, as well as usual and customary events of default for revolving credit facilities of this nature. As of September 30, 2023 and December 31, 2022, assets pledged to secure the KeyBank Credit Facility had a fair value of $101.8</w:t>
      </w:r>
      <w:r>
        <w:rPr>
          <w:rFonts w:ascii="Times New Roman" w:hAnsi="Times New Roman"/>
          <w:color w:val="000000"/>
          <w:sz w:val="20"/>
        </w:rPr>
        <w:t xml:space="preserve"> </w:t>
      </w:r>
      <w:r>
        <w:rPr>
          <w:rFonts w:ascii="Times New Roman" w:hAnsi="Times New Roman"/>
          <w:b w:val="false"/>
          <w:color w:val="000000"/>
          <w:sz w:val="16"/>
        </w:rPr>
        <w:t>million and</w:t>
      </w:r>
      <w:r>
        <w:rPr>
          <w:rFonts w:ascii="Times New Roman" w:hAnsi="Times New Roman"/>
          <w:color w:val="000000"/>
          <w:sz w:val="20"/>
        </w:rPr>
        <w:t xml:space="preserve"> </w:t>
      </w:r>
      <w:r>
        <w:rPr>
          <w:rFonts w:ascii="Times New Roman" w:hAnsi="Times New Roman"/>
          <w:b w:val="false"/>
          <w:color w:val="000000"/>
          <w:sz w:val="16"/>
        </w:rPr>
        <w:t>$111.3</w:t>
      </w:r>
      <w:r>
        <w:rPr>
          <w:rFonts w:ascii="Times New Roman" w:hAnsi="Times New Roman"/>
          <w:color w:val="000000"/>
          <w:sz w:val="20"/>
        </w:rPr>
        <w:t xml:space="preserve"> </w:t>
      </w:r>
      <w:r>
        <w:rPr>
          <w:rFonts w:ascii="Times New Roman" w:hAnsi="Times New Roman"/>
          <w:b w:val="false"/>
          <w:color w:val="000000"/>
          <w:sz w:val="16"/>
        </w:rPr>
        <w:t>million, respectively.</w:t>
      </w:r>
      <w:r>
        <w:rPr>
          <w:rFonts w:ascii="Times New Roman" w:hAnsi="Times New Roman"/>
          <w:color w:val="000000"/>
          <w:sz w:val="20"/>
        </w:rPr>
        <w:t xml:space="preserve"> </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The following table summarizes the interest expense, deferred financing costs, unused commitment fees, average outstanding balance, and average stated interest rate on the KeyBank Credit Facility for the three and nine months ended September 30, 2023 and 2022 (dollars in thousands):</w:t>
      </w:r>
    </w:p>
    <w:tbl>
      <w:tblPr>
        <w:tblW w:w="9951" w:type="dxa"/>
        <w:jc w:val="left"/>
        <w:tblInd w:w="0" w:type="dxa"/>
        <w:tblLayout w:type="fixed"/>
        <w:tblCellMar>
          <w:top w:w="28" w:type="dxa"/>
          <w:left w:w="28" w:type="dxa"/>
          <w:bottom w:w="28" w:type="dxa"/>
          <w:right w:w="28" w:type="dxa"/>
        </w:tblCellMar>
      </w:tblPr>
      <w:tblGrid>
        <w:gridCol w:w="2686"/>
        <w:gridCol w:w="146"/>
        <w:gridCol w:w="323"/>
        <w:gridCol w:w="992"/>
        <w:gridCol w:w="397"/>
        <w:gridCol w:w="241"/>
        <w:gridCol w:w="323"/>
        <w:gridCol w:w="992"/>
        <w:gridCol w:w="241"/>
        <w:gridCol w:w="146"/>
        <w:gridCol w:w="314"/>
        <w:gridCol w:w="965"/>
        <w:gridCol w:w="386"/>
        <w:gridCol w:w="234"/>
        <w:gridCol w:w="314"/>
        <w:gridCol w:w="965"/>
        <w:gridCol w:w="28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2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left"/>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shd w:fill="FFFFFF" w:val="clear"/>
            <w:vAlign w:val="center"/>
          </w:tcPr>
          <w:p>
            <w:pPr>
              <w:pStyle w:val="TableContents"/>
              <w:bidi w:val="0"/>
              <w:spacing w:before="0" w:after="283"/>
              <w:jc w:val="left"/>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Interest expense</w:t>
            </w:r>
          </w:p>
        </w:tc>
        <w:tc>
          <w:tcPr>
            <w:tcW w:w="146" w:type="dxa"/>
            <w:tcBorders/>
            <w:shd w:fill="CFF0FC" w:val="clear"/>
            <w:vAlign w:val="center"/>
          </w:tcPr>
          <w:p>
            <w:pPr>
              <w:pStyle w:val="TableContents"/>
              <w:bidi w:val="0"/>
              <w:spacing w:before="0" w:after="283"/>
              <w:jc w:val="left"/>
              <w:rPr/>
            </w:pPr>
            <w:r>
              <w:rPr/>
              <w:t> </w:t>
            </w:r>
          </w:p>
        </w:tc>
        <w:tc>
          <w:tcPr>
            <w:tcW w:w="32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991</w:t>
            </w:r>
          </w:p>
        </w:tc>
        <w:tc>
          <w:tcPr>
            <w:tcW w:w="397"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32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436</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6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3,145</w:t>
            </w:r>
          </w:p>
        </w:tc>
        <w:tc>
          <w:tcPr>
            <w:tcW w:w="38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6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692</w:t>
            </w:r>
          </w:p>
        </w:tc>
        <w:tc>
          <w:tcPr>
            <w:tcW w:w="286"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Deferred financing costs</w:t>
            </w:r>
          </w:p>
        </w:tc>
        <w:tc>
          <w:tcPr>
            <w:tcW w:w="146"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w:t>
            </w:r>
          </w:p>
        </w:tc>
        <w:tc>
          <w:tcPr>
            <w:tcW w:w="397"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255</w:t>
            </w:r>
          </w:p>
        </w:tc>
        <w:tc>
          <w:tcPr>
            <w:tcW w:w="38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201</w:t>
            </w:r>
          </w:p>
        </w:tc>
        <w:tc>
          <w:tcPr>
            <w:tcW w:w="286"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Unused commitment fees</w:t>
            </w:r>
          </w:p>
        </w:tc>
        <w:tc>
          <w:tcPr>
            <w:tcW w:w="146" w:type="dxa"/>
            <w:tcBorders/>
            <w:shd w:fill="CFF0FC" w:val="cle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246</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interest and financing expenses</w:t>
            </w:r>
          </w:p>
        </w:tc>
        <w:tc>
          <w:tcPr>
            <w:tcW w:w="146" w:type="dxa"/>
            <w:tcBorders/>
            <w:shd w:fill="FFFFFF" w:val="cle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1,108</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588</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3,465</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1,139</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Average outstanding balance</w:t>
            </w:r>
          </w:p>
        </w:tc>
        <w:tc>
          <w:tcPr>
            <w:tcW w:w="146" w:type="dxa"/>
            <w:tcBorders/>
            <w:shd w:fill="CFF0FC" w:val="clear"/>
            <w:vAlign w:val="center"/>
          </w:tcPr>
          <w:p>
            <w:pPr>
              <w:pStyle w:val="TableContents"/>
              <w:bidi w:val="0"/>
              <w:spacing w:before="0" w:after="283"/>
              <w:jc w:val="left"/>
              <w:rPr/>
            </w:pPr>
            <w:r>
              <w:rPr/>
              <w:t> </w:t>
            </w:r>
          </w:p>
        </w:tc>
        <w:tc>
          <w:tcPr>
            <w:tcW w:w="32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47,156</w:t>
            </w:r>
          </w:p>
        </w:tc>
        <w:tc>
          <w:tcPr>
            <w:tcW w:w="397"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32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32,844</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6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52,647</w:t>
            </w:r>
          </w:p>
        </w:tc>
        <w:tc>
          <w:tcPr>
            <w:tcW w:w="38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6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19,704</w:t>
            </w:r>
          </w:p>
        </w:tc>
        <w:tc>
          <w:tcPr>
            <w:tcW w:w="286"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Average stated interest rate</w:t>
            </w:r>
          </w:p>
        </w:tc>
        <w:tc>
          <w:tcPr>
            <w:tcW w:w="146"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8.15</w:t>
            </w:r>
          </w:p>
        </w:tc>
        <w:tc>
          <w:tcPr>
            <w:tcW w:w="39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41"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5.04</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7.82</w:t>
            </w:r>
          </w:p>
        </w:tc>
        <w:tc>
          <w:tcPr>
            <w:tcW w:w="3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34"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4.60</w:t>
            </w:r>
          </w:p>
        </w:tc>
        <w:tc>
          <w:tcPr>
            <w:tcW w:w="2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bl>
    <w:p>
      <w:pPr>
        <w:pStyle w:val="TextBody"/>
        <w:bidi w:val="0"/>
        <w:spacing w:before="240" w:after="120"/>
        <w:jc w:val="both"/>
        <w:rPr>
          <w:rFonts w:ascii="Times New Roman" w:hAnsi="Times New Roman"/>
          <w:b w:val="false"/>
          <w:i/>
          <w:color w:val="000000"/>
          <w:sz w:val="16"/>
        </w:rPr>
      </w:pPr>
      <w:r>
        <w:rPr>
          <w:rFonts w:ascii="Times New Roman" w:hAnsi="Times New Roman"/>
          <w:b w:val="false"/>
          <w:i/>
          <w:color w:val="000000"/>
          <w:sz w:val="16"/>
        </w:rPr>
        <w:t>Financial Instruments Disclosed, But Not Carried, At Fair Value</w:t>
      </w:r>
    </w:p>
    <w:p>
      <w:pPr>
        <w:pStyle w:val="TextBody"/>
        <w:bidi w:val="0"/>
        <w:spacing w:before="120" w:after="120"/>
        <w:jc w:val="both"/>
        <w:rPr>
          <w:rFonts w:ascii="Times New Roman" w:hAnsi="Times New Roman"/>
          <w:sz w:val="20"/>
        </w:rPr>
      </w:pPr>
      <w:r>
        <w:rPr>
          <w:rFonts w:ascii="Times New Roman" w:hAnsi="Times New Roman"/>
          <w:b w:val="false"/>
          <w:color w:val="000000"/>
          <w:sz w:val="16"/>
        </w:rPr>
        <w:t>The following table presents the outstanding principal and fair value of the Company’s financial liabilities disclosed, but not carried, at fair value as of September 30, 2023, and the level of each financial liability within the fair value hierarchy (dollars in thousands):</w:t>
      </w:r>
      <w:r>
        <w:rPr>
          <w:rFonts w:ascii="Times New Roman" w:hAnsi="Times New Roman"/>
          <w:color w:val="000000"/>
          <w:sz w:val="20"/>
        </w:rPr>
        <w:t xml:space="preserve"> </w:t>
      </w:r>
    </w:p>
    <w:tbl>
      <w:tblPr>
        <w:tblW w:w="7331" w:type="dxa"/>
        <w:jc w:val="left"/>
        <w:tblInd w:w="0" w:type="dxa"/>
        <w:tblLayout w:type="fixed"/>
        <w:tblCellMar>
          <w:top w:w="28" w:type="dxa"/>
          <w:left w:w="28" w:type="dxa"/>
          <w:bottom w:w="28" w:type="dxa"/>
          <w:right w:w="28" w:type="dxa"/>
        </w:tblCellMar>
      </w:tblPr>
      <w:tblGrid>
        <w:gridCol w:w="1786"/>
        <w:gridCol w:w="146"/>
        <w:gridCol w:w="222"/>
        <w:gridCol w:w="784"/>
        <w:gridCol w:w="146"/>
        <w:gridCol w:w="146"/>
        <w:gridCol w:w="196"/>
        <w:gridCol w:w="691"/>
        <w:gridCol w:w="146"/>
        <w:gridCol w:w="146"/>
        <w:gridCol w:w="228"/>
        <w:gridCol w:w="402"/>
        <w:gridCol w:w="146"/>
        <w:gridCol w:w="146"/>
        <w:gridCol w:w="228"/>
        <w:gridCol w:w="402"/>
        <w:gridCol w:w="146"/>
        <w:gridCol w:w="146"/>
        <w:gridCol w:w="196"/>
        <w:gridCol w:w="691"/>
        <w:gridCol w:w="19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2026 Notes</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8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50,000</w:t>
            </w:r>
          </w:p>
        </w:tc>
        <w:tc>
          <w:tcPr>
            <w:tcW w:w="191" w:type="dxa"/>
            <w:tcBorders/>
            <w:shd w:fill="CFF0FC" w:val="clear"/>
            <w:vAlign w:val="center"/>
          </w:tcPr>
          <w:p>
            <w:pPr>
              <w:pStyle w:val="TableContents"/>
              <w:bidi w:val="0"/>
              <w:spacing w:before="0" w:after="283"/>
              <w:jc w:val="left"/>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2032 Convertible Notes</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15,000</w:t>
            </w:r>
          </w:p>
        </w:tc>
        <w:tc>
          <w:tcPr>
            <w:tcW w:w="191" w:type="dxa"/>
            <w:tcBorders/>
            <w:shd w:fill="FFFFFF" w:val="clear"/>
            <w:vAlign w:val="center"/>
          </w:tcPr>
          <w:p>
            <w:pPr>
              <w:pStyle w:val="TableContents"/>
              <w:bidi w:val="0"/>
              <w:spacing w:before="0" w:after="283"/>
              <w:jc w:val="left"/>
              <w:rPr/>
            </w:pPr>
            <w:r>
              <w:rPr/>
              <w:t> </w:t>
            </w:r>
          </w:p>
        </w:tc>
      </w:tr>
      <w:tr>
        <w:trPr/>
        <w:tc>
          <w:tcPr>
            <w:tcW w:w="17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KeyBank Credit Facility</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35,850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35,850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35,850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100,850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100,850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100,850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b w:val="false"/>
          <w:color w:val="000000"/>
          <w:sz w:val="16"/>
        </w:rPr>
      </w:pPr>
      <w:r>
        <w:rPr>
          <w:rFonts w:ascii="Times New Roman" w:hAnsi="Times New Roman"/>
          <w:b w:val="false"/>
          <w:color w:val="000000"/>
          <w:sz w:val="16"/>
        </w:rPr>
        <w:t>The following table presents the outstanding principal and fair value of the Company’s financial liabilities disclosed, but not carried, at fair value as of December 31, 2022, and the level of each financial liability within the fair value hierarchy (dollars in thousands):</w:t>
      </w:r>
    </w:p>
    <w:tbl>
      <w:tblPr>
        <w:tblW w:w="7331" w:type="dxa"/>
        <w:jc w:val="left"/>
        <w:tblInd w:w="0" w:type="dxa"/>
        <w:tblLayout w:type="fixed"/>
        <w:tblCellMar>
          <w:top w:w="28" w:type="dxa"/>
          <w:left w:w="28" w:type="dxa"/>
          <w:bottom w:w="28" w:type="dxa"/>
          <w:right w:w="28" w:type="dxa"/>
        </w:tblCellMar>
      </w:tblPr>
      <w:tblGrid>
        <w:gridCol w:w="1786"/>
        <w:gridCol w:w="146"/>
        <w:gridCol w:w="222"/>
        <w:gridCol w:w="784"/>
        <w:gridCol w:w="146"/>
        <w:gridCol w:w="146"/>
        <w:gridCol w:w="196"/>
        <w:gridCol w:w="691"/>
        <w:gridCol w:w="146"/>
        <w:gridCol w:w="146"/>
        <w:gridCol w:w="228"/>
        <w:gridCol w:w="402"/>
        <w:gridCol w:w="146"/>
        <w:gridCol w:w="146"/>
        <w:gridCol w:w="228"/>
        <w:gridCol w:w="402"/>
        <w:gridCol w:w="146"/>
        <w:gridCol w:w="146"/>
        <w:gridCol w:w="196"/>
        <w:gridCol w:w="691"/>
        <w:gridCol w:w="19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2026 Notes</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8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50,000</w:t>
            </w:r>
          </w:p>
        </w:tc>
        <w:tc>
          <w:tcPr>
            <w:tcW w:w="191" w:type="dxa"/>
            <w:tcBorders/>
            <w:shd w:fill="CFF0FC" w:val="clear"/>
            <w:vAlign w:val="center"/>
          </w:tcPr>
          <w:p>
            <w:pPr>
              <w:pStyle w:val="TableContents"/>
              <w:bidi w:val="0"/>
              <w:spacing w:before="0" w:after="283"/>
              <w:jc w:val="left"/>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2032 Convertible Notes</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15,000</w:t>
            </w:r>
          </w:p>
        </w:tc>
        <w:tc>
          <w:tcPr>
            <w:tcW w:w="191" w:type="dxa"/>
            <w:tcBorders/>
            <w:shd w:fill="FFFFFF" w:val="clear"/>
            <w:vAlign w:val="center"/>
          </w:tcPr>
          <w:p>
            <w:pPr>
              <w:pStyle w:val="TableContents"/>
              <w:bidi w:val="0"/>
              <w:spacing w:before="0" w:after="283"/>
              <w:jc w:val="left"/>
              <w:rPr/>
            </w:pPr>
            <w:r>
              <w:rPr/>
              <w:t> </w:t>
            </w:r>
          </w:p>
        </w:tc>
      </w:tr>
      <w:tr>
        <w:trPr/>
        <w:tc>
          <w:tcPr>
            <w:tcW w:w="17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KeyBank Credit Facility</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55,937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55,937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55,937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120,937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120,937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120,937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The estimated fair value of the 2026 Notes, the 2032 Convertible Notes and the KeyBank Credit Facility approximates the principal value.</w:t>
      </w:r>
    </w:p>
    <w:p>
      <w:pPr>
        <w:pStyle w:val="TextBody"/>
        <w:bidi w:val="0"/>
        <w:spacing w:before="120" w:after="120"/>
        <w:jc w:val="left"/>
        <w:rPr>
          <w:rFonts w:ascii="Times New Roman" w:hAnsi="Times New Roman"/>
          <w:sz w:val="20"/>
        </w:rPr>
      </w:pPr>
      <w:r>
        <w:rPr>
          <w:rFonts w:ascii="Times New Roman" w:hAnsi="Times New Roman"/>
          <w:b/>
          <w:color w:val="000000"/>
          <w:sz w:val="16"/>
        </w:rPr>
        <w:t>Note 7. Directors’</w:t>
      </w:r>
      <w:r>
        <w:rPr>
          <w:rFonts w:ascii="Times New Roman" w:hAnsi="Times New Roman"/>
          <w:color w:val="000000"/>
          <w:sz w:val="20"/>
        </w:rPr>
        <w:t xml:space="preserve"> </w:t>
      </w:r>
      <w:r>
        <w:rPr>
          <w:rFonts w:ascii="Times New Roman" w:hAnsi="Times New Roman"/>
          <w:b/>
          <w:color w:val="000000"/>
          <w:sz w:val="16"/>
        </w:rPr>
        <w:t>Fees</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Our Independent Directors receive an annual fee of $50,000. They also receive $5,000</w:t>
      </w:r>
      <w:r>
        <w:rPr>
          <w:rFonts w:ascii="Times New Roman" w:hAnsi="Times New Roman"/>
          <w:color w:val="000000"/>
          <w:sz w:val="20"/>
        </w:rPr>
        <w:t xml:space="preserve"> </w:t>
      </w:r>
      <w:r>
        <w:rPr>
          <w:rFonts w:ascii="Times New Roman" w:hAnsi="Times New Roman"/>
          <w:b w:val="false"/>
          <w:color w:val="000000"/>
          <w:sz w:val="16"/>
        </w:rPr>
        <w:t>plus reimbursement of reasonable out-of-pocket expenses incurred in connection with attending each Board meeting and $5,000</w:t>
      </w:r>
      <w:r>
        <w:rPr>
          <w:rFonts w:ascii="Times New Roman" w:hAnsi="Times New Roman"/>
          <w:color w:val="000000"/>
          <w:sz w:val="20"/>
        </w:rPr>
        <w:t xml:space="preserve"> </w:t>
      </w:r>
      <w:r>
        <w:rPr>
          <w:rFonts w:ascii="Times New Roman" w:hAnsi="Times New Roman"/>
          <w:b w:val="false"/>
          <w:color w:val="000000"/>
          <w:sz w:val="16"/>
        </w:rPr>
        <w:t>plus reimbursement of reasonable out-of-pocket expenses incurred in connection with attending each committee meeting. In addition, the chairman of the audit committee receives an annual fee of $10,000</w:t>
      </w:r>
      <w:r>
        <w:rPr>
          <w:rFonts w:ascii="Times New Roman" w:hAnsi="Times New Roman"/>
          <w:color w:val="000000"/>
          <w:sz w:val="20"/>
        </w:rPr>
        <w:t xml:space="preserve"> </w:t>
      </w:r>
      <w:r>
        <w:rPr>
          <w:rFonts w:ascii="Times New Roman" w:hAnsi="Times New Roman"/>
          <w:b w:val="false"/>
          <w:color w:val="000000"/>
          <w:sz w:val="16"/>
        </w:rPr>
        <w:t>and each chairman of any other committee receives an annual fee of $5,000</w:t>
      </w:r>
      <w:r>
        <w:rPr>
          <w:rFonts w:ascii="Times New Roman" w:hAnsi="Times New Roman"/>
          <w:color w:val="000000"/>
          <w:sz w:val="20"/>
        </w:rPr>
        <w:t xml:space="preserve"> </w:t>
      </w:r>
      <w:r>
        <w:rPr>
          <w:rFonts w:ascii="Times New Roman" w:hAnsi="Times New Roman"/>
          <w:b w:val="false"/>
          <w:color w:val="000000"/>
          <w:sz w:val="16"/>
        </w:rPr>
        <w:t>for their additional services, if any, in these capacities. For the three and nine months ended September 30, 2023, the Company recognized directors’ expense of $0.1</w:t>
      </w:r>
      <w:r>
        <w:rPr>
          <w:rFonts w:ascii="Times New Roman" w:hAnsi="Times New Roman"/>
          <w:color w:val="000000"/>
          <w:sz w:val="20"/>
        </w:rPr>
        <w:t xml:space="preserve"> </w:t>
      </w:r>
      <w:r>
        <w:rPr>
          <w:rFonts w:ascii="Times New Roman" w:hAnsi="Times New Roman"/>
          <w:b w:val="false"/>
          <w:color w:val="000000"/>
          <w:sz w:val="16"/>
        </w:rPr>
        <w:t>million</w:t>
      </w:r>
      <w:r>
        <w:rPr>
          <w:rFonts w:ascii="Times New Roman" w:hAnsi="Times New Roman"/>
          <w:color w:val="000000"/>
          <w:sz w:val="20"/>
        </w:rPr>
        <w:t xml:space="preserve"> </w:t>
      </w:r>
      <w:r>
        <w:rPr>
          <w:rFonts w:ascii="Times New Roman" w:hAnsi="Times New Roman"/>
          <w:b w:val="false"/>
          <w:color w:val="000000"/>
          <w:sz w:val="16"/>
        </w:rPr>
        <w:t>and $0.4</w:t>
      </w:r>
      <w:r>
        <w:rPr>
          <w:rFonts w:ascii="Times New Roman" w:hAnsi="Times New Roman"/>
          <w:color w:val="000000"/>
          <w:sz w:val="20"/>
        </w:rPr>
        <w:t xml:space="preserve"> </w:t>
      </w:r>
      <w:r>
        <w:rPr>
          <w:rFonts w:ascii="Times New Roman" w:hAnsi="Times New Roman"/>
          <w:b w:val="false"/>
          <w:color w:val="000000"/>
          <w:sz w:val="16"/>
        </w:rPr>
        <w:t>million, respectively. For the three and nine months ended September 30, 2022, the Company recognized directors’ expense of $0.1</w:t>
      </w:r>
      <w:r>
        <w:rPr>
          <w:rFonts w:ascii="Times New Roman" w:hAnsi="Times New Roman"/>
          <w:color w:val="000000"/>
          <w:sz w:val="20"/>
        </w:rPr>
        <w:t xml:space="preserve"> </w:t>
      </w:r>
      <w:r>
        <w:rPr>
          <w:rFonts w:ascii="Times New Roman" w:hAnsi="Times New Roman"/>
          <w:b w:val="false"/>
          <w:color w:val="000000"/>
          <w:sz w:val="16"/>
        </w:rPr>
        <w:t>million</w:t>
      </w:r>
      <w:r>
        <w:rPr>
          <w:rFonts w:ascii="Times New Roman" w:hAnsi="Times New Roman"/>
          <w:color w:val="000000"/>
          <w:sz w:val="20"/>
        </w:rPr>
        <w:t xml:space="preserve"> </w:t>
      </w:r>
      <w:r>
        <w:rPr>
          <w:rFonts w:ascii="Times New Roman" w:hAnsi="Times New Roman"/>
          <w:b w:val="false"/>
          <w:color w:val="000000"/>
          <w:sz w:val="16"/>
        </w:rPr>
        <w:t>and $0.4</w:t>
      </w:r>
      <w:r>
        <w:rPr>
          <w:rFonts w:ascii="Times New Roman" w:hAnsi="Times New Roman"/>
          <w:color w:val="000000"/>
          <w:sz w:val="20"/>
        </w:rPr>
        <w:t xml:space="preserve"> </w:t>
      </w:r>
      <w:r>
        <w:rPr>
          <w:rFonts w:ascii="Times New Roman" w:hAnsi="Times New Roman"/>
          <w:b w:val="false"/>
          <w:color w:val="000000"/>
          <w:sz w:val="16"/>
        </w:rPr>
        <w:t>million, respectively. No</w:t>
      </w:r>
      <w:r>
        <w:rPr>
          <w:rFonts w:ascii="Times New Roman" w:hAnsi="Times New Roman"/>
          <w:color w:val="000000"/>
          <w:sz w:val="20"/>
        </w:rPr>
        <w:t xml:space="preserve"> </w:t>
      </w:r>
      <w:r>
        <w:rPr>
          <w:rFonts w:ascii="Times New Roman" w:hAnsi="Times New Roman"/>
          <w:b w:val="false"/>
          <w:color w:val="000000"/>
          <w:sz w:val="16"/>
        </w:rPr>
        <w:t>compensation is expected to be paid to directors who are “interested persons” of the Company, as such term is defined in Section 2(a)(19) of the 1940 Act.</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Note 8. Stockholders' Equity</w:t>
      </w:r>
    </w:p>
    <w:p>
      <w:pPr>
        <w:pStyle w:val="TextBody"/>
        <w:bidi w:val="0"/>
        <w:spacing w:before="120" w:after="120"/>
        <w:jc w:val="both"/>
        <w:rPr>
          <w:rFonts w:ascii="Times New Roman" w:hAnsi="Times New Roman"/>
          <w:sz w:val="20"/>
        </w:rPr>
      </w:pPr>
      <w:r>
        <w:rPr>
          <w:rFonts w:ascii="Times New Roman" w:hAnsi="Times New Roman"/>
          <w:b w:val="false"/>
          <w:color w:val="000000"/>
          <w:sz w:val="16"/>
        </w:rPr>
        <w:t>On March 6, 2023, the Company's Board authorized a new share repurchase program, whereby the Company may repurchase up to an aggregate of $5.0</w:t>
      </w:r>
      <w:r>
        <w:rPr>
          <w:rFonts w:ascii="Times New Roman" w:hAnsi="Times New Roman"/>
          <w:color w:val="000000"/>
          <w:sz w:val="20"/>
        </w:rPr>
        <w:t xml:space="preserve"> </w:t>
      </w:r>
      <w:r>
        <w:rPr>
          <w:rFonts w:ascii="Times New Roman" w:hAnsi="Times New Roman"/>
          <w:b w:val="false"/>
          <w:color w:val="000000"/>
          <w:sz w:val="16"/>
        </w:rPr>
        <w:t>million of its outstanding common shares in the open market. Unless extended or discontinued by the Company's Board, the repurchase program will terminate on March 31, 2024. The repurchase program may be extended, modified or discontinued at any time for any reason without prior notice. The repurchase program does not obligate the Company to acquire any specific number of shares, and all repurchases will be made in accordance with SEC Rule 10b-18 and accomplished through a Rule 10b5-1 plan, which sets certain restrictions on the method, timing, price and volume of share repurchases.</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b w:val="false"/>
          <w:color w:val="000000"/>
          <w:sz w:val="16"/>
        </w:rPr>
        <w:t>During the three and nine months ended September 30, 2023, the Company repurchased 17,384</w:t>
      </w:r>
      <w:r>
        <w:rPr>
          <w:rFonts w:ascii="Times New Roman" w:hAnsi="Times New Roman"/>
          <w:color w:val="000000"/>
          <w:sz w:val="20"/>
        </w:rPr>
        <w:t xml:space="preserve"> </w:t>
      </w:r>
      <w:r>
        <w:rPr>
          <w:rFonts w:ascii="Times New Roman" w:hAnsi="Times New Roman"/>
          <w:b w:val="false"/>
          <w:color w:val="000000"/>
          <w:sz w:val="16"/>
        </w:rPr>
        <w:t>and 31,496</w:t>
      </w:r>
      <w:r>
        <w:rPr>
          <w:rFonts w:ascii="Times New Roman" w:hAnsi="Times New Roman"/>
          <w:color w:val="000000"/>
          <w:sz w:val="20"/>
        </w:rPr>
        <w:t xml:space="preserve"> </w:t>
      </w:r>
      <w:r>
        <w:rPr>
          <w:rFonts w:ascii="Times New Roman" w:hAnsi="Times New Roman"/>
          <w:b w:val="false"/>
          <w:color w:val="000000"/>
          <w:sz w:val="16"/>
        </w:rPr>
        <w:t>of its outstanding shares, respectively, under the share repurchase program at an aggregate cost of approximately $0.4</w:t>
      </w:r>
      <w:r>
        <w:rPr>
          <w:rFonts w:ascii="Times New Roman" w:hAnsi="Times New Roman"/>
          <w:color w:val="000000"/>
          <w:sz w:val="20"/>
        </w:rPr>
        <w:t xml:space="preserve"> </w:t>
      </w:r>
      <w:r>
        <w:rPr>
          <w:rFonts w:ascii="Times New Roman" w:hAnsi="Times New Roman"/>
          <w:b w:val="false"/>
          <w:color w:val="000000"/>
          <w:sz w:val="16"/>
        </w:rPr>
        <w:t>million</w:t>
      </w:r>
      <w:r>
        <w:rPr>
          <w:rFonts w:ascii="Times New Roman" w:hAnsi="Times New Roman"/>
          <w:color w:val="000000"/>
          <w:sz w:val="20"/>
        </w:rPr>
        <w:t xml:space="preserve"> </w:t>
      </w:r>
      <w:r>
        <w:rPr>
          <w:rFonts w:ascii="Times New Roman" w:hAnsi="Times New Roman"/>
          <w:b w:val="false"/>
          <w:color w:val="000000"/>
          <w:sz w:val="16"/>
        </w:rPr>
        <w:t>and $0.7</w:t>
      </w:r>
      <w:r>
        <w:rPr>
          <w:rFonts w:ascii="Times New Roman" w:hAnsi="Times New Roman"/>
          <w:color w:val="000000"/>
          <w:sz w:val="20"/>
        </w:rPr>
        <w:t xml:space="preserve"> </w:t>
      </w:r>
      <w:r>
        <w:rPr>
          <w:rFonts w:ascii="Times New Roman" w:hAnsi="Times New Roman"/>
          <w:b w:val="false"/>
          <w:color w:val="000000"/>
          <w:sz w:val="16"/>
        </w:rPr>
        <w:t>million, respectively. There were</w:t>
      </w:r>
      <w:r>
        <w:rPr>
          <w:rFonts w:ascii="Times New Roman" w:hAnsi="Times New Roman"/>
          <w:color w:val="000000"/>
          <w:sz w:val="20"/>
        </w:rPr>
        <w:t xml:space="preserve"> </w:t>
      </w:r>
      <w:r>
        <w:rPr>
          <w:rFonts w:ascii="Times New Roman" w:hAnsi="Times New Roman"/>
          <w:b w:val="false"/>
          <w:color w:val="000000"/>
          <w:sz w:val="16"/>
        </w:rPr>
        <w:t>no</w:t>
      </w:r>
      <w:r>
        <w:rPr>
          <w:rFonts w:ascii="Times New Roman" w:hAnsi="Times New Roman"/>
          <w:color w:val="000000"/>
          <w:sz w:val="20"/>
        </w:rPr>
        <w:t xml:space="preserve"> </w:t>
      </w:r>
      <w:r>
        <w:rPr>
          <w:rFonts w:ascii="Times New Roman" w:hAnsi="Times New Roman"/>
          <w:b w:val="false"/>
          <w:color w:val="000000"/>
          <w:sz w:val="16"/>
        </w:rPr>
        <w:t>share repurchases during the three and nine months ended September 30, 2022.</w:t>
      </w:r>
    </w:p>
    <w:p>
      <w:pPr>
        <w:pStyle w:val="TextBody"/>
        <w:bidi w:val="0"/>
        <w:spacing w:before="120" w:after="120"/>
        <w:jc w:val="both"/>
        <w:rPr>
          <w:rFonts w:ascii="Times New Roman" w:hAnsi="Times New Roman"/>
          <w:sz w:val="20"/>
        </w:rPr>
      </w:pPr>
      <w:r>
        <w:rPr>
          <w:rFonts w:ascii="Times New Roman" w:hAnsi="Times New Roman"/>
          <w:b w:val="false"/>
          <w:color w:val="000000"/>
          <w:sz w:val="16"/>
        </w:rPr>
        <w:t>During the three and nine months ended September 30, 2023, the Company issued 53</w:t>
      </w:r>
      <w:r>
        <w:rPr>
          <w:rFonts w:ascii="Times New Roman" w:hAnsi="Times New Roman"/>
          <w:color w:val="000000"/>
          <w:sz w:val="20"/>
        </w:rPr>
        <w:t xml:space="preserve"> </w:t>
      </w:r>
      <w:r>
        <w:rPr>
          <w:rFonts w:ascii="Times New Roman" w:hAnsi="Times New Roman"/>
          <w:b w:val="false"/>
          <w:color w:val="000000"/>
          <w:sz w:val="16"/>
        </w:rPr>
        <w:t>and 240</w:t>
      </w:r>
      <w:r>
        <w:rPr>
          <w:rFonts w:ascii="Times New Roman" w:hAnsi="Times New Roman"/>
          <w:color w:val="000000"/>
          <w:sz w:val="20"/>
        </w:rPr>
        <w:t xml:space="preserve"> </w:t>
      </w:r>
      <w:r>
        <w:rPr>
          <w:rFonts w:ascii="Times New Roman" w:hAnsi="Times New Roman"/>
          <w:b w:val="false"/>
          <w:color w:val="000000"/>
          <w:sz w:val="16"/>
        </w:rPr>
        <w:t>shares, respectively, of common stock under its DRIP. The Company did not pay a dividend during the three and nine months ended September 30, 2022.</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September 30,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120"/>
        <w:jc w:val="both"/>
        <w:rPr>
          <w:rFonts w:ascii="Times New Roman" w:hAnsi="Times New Roman"/>
          <w:sz w:val="20"/>
        </w:rPr>
      </w:pPr>
      <w:r>
        <w:rPr>
          <w:rFonts w:ascii="Times New Roman" w:hAnsi="Times New Roman"/>
          <w:b w:val="false"/>
          <w:color w:val="000000"/>
          <w:sz w:val="16"/>
        </w:rPr>
        <w:t>The total number of shares of the Company’s common stock outstanding as of September 30, 2023 and December 31, 2022 was 2,679,812</w:t>
      </w:r>
      <w:r>
        <w:rPr>
          <w:rFonts w:ascii="Times New Roman" w:hAnsi="Times New Roman"/>
          <w:color w:val="000000"/>
          <w:sz w:val="20"/>
        </w:rPr>
        <w:t xml:space="preserve"> </w:t>
      </w:r>
      <w:r>
        <w:rPr>
          <w:rFonts w:ascii="Times New Roman" w:hAnsi="Times New Roman"/>
          <w:b w:val="false"/>
          <w:color w:val="000000"/>
          <w:sz w:val="16"/>
        </w:rPr>
        <w:t>and 2,711,068, respectively.</w:t>
      </w:r>
    </w:p>
    <w:p>
      <w:pPr>
        <w:pStyle w:val="TextBody"/>
        <w:bidi w:val="0"/>
        <w:spacing w:before="120" w:after="283"/>
        <w:jc w:val="both"/>
        <w:rPr>
          <w:rFonts w:ascii="Times New Roman" w:hAnsi="Times New Roman"/>
          <w:sz w:val="20"/>
        </w:rPr>
      </w:pPr>
      <w:r>
        <w:rPr>
          <w:rFonts w:ascii="Times New Roman" w:hAnsi="Times New Roman"/>
          <w:b/>
          <w:color w:val="000000"/>
          <w:sz w:val="16"/>
        </w:rPr>
        <w:t>Note 9. Earnings Per Share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 xml:space="preserve">In accordance with the provisions of ASC Topic 260 - </w:t>
      </w:r>
      <w:r>
        <w:rPr>
          <w:rFonts w:ascii="Times New Roman" w:hAnsi="Times New Roman"/>
          <w:b w:val="false"/>
          <w:i/>
          <w:color w:val="000000"/>
          <w:sz w:val="16"/>
        </w:rPr>
        <w:t>Earnings per Share</w:t>
      </w:r>
      <w:r>
        <w:rPr>
          <w:rFonts w:ascii="Times New Roman" w:hAnsi="Times New Roman"/>
          <w:color w:val="000000"/>
          <w:sz w:val="20"/>
        </w:rPr>
        <w:t xml:space="preserve"> </w:t>
      </w:r>
      <w:r>
        <w:rPr>
          <w:rFonts w:ascii="Times New Roman" w:hAnsi="Times New Roman"/>
          <w:b w:val="false"/>
          <w:color w:val="000000"/>
          <w:sz w:val="16"/>
        </w:rPr>
        <w:t>(“ASC 260”), basic earnings per share is computed by dividing earnings available to common stockholders by the weighted average number of shares of the Company’s common stock outstanding during the period. Other potentially dilutive shares of the Company’s common stock, and the related impact to earnings, are considered when calculating diluted earnings per share. For the three and nine months ended September 30, 2022, 0.6</w:t>
      </w:r>
      <w:r>
        <w:rPr>
          <w:rFonts w:ascii="Times New Roman" w:hAnsi="Times New Roman"/>
          <w:color w:val="000000"/>
          <w:sz w:val="20"/>
        </w:rPr>
        <w:t xml:space="preserve"> </w:t>
      </w:r>
      <w:r>
        <w:rPr>
          <w:rFonts w:ascii="Times New Roman" w:hAnsi="Times New Roman"/>
          <w:b w:val="false"/>
          <w:color w:val="000000"/>
          <w:sz w:val="16"/>
        </w:rPr>
        <w:t>million in convertible shares related to the 2022 Convertible Notes, which matured in May 2022, were considered anti-dilutive. For the three and nine months ended September 30, 2023 and 2022,</w:t>
      </w:r>
      <w:r>
        <w:rPr>
          <w:rFonts w:ascii="Times New Roman" w:hAnsi="Times New Roman"/>
          <w:color w:val="000000"/>
          <w:sz w:val="20"/>
        </w:rPr>
        <w:t xml:space="preserve"> </w:t>
      </w:r>
      <w:r>
        <w:rPr>
          <w:rFonts w:ascii="Times New Roman" w:hAnsi="Times New Roman"/>
          <w:b w:val="false"/>
          <w:color w:val="000000"/>
          <w:sz w:val="16"/>
        </w:rPr>
        <w:t>0.5</w:t>
      </w:r>
      <w:r>
        <w:rPr>
          <w:rFonts w:ascii="Times New Roman" w:hAnsi="Times New Roman"/>
          <w:color w:val="000000"/>
          <w:sz w:val="20"/>
        </w:rPr>
        <w:t xml:space="preserve"> </w:t>
      </w:r>
      <w:r>
        <w:rPr>
          <w:rFonts w:ascii="Times New Roman" w:hAnsi="Times New Roman"/>
          <w:b w:val="false"/>
          <w:color w:val="000000"/>
          <w:sz w:val="16"/>
        </w:rPr>
        <w:t>million and</w:t>
      </w:r>
      <w:r>
        <w:rPr>
          <w:rFonts w:ascii="Times New Roman" w:hAnsi="Times New Roman"/>
          <w:color w:val="000000"/>
          <w:sz w:val="20"/>
        </w:rPr>
        <w:t xml:space="preserve"> </w:t>
      </w:r>
      <w:r>
        <w:rPr>
          <w:rFonts w:ascii="Times New Roman" w:hAnsi="Times New Roman"/>
          <w:b w:val="false"/>
          <w:color w:val="000000"/>
          <w:sz w:val="16"/>
        </w:rPr>
        <w:t>0.5</w:t>
      </w:r>
      <w:r>
        <w:rPr>
          <w:rFonts w:ascii="Times New Roman" w:hAnsi="Times New Roman"/>
          <w:color w:val="000000"/>
          <w:sz w:val="20"/>
        </w:rPr>
        <w:t xml:space="preserve"> </w:t>
      </w:r>
      <w:r>
        <w:rPr>
          <w:rFonts w:ascii="Times New Roman" w:hAnsi="Times New Roman"/>
          <w:b w:val="false"/>
          <w:color w:val="000000"/>
          <w:sz w:val="16"/>
        </w:rPr>
        <w:t>million,</w:t>
      </w:r>
      <w:r>
        <w:rPr>
          <w:rFonts w:ascii="Times New Roman" w:hAnsi="Times New Roman"/>
          <w:color w:val="000000"/>
          <w:sz w:val="20"/>
        </w:rPr>
        <w:t xml:space="preserve"> </w:t>
      </w:r>
      <w:r>
        <w:rPr>
          <w:rFonts w:ascii="Times New Roman" w:hAnsi="Times New Roman"/>
          <w:b w:val="false"/>
          <w:color w:val="000000"/>
          <w:sz w:val="16"/>
        </w:rPr>
        <w:t>respectively, in convertible shares related to the 2032 Convertible Notes were considered anti-dilutive.</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The following information sets forth the computation of the weighted average basic and diluted net increase (decrease) in net assets per share resulting from operations for the three and nine months ended September 30, 2023 and 2022 (dollars in thousands, except share and per share data):</w:t>
      </w:r>
    </w:p>
    <w:tbl>
      <w:tblPr>
        <w:tblW w:w="10205" w:type="dxa"/>
        <w:jc w:val="left"/>
        <w:tblInd w:w="0" w:type="dxa"/>
        <w:tblLayout w:type="fixed"/>
        <w:tblCellMar>
          <w:top w:w="28" w:type="dxa"/>
          <w:left w:w="28" w:type="dxa"/>
          <w:bottom w:w="28" w:type="dxa"/>
          <w:right w:w="28" w:type="dxa"/>
        </w:tblCellMar>
      </w:tblPr>
      <w:tblGrid>
        <w:gridCol w:w="3795"/>
        <w:gridCol w:w="146"/>
        <w:gridCol w:w="241"/>
        <w:gridCol w:w="1017"/>
        <w:gridCol w:w="204"/>
        <w:gridCol w:w="179"/>
        <w:gridCol w:w="241"/>
        <w:gridCol w:w="1017"/>
        <w:gridCol w:w="166"/>
        <w:gridCol w:w="146"/>
        <w:gridCol w:w="237"/>
        <w:gridCol w:w="1004"/>
        <w:gridCol w:w="177"/>
        <w:gridCol w:w="177"/>
        <w:gridCol w:w="237"/>
        <w:gridCol w:w="1004"/>
        <w:gridCol w:w="217"/>
      </w:tblGrid>
      <w:tr>
        <w:trPr/>
        <w:tc>
          <w:tcPr>
            <w:tcW w:w="3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79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2023</w:t>
            </w:r>
            <w:r>
              <w:rPr>
                <w:rFonts w:ascii="Times New Roman" w:hAnsi="Times New Roman"/>
                <w:b/>
                <w:color w:val="000000"/>
                <w:sz w:val="11"/>
              </w:rPr>
              <w:t>(1)</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left"/>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2022</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2023</w:t>
            </w:r>
            <w:r>
              <w:rPr>
                <w:rFonts w:ascii="Times New Roman" w:hAnsi="Times New Roman"/>
                <w:b/>
                <w:color w:val="000000"/>
                <w:sz w:val="11"/>
              </w:rPr>
              <w:t>(1)</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left"/>
              <w:rPr/>
            </w:pPr>
            <w:r>
              <w:rPr/>
              <w:t> </w:t>
            </w:r>
          </w:p>
        </w:tc>
        <w:tc>
          <w:tcPr>
            <w:tcW w:w="12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2022</w:t>
            </w:r>
            <w:r>
              <w:rPr>
                <w:rFonts w:ascii="Times New Roman" w:hAnsi="Times New Roman"/>
                <w:b/>
                <w:color w:val="000000"/>
                <w:sz w:val="11"/>
              </w:rPr>
              <w:t>(2)</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(decrease) increase in net assets resulting from operations - basic and diluted</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1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(1,951</w:t>
            </w:r>
          </w:p>
        </w:tc>
        <w:tc>
          <w:tcPr>
            <w:tcW w:w="20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9"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1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(2,961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639</w:t>
            </w:r>
          </w:p>
        </w:tc>
        <w:tc>
          <w:tcPr>
            <w:tcW w:w="177"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(8,853</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379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Weighted average common stock outstanding – basic and diluted</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2,688,826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2,711,068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2,701,133</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2,711,068</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(decrease) increase in net assets per share from operations - basic and diluted</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(0.73</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9"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0.24</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(3.27</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bl>
    <w:p>
      <w:pPr>
        <w:pStyle w:val="TextBody"/>
        <w:pBdr>
          <w:top w:val="single" w:sz="6" w:space="1" w:color="000000"/>
        </w:pBdr>
        <w:bidi w:val="0"/>
        <w:spacing w:before="120" w:after="283"/>
        <w:jc w:val="both"/>
        <w:rPr/>
      </w:pPr>
      <w:r>
        <w:rPr/>
        <w:t> </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0" w:after="0"/>
        <w:jc w:val="both"/>
        <w:rPr>
          <w:rFonts w:ascii="Times New Roman" w:hAnsi="Times New Roman"/>
          <w:sz w:val="16"/>
        </w:rPr>
      </w:pPr>
      <w:r>
        <w:rPr>
          <w:rFonts w:ascii="Times New Roman" w:hAnsi="Times New Roman"/>
          <w:b w:val="false"/>
          <w:color w:val="000000"/>
          <w:sz w:val="16"/>
        </w:rPr>
        <w:t>In applying the if-converted method, conversion is not assumed for purposes of computing diluted earnings per share if the effect would be anti-dilutive. For the three and nine months ended September 30, 2023, conversion of the 2032 Convertible Notes into 0.5</w:t>
      </w:r>
      <w:r>
        <w:rPr>
          <w:rFonts w:ascii="Times New Roman" w:hAnsi="Times New Roman"/>
          <w:color w:val="000000"/>
          <w:sz w:val="16"/>
        </w:rPr>
        <w:t xml:space="preserve"> </w:t>
      </w:r>
      <w:r>
        <w:rPr>
          <w:rFonts w:ascii="Times New Roman" w:hAnsi="Times New Roman"/>
          <w:b w:val="false"/>
          <w:color w:val="000000"/>
          <w:sz w:val="16"/>
        </w:rPr>
        <w:t>million shares was not assumed as the effect on diluted earnings per share would be anit-dilutive.</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(2)</w:t>
      </w:r>
    </w:p>
    <w:p>
      <w:pPr>
        <w:pStyle w:val="TextBody"/>
        <w:bidi w:val="0"/>
        <w:jc w:val="both"/>
        <w:rPr>
          <w:rFonts w:ascii="Times New Roman" w:hAnsi="Times New Roman"/>
          <w:sz w:val="16"/>
        </w:rPr>
      </w:pPr>
      <w:r>
        <w:rPr>
          <w:rFonts w:ascii="Times New Roman" w:hAnsi="Times New Roman"/>
          <w:b w:val="false"/>
          <w:color w:val="000000"/>
          <w:sz w:val="16"/>
        </w:rPr>
        <w:t>In applying the if-converted method, conversion is not assumed for purposes of computing diluted earnings per share if the effect would be anti-dilutive. For the three and nine months ended September 30, 2022, conversion of the 2022 Convertible Notes</w:t>
      </w:r>
      <w:r>
        <w:rPr>
          <w:rFonts w:ascii="Times New Roman" w:hAnsi="Times New Roman"/>
          <w:color w:val="000000"/>
          <w:sz w:val="16"/>
        </w:rPr>
        <w:t xml:space="preserve"> </w:t>
      </w:r>
      <w:r>
        <w:rPr>
          <w:rFonts w:ascii="Times New Roman" w:hAnsi="Times New Roman"/>
          <w:b w:val="false"/>
          <w:color w:val="000000"/>
          <w:sz w:val="16"/>
        </w:rPr>
        <w:t>into 0.6</w:t>
      </w:r>
      <w:r>
        <w:rPr>
          <w:rFonts w:ascii="Times New Roman" w:hAnsi="Times New Roman"/>
          <w:color w:val="000000"/>
          <w:sz w:val="16"/>
        </w:rPr>
        <w:t xml:space="preserve"> </w:t>
      </w:r>
      <w:r>
        <w:rPr>
          <w:rFonts w:ascii="Times New Roman" w:hAnsi="Times New Roman"/>
          <w:b w:val="false"/>
          <w:color w:val="000000"/>
          <w:sz w:val="16"/>
        </w:rPr>
        <w:t>million shares was not assumed as the effect on diluted earnings per share would be anti-dilutive. For the three and nine months ended September 30, 2022, conversion of the 2032 Convertible Notes into 0.5</w:t>
      </w:r>
      <w:r>
        <w:rPr>
          <w:rFonts w:ascii="Times New Roman" w:hAnsi="Times New Roman"/>
          <w:color w:val="000000"/>
          <w:sz w:val="16"/>
        </w:rPr>
        <w:t xml:space="preserve"> </w:t>
      </w:r>
      <w:r>
        <w:rPr>
          <w:rFonts w:ascii="Times New Roman" w:hAnsi="Times New Roman"/>
          <w:b w:val="false"/>
          <w:color w:val="000000"/>
          <w:sz w:val="16"/>
        </w:rPr>
        <w:t>million shares was not assumed as the effect on diluted earnings per share would be anti-dilutive.</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Note 10. Distributions</w:t>
      </w:r>
    </w:p>
    <w:p>
      <w:pPr>
        <w:pStyle w:val="TextBody"/>
        <w:bidi w:val="0"/>
        <w:spacing w:before="0" w:after="120"/>
        <w:jc w:val="both"/>
        <w:rPr>
          <w:rFonts w:ascii="Times New Roman" w:hAnsi="Times New Roman"/>
          <w:sz w:val="20"/>
        </w:rPr>
      </w:pPr>
      <w:r>
        <w:rPr>
          <w:rFonts w:ascii="Times New Roman" w:hAnsi="Times New Roman"/>
          <w:b w:val="false"/>
          <w:color w:val="000000"/>
          <w:sz w:val="16"/>
        </w:rPr>
        <w:t>The Company’s distributions are recorded on the record date. Stockholders have the option to receive payment of the distribution in cash, shares of the Company’s common stock, or a combination of cash and shares of common stock. Tax characteristics of all distributions paid are reported to stockholders on Form 1099 after the end of the calendar year. Accordingly, distributions may be subject to reclassification based on future dividends and operating results and will not be determined until the end of the year.</w:t>
      </w:r>
      <w:r>
        <w:rPr>
          <w:rFonts w:ascii="Times New Roman" w:hAnsi="Times New Roman"/>
          <w:color w:val="000000"/>
          <w:sz w:val="20"/>
        </w:rPr>
        <w:t xml:space="preserve"> </w:t>
      </w:r>
    </w:p>
    <w:p>
      <w:pPr>
        <w:pStyle w:val="TextBody"/>
        <w:bidi w:val="0"/>
        <w:spacing w:before="0" w:after="120"/>
        <w:jc w:val="both"/>
        <w:rPr>
          <w:rFonts w:ascii="Times New Roman" w:hAnsi="Times New Roman"/>
          <w:b w:val="false"/>
          <w:color w:val="000000"/>
          <w:sz w:val="16"/>
        </w:rPr>
      </w:pPr>
      <w:r>
        <w:rPr>
          <w:rFonts w:ascii="Times New Roman" w:hAnsi="Times New Roman"/>
          <w:b w:val="false"/>
          <w:color w:val="000000"/>
          <w:sz w:val="16"/>
        </w:rPr>
        <w:t>The following table summarizes the Company's distribution declarations for the nine months ended September 30, 2023 (dollars in thousands, except share and per share data):</w:t>
      </w:r>
    </w:p>
    <w:tbl>
      <w:tblPr>
        <w:tblW w:w="8663" w:type="dxa"/>
        <w:jc w:val="left"/>
        <w:tblInd w:w="0" w:type="dxa"/>
        <w:tblLayout w:type="fixed"/>
        <w:tblCellMar>
          <w:top w:w="28" w:type="dxa"/>
          <w:left w:w="28" w:type="dxa"/>
          <w:bottom w:w="28" w:type="dxa"/>
          <w:right w:w="28" w:type="dxa"/>
        </w:tblCellMar>
      </w:tblPr>
      <w:tblGrid>
        <w:gridCol w:w="1201"/>
        <w:gridCol w:w="146"/>
        <w:gridCol w:w="1276"/>
        <w:gridCol w:w="146"/>
        <w:gridCol w:w="1276"/>
        <w:gridCol w:w="146"/>
        <w:gridCol w:w="261"/>
        <w:gridCol w:w="564"/>
        <w:gridCol w:w="146"/>
        <w:gridCol w:w="146"/>
        <w:gridCol w:w="382"/>
        <w:gridCol w:w="998"/>
        <w:gridCol w:w="146"/>
        <w:gridCol w:w="146"/>
        <w:gridCol w:w="215"/>
        <w:gridCol w:w="415"/>
        <w:gridCol w:w="146"/>
        <w:gridCol w:w="146"/>
        <w:gridCol w:w="285"/>
        <w:gridCol w:w="285"/>
        <w:gridCol w:w="19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Amount </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DRIP </w:t>
              <w:br/>
              <w:t xml:space="preserve">Shares </w:t>
              <w:br/>
              <w:t>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DRIP </w:t>
              <w:br/>
              <w:t xml:space="preserve">Share </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March 9, 2023</w:t>
            </w:r>
          </w:p>
        </w:tc>
        <w:tc>
          <w:tcPr>
            <w:tcW w:w="146" w:type="dxa"/>
            <w:tcBorders/>
            <w:shd w:fill="CFF0FC" w:val="clear"/>
            <w:vAlign w:val="center"/>
          </w:tcPr>
          <w:p>
            <w:pPr>
              <w:pStyle w:val="TableContents"/>
              <w:bidi w:val="0"/>
              <w:spacing w:before="0" w:after="283"/>
              <w:jc w:val="left"/>
              <w:rPr/>
            </w:pPr>
            <w:r>
              <w:rPr/>
              <w:t> </w:t>
            </w:r>
          </w:p>
        </w:tc>
        <w:tc>
          <w:tcPr>
            <w:tcW w:w="127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March 20, 2023</w:t>
            </w:r>
          </w:p>
        </w:tc>
        <w:tc>
          <w:tcPr>
            <w:tcW w:w="146" w:type="dxa"/>
            <w:tcBorders/>
            <w:shd w:fill="CFF0FC" w:val="clear"/>
            <w:vAlign w:val="center"/>
          </w:tcPr>
          <w:p>
            <w:pPr>
              <w:pStyle w:val="TableContents"/>
              <w:bidi w:val="0"/>
              <w:spacing w:before="0" w:after="283"/>
              <w:jc w:val="left"/>
              <w:rPr/>
            </w:pPr>
            <w:r>
              <w:rPr/>
              <w:t> </w:t>
            </w:r>
          </w:p>
        </w:tc>
        <w:tc>
          <w:tcPr>
            <w:tcW w:w="127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March 31, 2023</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6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9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8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w:t>
            </w:r>
          </w:p>
        </w:tc>
        <w:tc>
          <w:tcPr>
            <w:tcW w:w="19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May 10, 2023</w:t>
            </w:r>
          </w:p>
        </w:tc>
        <w:tc>
          <w:tcPr>
            <w:tcW w:w="146"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May 22, 2023</w:t>
            </w:r>
          </w:p>
        </w:tc>
        <w:tc>
          <w:tcPr>
            <w:tcW w:w="146"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May 31, 2023</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91"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August 9, 2023</w:t>
            </w:r>
          </w:p>
        </w:tc>
        <w:tc>
          <w:tcPr>
            <w:tcW w:w="146" w:type="dxa"/>
            <w:tcBorders/>
            <w:shd w:fill="CFF0FC" w:val="clear"/>
            <w:vAlign w:val="center"/>
          </w:tcPr>
          <w:p>
            <w:pPr>
              <w:pStyle w:val="TableContents"/>
              <w:bidi w:val="0"/>
              <w:spacing w:before="0" w:after="283"/>
              <w:jc w:val="left"/>
              <w:rPr/>
            </w:pPr>
            <w:r>
              <w:rPr/>
              <w:t> </w:t>
            </w:r>
          </w:p>
        </w:tc>
        <w:tc>
          <w:tcPr>
            <w:tcW w:w="127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August 22, 2023</w:t>
            </w:r>
          </w:p>
        </w:tc>
        <w:tc>
          <w:tcPr>
            <w:tcW w:w="146" w:type="dxa"/>
            <w:tcBorders/>
            <w:shd w:fill="CFF0FC" w:val="clear"/>
            <w:vAlign w:val="center"/>
          </w:tcPr>
          <w:p>
            <w:pPr>
              <w:pStyle w:val="TableContents"/>
              <w:bidi w:val="0"/>
              <w:spacing w:before="0" w:after="283"/>
              <w:jc w:val="left"/>
              <w:rPr/>
            </w:pPr>
            <w:r>
              <w:rPr/>
              <w:t> </w:t>
            </w:r>
          </w:p>
        </w:tc>
        <w:tc>
          <w:tcPr>
            <w:tcW w:w="127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August 31, 2023</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45" w:type="dxa"/>
            <w:gridSpan w:val="5"/>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Distributions Declared and Distributed for 2023</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Times New Roman" w:hAnsi="Times New Roman"/>
          <w:b w:val="false"/>
          <w:color w:val="000000"/>
          <w:sz w:val="16"/>
        </w:rPr>
        <w:t>The Company's Board determined not to declare distributions for the nine months ended September 30, 2022.</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September 30, 2023</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b/>
          <w:color w:val="000000"/>
          <w:sz w:val="16"/>
        </w:rPr>
        <w:t>Note 11. Financial Highlights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b w:val="false"/>
          <w:color w:val="000000"/>
          <w:sz w:val="16"/>
        </w:rPr>
        <w:t>The following is a schedule of financial highlights for the nine months ended September 30, 2023 and 2022 (dollars in thousands, except share and per share data):</w:t>
      </w:r>
      <w:r>
        <w:rPr>
          <w:rFonts w:ascii="Times New Roman" w:hAnsi="Times New Roman"/>
          <w:color w:val="000000"/>
          <w:sz w:val="20"/>
        </w:rPr>
        <w:t xml:space="preserve"> </w:t>
      </w:r>
    </w:p>
    <w:tbl>
      <w:tblPr>
        <w:tblW w:w="8636" w:type="dxa"/>
        <w:jc w:val="left"/>
        <w:tblInd w:w="0" w:type="dxa"/>
        <w:tblLayout w:type="fixed"/>
        <w:tblCellMar>
          <w:top w:w="28" w:type="dxa"/>
          <w:left w:w="28" w:type="dxa"/>
          <w:bottom w:w="28" w:type="dxa"/>
          <w:right w:w="28" w:type="dxa"/>
        </w:tblCellMar>
      </w:tblPr>
      <w:tblGrid>
        <w:gridCol w:w="4966"/>
        <w:gridCol w:w="146"/>
        <w:gridCol w:w="250"/>
        <w:gridCol w:w="1054"/>
        <w:gridCol w:w="384"/>
        <w:gridCol w:w="186"/>
        <w:gridCol w:w="250"/>
        <w:gridCol w:w="1054"/>
        <w:gridCol w:w="346"/>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9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7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346" w:type="dxa"/>
            <w:tcBorders/>
            <w:shd w:fill="FFFFFF" w:val="clear"/>
            <w:vAlign w:val="center"/>
          </w:tcPr>
          <w:p>
            <w:pPr>
              <w:pStyle w:val="TableContents"/>
              <w:bidi w:val="0"/>
              <w:spacing w:before="0" w:after="283"/>
              <w:jc w:val="center"/>
              <w:rPr/>
            </w:pPr>
            <w:r>
              <w:rPr/>
              <w:t> </w:t>
            </w:r>
          </w:p>
        </w:tc>
      </w:tr>
      <w:tr>
        <w:trPr/>
        <w:tc>
          <w:tcPr>
            <w:tcW w:w="49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vAlign w:val="center"/>
          </w:tcPr>
          <w:p>
            <w:pPr>
              <w:pStyle w:val="TableContents"/>
              <w:bidi w:val="0"/>
              <w:spacing w:before="0" w:after="283"/>
              <w:jc w:val="center"/>
              <w:rPr/>
            </w:pPr>
            <w:r>
              <w:rPr/>
              <w:t> </w:t>
            </w:r>
          </w:p>
        </w:tc>
        <w:tc>
          <w:tcPr>
            <w:tcW w:w="13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 share data:</w:t>
            </w:r>
          </w:p>
        </w:tc>
        <w:tc>
          <w:tcPr>
            <w:tcW w:w="146" w:type="dxa"/>
            <w:tcBorders/>
            <w:shd w:fill="CFF0FC" w:val="clear"/>
            <w:vAlign w:val="center"/>
          </w:tcPr>
          <w:p>
            <w:pPr>
              <w:pStyle w:val="TableContents"/>
              <w:bidi w:val="0"/>
              <w:spacing w:before="0" w:after="283"/>
              <w:jc w:val="left"/>
              <w:rPr/>
            </w:pPr>
            <w:r>
              <w:rPr/>
              <w:t> </w:t>
            </w:r>
          </w:p>
        </w:tc>
        <w:tc>
          <w:tcPr>
            <w:tcW w:w="1304" w:type="dxa"/>
            <w:gridSpan w:val="2"/>
            <w:tcBorders/>
            <w:shd w:fill="CFF0FC" w:val="clear"/>
            <w:vAlign w:val="center"/>
          </w:tcPr>
          <w:p>
            <w:pPr>
              <w:pStyle w:val="TableContents"/>
              <w:bidi w:val="0"/>
              <w:spacing w:before="0" w:after="283"/>
              <w:jc w:val="right"/>
              <w:rPr/>
            </w:pPr>
            <w:r>
              <w:rPr/>
              <w:t> </w:t>
            </w:r>
          </w:p>
        </w:tc>
        <w:tc>
          <w:tcPr>
            <w:tcW w:w="384" w:type="dxa"/>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left"/>
              <w:rPr/>
            </w:pPr>
            <w:r>
              <w:rPr/>
              <w:t> </w:t>
            </w:r>
          </w:p>
        </w:tc>
        <w:tc>
          <w:tcPr>
            <w:tcW w:w="1304" w:type="dxa"/>
            <w:gridSpan w:val="2"/>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righ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asset value at beginning of period</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5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35.04</w:t>
            </w:r>
          </w:p>
        </w:tc>
        <w:tc>
          <w:tcPr>
            <w:tcW w:w="384"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5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39.48</w:t>
            </w:r>
          </w:p>
        </w:tc>
        <w:tc>
          <w:tcPr>
            <w:tcW w:w="346" w:type="dxa"/>
            <w:tcBorders/>
            <w:shd w:fill="FFFFFF" w:val="clear"/>
            <w:vAlign w:val="center"/>
          </w:tcPr>
          <w:p>
            <w:pPr>
              <w:pStyle w:val="TableContents"/>
              <w:bidi w:val="0"/>
              <w:spacing w:before="0" w:after="283"/>
              <w:jc w:val="left"/>
              <w:rPr/>
            </w:pPr>
            <w:r>
              <w:rPr/>
              <w:t> </w:t>
            </w:r>
          </w:p>
        </w:tc>
      </w:tr>
      <w:tr>
        <w:trPr/>
        <w:tc>
          <w:tcPr>
            <w:tcW w:w="496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Net investment income (loss)</w:t>
            </w:r>
            <w:r>
              <w:rPr>
                <w:rFonts w:ascii="Times New Roman" w:hAnsi="Times New Roman"/>
                <w:b w:val="false"/>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105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w:t>
            </w:r>
          </w:p>
        </w:tc>
        <w:tc>
          <w:tcPr>
            <w:tcW w:w="384"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105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(0.66</w:t>
            </w:r>
          </w:p>
        </w:tc>
        <w:tc>
          <w:tcPr>
            <w:tcW w:w="3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96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Net realized (loss) gain on investments</w:t>
            </w:r>
            <w:r>
              <w:rPr>
                <w:rFonts w:ascii="Times New Roman" w:hAnsi="Times New Roman"/>
                <w:b w:val="false"/>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(1.47</w:t>
            </w:r>
          </w:p>
        </w:tc>
        <w:tc>
          <w:tcPr>
            <w:tcW w:w="38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8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3.78</w:t>
            </w:r>
          </w:p>
        </w:tc>
        <w:tc>
          <w:tcPr>
            <w:tcW w:w="346" w:type="dxa"/>
            <w:tcBorders/>
            <w:shd w:fill="FFFFFF" w:val="clear"/>
            <w:vAlign w:val="center"/>
          </w:tcPr>
          <w:p>
            <w:pPr>
              <w:pStyle w:val="TableContents"/>
              <w:bidi w:val="0"/>
              <w:spacing w:before="0" w:after="283"/>
              <w:jc w:val="left"/>
              <w:rPr/>
            </w:pPr>
            <w:r>
              <w:rPr/>
              <w:t> </w:t>
            </w:r>
          </w:p>
        </w:tc>
      </w:tr>
      <w:tr>
        <w:trPr/>
        <w:tc>
          <w:tcPr>
            <w:tcW w:w="496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Net change in unrealized appreciation (depreciation) on investments</w:t>
            </w:r>
            <w:r>
              <w:rPr>
                <w:rFonts w:ascii="Times New Roman" w:hAnsi="Times New Roman"/>
                <w:b w:val="false"/>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105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0.50</w:t>
            </w:r>
          </w:p>
        </w:tc>
        <w:tc>
          <w:tcPr>
            <w:tcW w:w="384"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105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(6.39</w:t>
            </w:r>
          </w:p>
        </w:tc>
        <w:tc>
          <w:tcPr>
            <w:tcW w:w="3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96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Net increase (decrease) in net assets resulting from operations</w:t>
            </w:r>
            <w:r>
              <w:rPr>
                <w:rFonts w:ascii="Times New Roman" w:hAnsi="Times New Roman"/>
                <w:b w:val="false"/>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25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5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0.24</w:t>
            </w:r>
          </w:p>
        </w:tc>
        <w:tc>
          <w:tcPr>
            <w:tcW w:w="384"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5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5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(3.27</w:t>
            </w:r>
          </w:p>
        </w:tc>
        <w:tc>
          <w:tcPr>
            <w:tcW w:w="34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9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Distributions</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105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(0.66</w:t>
            </w:r>
          </w:p>
        </w:tc>
        <w:tc>
          <w:tcPr>
            <w:tcW w:w="38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8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1054" w:type="dxa"/>
            <w:tcBorders/>
            <w:shd w:fill="CFF0FC" w:val="clear"/>
            <w:vAlign w:val="center"/>
          </w:tcPr>
          <w:p>
            <w:pPr>
              <w:pStyle w:val="TableContents"/>
              <w:bidi w:val="0"/>
              <w:spacing w:before="0" w:after="283"/>
              <w:jc w:val="right"/>
              <w:rPr>
                <w:color w:val="000000"/>
              </w:rPr>
            </w:pPr>
            <w:r>
              <w:rPr>
                <w:color w:val="000000"/>
              </w:rPr>
              <w:t>—</w:t>
            </w:r>
          </w:p>
        </w:tc>
        <w:tc>
          <w:tcPr>
            <w:tcW w:w="346" w:type="dxa"/>
            <w:tcBorders/>
            <w:shd w:fill="CFF0FC" w:val="cle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Accretive effect of common stock repurchases</w:t>
            </w:r>
            <w:r>
              <w:rPr>
                <w:rFonts w:ascii="Times New Roman" w:hAnsi="Times New Roman"/>
                <w:b w:val="false"/>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0.16</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asset value at end of year</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34.78</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36.21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assets at end of period</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5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93,208</w:t>
            </w:r>
          </w:p>
        </w:tc>
        <w:tc>
          <w:tcPr>
            <w:tcW w:w="384"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5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98,176</w:t>
            </w:r>
          </w:p>
        </w:tc>
        <w:tc>
          <w:tcPr>
            <w:tcW w:w="346" w:type="dxa"/>
            <w:tcBorders/>
            <w:shd w:fill="FFFFFF" w:val="clear"/>
            <w:vAlign w:val="center"/>
          </w:tcPr>
          <w:p>
            <w:pPr>
              <w:pStyle w:val="TableContents"/>
              <w:bidi w:val="0"/>
              <w:spacing w:before="0" w:after="283"/>
              <w:jc w:val="left"/>
              <w:rPr/>
            </w:pPr>
            <w:r>
              <w:rPr/>
              <w:t> </w:t>
            </w:r>
          </w:p>
        </w:tc>
      </w:tr>
      <w:tr>
        <w:trPr/>
        <w:tc>
          <w:tcPr>
            <w:tcW w:w="49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Shares outstanding at end of period</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105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2,679,812</w:t>
            </w:r>
          </w:p>
        </w:tc>
        <w:tc>
          <w:tcPr>
            <w:tcW w:w="384"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105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2,711,068</w:t>
            </w:r>
          </w:p>
        </w:tc>
        <w:tc>
          <w:tcPr>
            <w:tcW w:w="346" w:type="dxa"/>
            <w:tcBorders/>
            <w:shd w:fill="CFF0FC" w:val="cle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Per share market value at end of period</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5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20.75</w:t>
            </w:r>
          </w:p>
        </w:tc>
        <w:tc>
          <w:tcPr>
            <w:tcW w:w="384"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5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17.96</w:t>
            </w:r>
          </w:p>
        </w:tc>
        <w:tc>
          <w:tcPr>
            <w:tcW w:w="346" w:type="dxa"/>
            <w:tcBorders/>
            <w:shd w:fill="FFFFFF" w:val="clear"/>
            <w:vAlign w:val="center"/>
          </w:tcPr>
          <w:p>
            <w:pPr>
              <w:pStyle w:val="TableContents"/>
              <w:bidi w:val="0"/>
              <w:spacing w:before="0" w:after="283"/>
              <w:jc w:val="left"/>
              <w:rPr/>
            </w:pPr>
            <w:r>
              <w:rPr/>
              <w:t> </w:t>
            </w:r>
          </w:p>
        </w:tc>
      </w:tr>
      <w:tr>
        <w:trPr/>
        <w:tc>
          <w:tcPr>
            <w:tcW w:w="496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Total return based on market value</w:t>
            </w:r>
            <w:r>
              <w:rPr>
                <w:rFonts w:ascii="Times New Roman" w:hAnsi="Times New Roman"/>
                <w:b w:val="false"/>
                <w:color w:val="000000"/>
                <w:sz w:val="11"/>
              </w:rPr>
              <w:t>(2)</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105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(4.07</w:t>
            </w:r>
          </w:p>
        </w:tc>
        <w:tc>
          <w:tcPr>
            <w:tcW w:w="38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8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105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(21.88</w:t>
            </w:r>
          </w:p>
        </w:tc>
        <w:tc>
          <w:tcPr>
            <w:tcW w:w="3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96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Ratio/Supplemental data:</w:t>
            </w:r>
          </w:p>
        </w:tc>
        <w:tc>
          <w:tcPr>
            <w:tcW w:w="146" w:type="dxa"/>
            <w:tcBorders/>
            <w:shd w:fill="FFFFFF" w:val="clear"/>
            <w:vAlign w:val="center"/>
          </w:tcPr>
          <w:p>
            <w:pPr>
              <w:pStyle w:val="TableContents"/>
              <w:bidi w:val="0"/>
              <w:spacing w:before="0" w:after="283"/>
              <w:jc w:val="left"/>
              <w:rPr/>
            </w:pPr>
            <w:r>
              <w:rPr/>
              <w:t> </w:t>
            </w:r>
          </w:p>
        </w:tc>
        <w:tc>
          <w:tcPr>
            <w:tcW w:w="1304" w:type="dxa"/>
            <w:gridSpan w:val="2"/>
            <w:tcBorders/>
            <w:shd w:fill="FFFFFF" w:val="clear"/>
            <w:vAlign w:val="center"/>
          </w:tcPr>
          <w:p>
            <w:pPr>
              <w:pStyle w:val="TableContents"/>
              <w:bidi w:val="0"/>
              <w:spacing w:before="0" w:after="283"/>
              <w:jc w:val="right"/>
              <w:rPr/>
            </w:pPr>
            <w:r>
              <w:rPr/>
              <w:t> </w:t>
            </w:r>
          </w:p>
        </w:tc>
        <w:tc>
          <w:tcPr>
            <w:tcW w:w="384"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1304" w:type="dxa"/>
            <w:gridSpan w:val="2"/>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right"/>
              <w:rPr/>
            </w:pPr>
            <w:r>
              <w:rPr/>
              <w:t> </w:t>
            </w:r>
          </w:p>
        </w:tc>
      </w:tr>
      <w:tr>
        <w:trPr/>
        <w:tc>
          <w:tcPr>
            <w:tcW w:w="496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Ratio of net investment income (loss) to average net assets</w:t>
            </w:r>
            <w:r>
              <w:rPr>
                <w:rFonts w:ascii="Times New Roman" w:hAnsi="Times New Roman"/>
                <w:b w:val="false"/>
                <w:color w:val="000000"/>
                <w:sz w:val="11"/>
              </w:rPr>
              <w:t>(3)</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105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4.62</w:t>
            </w:r>
          </w:p>
        </w:tc>
        <w:tc>
          <w:tcPr>
            <w:tcW w:w="38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8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105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(2.33</w:t>
            </w:r>
          </w:p>
        </w:tc>
        <w:tc>
          <w:tcPr>
            <w:tcW w:w="3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96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Ratio of interest and financing expenses to average net assets</w:t>
            </w:r>
            <w:r>
              <w:rPr>
                <w:rFonts w:ascii="Times New Roman" w:hAnsi="Times New Roman"/>
                <w:b w:val="false"/>
                <w:color w:val="000000"/>
                <w:sz w:val="11"/>
              </w:rPr>
              <w:t>(3)</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9.03</w:t>
            </w:r>
          </w:p>
        </w:tc>
        <w:tc>
          <w:tcPr>
            <w:tcW w:w="38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8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7.62</w:t>
            </w:r>
          </w:p>
        </w:tc>
        <w:tc>
          <w:tcPr>
            <w:tcW w:w="3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96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Ratio of other operating expenses to average net assets</w:t>
            </w:r>
            <w:r>
              <w:rPr>
                <w:rFonts w:ascii="Times New Roman" w:hAnsi="Times New Roman"/>
                <w:b w:val="false"/>
                <w:color w:val="000000"/>
                <w:sz w:val="11"/>
              </w:rPr>
              <w:t>(3)</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105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8.64</w:t>
            </w:r>
          </w:p>
        </w:tc>
        <w:tc>
          <w:tcPr>
            <w:tcW w:w="38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8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105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8.18</w:t>
            </w:r>
          </w:p>
        </w:tc>
        <w:tc>
          <w:tcPr>
            <w:tcW w:w="3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96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Ratio of total expenses to average net assets</w:t>
            </w:r>
            <w:r>
              <w:rPr>
                <w:rFonts w:ascii="Times New Roman" w:hAnsi="Times New Roman"/>
                <w:b w:val="false"/>
                <w:color w:val="000000"/>
                <w:sz w:val="11"/>
              </w:rPr>
              <w:t>(3)</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17.67</w:t>
            </w:r>
          </w:p>
        </w:tc>
        <w:tc>
          <w:tcPr>
            <w:tcW w:w="38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8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15.80</w:t>
            </w:r>
          </w:p>
        </w:tc>
        <w:tc>
          <w:tcPr>
            <w:tcW w:w="3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96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Portfolio turnover rate</w:t>
            </w:r>
            <w:r>
              <w:rPr>
                <w:rFonts w:ascii="Times New Roman" w:hAnsi="Times New Roman"/>
                <w:b w:val="false"/>
                <w:color w:val="000000"/>
                <w:sz w:val="11"/>
              </w:rPr>
              <w:t>(4)</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105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9.18</w:t>
            </w:r>
          </w:p>
        </w:tc>
        <w:tc>
          <w:tcPr>
            <w:tcW w:w="38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8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105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43.30</w:t>
            </w:r>
          </w:p>
        </w:tc>
        <w:tc>
          <w:tcPr>
            <w:tcW w:w="3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96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Average debt outstanding</w:t>
            </w:r>
            <w:r>
              <w:rPr>
                <w:rFonts w:ascii="Times New Roman" w:hAnsi="Times New Roman"/>
                <w:b w:val="false"/>
                <w:color w:val="000000"/>
                <w:sz w:val="11"/>
              </w:rPr>
              <w:t>(5)</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5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117,647</w:t>
            </w:r>
          </w:p>
        </w:tc>
        <w:tc>
          <w:tcPr>
            <w:tcW w:w="384"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5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120,924</w:t>
            </w:r>
          </w:p>
        </w:tc>
        <w:tc>
          <w:tcPr>
            <w:tcW w:w="346" w:type="dxa"/>
            <w:tcBorders/>
            <w:shd w:fill="FFFFFF" w:val="clear"/>
            <w:vAlign w:val="center"/>
          </w:tcPr>
          <w:p>
            <w:pPr>
              <w:pStyle w:val="TableContents"/>
              <w:bidi w:val="0"/>
              <w:spacing w:before="0" w:after="283"/>
              <w:jc w:val="left"/>
              <w:rPr/>
            </w:pPr>
            <w:r>
              <w:rPr/>
              <w:t> </w:t>
            </w:r>
          </w:p>
        </w:tc>
      </w:tr>
      <w:tr>
        <w:trPr/>
        <w:tc>
          <w:tcPr>
            <w:tcW w:w="496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Average debt outstanding per common share</w:t>
            </w:r>
            <w:r>
              <w:rPr>
                <w:rFonts w:ascii="Times New Roman" w:hAnsi="Times New Roman"/>
                <w:b w:val="false"/>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5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43.55</w:t>
            </w:r>
          </w:p>
        </w:tc>
        <w:tc>
          <w:tcPr>
            <w:tcW w:w="384"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5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44.60</w:t>
            </w:r>
          </w:p>
        </w:tc>
        <w:tc>
          <w:tcPr>
            <w:tcW w:w="346" w:type="dxa"/>
            <w:tcBorders/>
            <w:shd w:fill="CFF0FC" w:val="cle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Asset coverage ratio per unit</w:t>
            </w:r>
            <w:r>
              <w:rPr>
                <w:rFonts w:ascii="Times New Roman" w:hAnsi="Times New Roman"/>
                <w:b w:val="false"/>
                <w:color w:val="000000"/>
                <w:sz w:val="11"/>
              </w:rPr>
              <w:t>(6)</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5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1,909</w:t>
            </w:r>
          </w:p>
        </w:tc>
        <w:tc>
          <w:tcPr>
            <w:tcW w:w="384"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5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1,870</w:t>
            </w:r>
          </w:p>
        </w:tc>
        <w:tc>
          <w:tcPr>
            <w:tcW w:w="346" w:type="dxa"/>
            <w:tcBorders/>
            <w:shd w:fill="FFFFFF" w:val="cle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120"/>
        <w:jc w:val="both"/>
        <w:rPr/>
      </w:pPr>
      <w:r>
        <w:rPr/>
        <w:t> </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(1)</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Based on daily weighted average balance of shares of the Company’s common stock outstanding during the period.</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(2)</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Total investment return is calculated assuming a purchase of shares of the Company's common stock at the current market value on the first day and a sale at the current market value on the last day of the period reported. Dividends and distributions, if any, are assumed for purposes of this calculation to be reinvested at prices obtained under the Company’s DRIP. Total investment return does not reflect brokerage commissions. Total investment returns covering less than a full period are not annualized.</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(3)</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Ratio is annualized.</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(4)</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Portfolio turnover rate is calculated using the lesser of year-to-date sales or year-to-date purchases over the average of the invested assets at fair value. Portfolio turnover rates that cover less than a full period are not annualized.</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(5)</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Based on the daily weighted average balance of debt outstanding during the period.</w:t>
      </w:r>
    </w:p>
    <w:p>
      <w:pPr>
        <w:pStyle w:val="TextBody"/>
        <w:bidi w:val="0"/>
        <w:spacing w:before="0" w:after="0"/>
        <w:jc w:val="both"/>
        <w:rPr>
          <w:rFonts w:ascii="Times New Roman" w:hAnsi="Times New Roman"/>
          <w:b w:val="false"/>
          <w:color w:val="000000"/>
          <w:sz w:val="14"/>
        </w:rPr>
      </w:pPr>
      <w:r>
        <w:rPr>
          <w:rFonts w:ascii="Times New Roman" w:hAnsi="Times New Roman"/>
          <w:b w:val="false"/>
          <w:color w:val="000000"/>
          <w:sz w:val="14"/>
        </w:rPr>
        <w:t>(6)</w:t>
      </w:r>
    </w:p>
    <w:p>
      <w:pPr>
        <w:pStyle w:val="TextBody"/>
        <w:bidi w:val="0"/>
        <w:jc w:val="both"/>
        <w:rPr>
          <w:rFonts w:ascii="Times New Roman" w:hAnsi="Times New Roman"/>
          <w:sz w:val="16"/>
        </w:rPr>
      </w:pPr>
      <w:r>
        <w:rPr>
          <w:rFonts w:ascii="Times New Roman" w:hAnsi="Times New Roman"/>
          <w:b w:val="false"/>
          <w:color w:val="000000"/>
          <w:sz w:val="14"/>
        </w:rPr>
        <w:t>Asset coverage per unit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w:t>
      </w:r>
      <w:r>
        <w:rPr>
          <w:rFonts w:ascii="Times New Roman" w:hAnsi="Times New Roman"/>
          <w:color w:val="000000"/>
          <w:sz w:val="16"/>
        </w:rPr>
        <w:t xml:space="preserve"> </w:t>
      </w:r>
      <w:r>
        <w:rPr>
          <w:rFonts w:ascii="Times New Roman" w:hAnsi="Times New Roman"/>
          <w:b w:val="false"/>
          <w:color w:val="000000"/>
          <w:sz w:val="14"/>
        </w:rPr>
        <w:t>of indebtedness.</w:t>
      </w:r>
    </w:p>
    <w:p>
      <w:pPr>
        <w:pStyle w:val="TextBody"/>
        <w:bidi w:val="0"/>
        <w:jc w:val="both"/>
        <w:rPr/>
      </w:pPr>
      <w:r>
        <w:rPr/>
        <w:t> </w:t>
      </w:r>
    </w:p>
    <w:p>
      <w:pPr>
        <w:pStyle w:val="TextBody"/>
        <w:bidi w:val="0"/>
        <w:spacing w:before="80" w:after="120"/>
        <w:jc w:val="both"/>
        <w:rPr>
          <w:rFonts w:ascii="Times New Roman" w:hAnsi="Times New Roman"/>
          <w:b/>
          <w:color w:val="000000"/>
          <w:sz w:val="16"/>
        </w:rPr>
      </w:pPr>
      <w:r>
        <w:rPr>
          <w:rFonts w:ascii="Times New Roman" w:hAnsi="Times New Roman"/>
          <w:b/>
          <w:color w:val="000000"/>
          <w:sz w:val="16"/>
        </w:rPr>
        <w:t>Note 12. Subsequent Events</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September 30, 2023, other than as set forth below.</w:t>
      </w:r>
    </w:p>
    <w:p>
      <w:pPr>
        <w:pStyle w:val="TextBody"/>
        <w:bidi w:val="0"/>
        <w:spacing w:before="120" w:after="120"/>
        <w:jc w:val="both"/>
        <w:rPr>
          <w:rFonts w:ascii="Times New Roman" w:hAnsi="Times New Roman"/>
          <w:sz w:val="20"/>
        </w:rPr>
      </w:pPr>
      <w:r>
        <w:rPr>
          <w:rFonts w:ascii="Times New Roman" w:hAnsi="Times New Roman"/>
          <w:b w:val="false"/>
          <w:color w:val="000000"/>
          <w:sz w:val="16"/>
        </w:rPr>
        <w:t>On November 7, 2023, the Company’s Board of Directors approved a distribution of $0.30</w:t>
      </w:r>
      <w:r>
        <w:rPr>
          <w:rFonts w:ascii="Times New Roman" w:hAnsi="Times New Roman"/>
          <w:color w:val="000000"/>
          <w:sz w:val="20"/>
        </w:rPr>
        <w:t xml:space="preserve"> </w:t>
      </w:r>
      <w:r>
        <w:rPr>
          <w:rFonts w:ascii="Times New Roman" w:hAnsi="Times New Roman"/>
          <w:b w:val="false"/>
          <w:color w:val="000000"/>
          <w:sz w:val="16"/>
        </w:rPr>
        <w:t>per share payable on November 30, 2023</w:t>
      </w:r>
      <w:r>
        <w:rPr>
          <w:rFonts w:ascii="Times New Roman" w:hAnsi="Times New Roman"/>
          <w:color w:val="000000"/>
          <w:sz w:val="20"/>
        </w:rPr>
        <w:t xml:space="preserve"> </w:t>
      </w:r>
      <w:r>
        <w:rPr>
          <w:rFonts w:ascii="Times New Roman" w:hAnsi="Times New Roman"/>
          <w:b w:val="false"/>
          <w:color w:val="000000"/>
          <w:sz w:val="16"/>
        </w:rPr>
        <w:t>to stockholders of record as of November 20, 2023.</w:t>
      </w:r>
    </w:p>
    <w:p>
      <w:pPr>
        <w:pStyle w:val="TextBody"/>
        <w:bidi w:val="0"/>
        <w:spacing w:before="120" w:after="120"/>
        <w:jc w:val="both"/>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sz w:val="20"/>
        </w:rPr>
      </w:pPr>
      <w:bookmarkStart w:id="10" w:name="item_2_management_discussion"/>
      <w:bookmarkEnd w:id="10"/>
      <w:r>
        <w:rPr>
          <w:rFonts w:ascii="Times New Roman" w:hAnsi="Times New Roman"/>
          <w:b/>
          <w:color w:val="000000"/>
          <w:sz w:val="16"/>
        </w:rPr>
        <w:t>Item 2. Management’s Discussion and Analysis</w:t>
      </w:r>
      <w:r>
        <w:rPr>
          <w:rFonts w:ascii="Times New Roman" w:hAnsi="Times New Roman"/>
          <w:color w:val="000000"/>
          <w:sz w:val="20"/>
        </w:rPr>
        <w:t xml:space="preserve"> </w:t>
      </w:r>
      <w:r>
        <w:rPr>
          <w:rFonts w:ascii="Times New Roman" w:hAnsi="Times New Roman"/>
          <w:b/>
          <w:color w:val="000000"/>
          <w:sz w:val="16"/>
        </w:rPr>
        <w:t>of Financial Condition and Results of Operations</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The information contained in this section should be read in conjunction with our consolidated financial statements and related notes thereto appearing elsewhere in this Quarterly Report on Form 10-Q.</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Except as otherwise indicated, the terms “we”, “us”, “our”, the “Company”, “Logan Ridge” and “LRFC” refer to Logan Ridge Finance Corporation.</w:t>
      </w:r>
    </w:p>
    <w:p>
      <w:pPr>
        <w:pStyle w:val="TextBody"/>
        <w:bidi w:val="0"/>
        <w:spacing w:before="0" w:after="120"/>
        <w:jc w:val="both"/>
        <w:rPr>
          <w:rFonts w:ascii="Times New Roman" w:hAnsi="Times New Roman"/>
          <w:b/>
          <w:color w:val="000000"/>
          <w:sz w:val="16"/>
        </w:rPr>
      </w:pPr>
      <w:r>
        <w:rPr>
          <w:rFonts w:ascii="Times New Roman" w:hAnsi="Times New Roman"/>
          <w:b/>
          <w:color w:val="000000"/>
          <w:sz w:val="16"/>
        </w:rPr>
        <w:t>Forward-Looking Statements</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This Quarterly Report on Form 10-Q,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Some of the statements in this Quarterly Report on Form 10-Q constitute forward-looking statements, which relate to future events or our performance or financial condition. The forward-looking statements contained in this Quarterly Report on Form 10-Q involve risks and uncertainties, including statements as to:</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b w:val="false"/>
          <w:color w:val="231F20"/>
          <w:sz w:val="16"/>
        </w:rPr>
      </w:pPr>
      <w:r>
        <w:rPr>
          <w:rFonts w:ascii="Times New Roman" w:hAnsi="Times New Roman"/>
          <w:b w:val="false"/>
          <w:color w:val="231F20"/>
          <w:sz w:val="16"/>
        </w:rPr>
        <w:t>our future operating results;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b w:val="false"/>
          <w:color w:val="231F20"/>
          <w:sz w:val="16"/>
        </w:rPr>
      </w:pPr>
      <w:r>
        <w:rPr>
          <w:rFonts w:ascii="Times New Roman" w:hAnsi="Times New Roman"/>
          <w:b w:val="false"/>
          <w:color w:val="231F20"/>
          <w:sz w:val="16"/>
        </w:rPr>
        <w:t>our business prospects and the prospects of our portfolio companies, including our and their ability to achieve our respective objectives;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b w:val="false"/>
          <w:color w:val="231F20"/>
          <w:sz w:val="16"/>
        </w:rPr>
      </w:pPr>
      <w:r>
        <w:rPr>
          <w:rFonts w:ascii="Times New Roman" w:hAnsi="Times New Roman"/>
          <w:b w:val="false"/>
          <w:color w:val="231F20"/>
          <w:sz w:val="16"/>
        </w:rPr>
        <w:t>the impact of investments that we expect to make;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b w:val="false"/>
          <w:color w:val="231F20"/>
          <w:sz w:val="16"/>
        </w:rPr>
      </w:pPr>
      <w:r>
        <w:rPr>
          <w:rFonts w:ascii="Times New Roman" w:hAnsi="Times New Roman"/>
          <w:b w:val="false"/>
          <w:color w:val="231F20"/>
          <w:sz w:val="16"/>
        </w:rPr>
        <w:t>our contractual arrangements and relationships with third parties;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b w:val="false"/>
          <w:color w:val="231F20"/>
          <w:sz w:val="16"/>
        </w:rPr>
      </w:pPr>
      <w:r>
        <w:rPr>
          <w:rFonts w:ascii="Times New Roman" w:hAnsi="Times New Roman"/>
          <w:b w:val="false"/>
          <w:color w:val="231F20"/>
          <w:sz w:val="16"/>
        </w:rPr>
        <w:t>the dependence of our future success on the general economy and its impact on the industries in which we invest;</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b w:val="false"/>
          <w:color w:val="231F20"/>
          <w:sz w:val="16"/>
        </w:rPr>
      </w:pPr>
      <w:r>
        <w:rPr>
          <w:rFonts w:ascii="Times New Roman" w:hAnsi="Times New Roman"/>
          <w:b w:val="false"/>
          <w:color w:val="231F20"/>
          <w:sz w:val="16"/>
        </w:rPr>
        <w:t>our expected financings and investments;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b w:val="false"/>
          <w:color w:val="231F20"/>
          <w:sz w:val="16"/>
        </w:rPr>
      </w:pPr>
      <w:r>
        <w:rPr>
          <w:rFonts w:ascii="Times New Roman" w:hAnsi="Times New Roman"/>
          <w:b w:val="false"/>
          <w:color w:val="231F20"/>
          <w:sz w:val="16"/>
        </w:rPr>
        <w:t>the adequacy of our cash resources and working capital; and</w:t>
      </w:r>
    </w:p>
    <w:p>
      <w:pPr>
        <w:pStyle w:val="TextBody"/>
        <w:bidi w:val="0"/>
        <w:spacing w:before="120" w:after="120"/>
        <w:jc w:val="both"/>
        <w:rPr>
          <w:color w:val="231F20"/>
        </w:rPr>
      </w:pPr>
      <w:r>
        <w:rPr>
          <w:color w:val="231F20"/>
        </w:rPr>
        <w:t>•</w:t>
      </w:r>
    </w:p>
    <w:p>
      <w:pPr>
        <w:pStyle w:val="TextBody"/>
        <w:bidi w:val="0"/>
        <w:spacing w:before="120" w:after="120"/>
        <w:jc w:val="both"/>
        <w:rPr>
          <w:rFonts w:ascii="Times New Roman" w:hAnsi="Times New Roman"/>
          <w:b w:val="false"/>
          <w:color w:val="231F20"/>
          <w:sz w:val="16"/>
        </w:rPr>
      </w:pPr>
      <w:r>
        <w:rPr>
          <w:rFonts w:ascii="Times New Roman" w:hAnsi="Times New Roman"/>
          <w:b w:val="false"/>
          <w:color w:val="231F20"/>
          <w:sz w:val="16"/>
        </w:rPr>
        <w:t>the timing of cash flows, if any, from the operations of our portfolio companies.</w:t>
      </w:r>
    </w:p>
    <w:p>
      <w:pPr>
        <w:pStyle w:val="TextBody"/>
        <w:bidi w:val="0"/>
        <w:spacing w:before="0" w:after="120"/>
        <w:jc w:val="both"/>
        <w:rPr>
          <w:rFonts w:ascii="Times New Roman" w:hAnsi="Times New Roman"/>
          <w:b w:val="false"/>
          <w:color w:val="000000"/>
          <w:sz w:val="16"/>
        </w:rPr>
      </w:pPr>
      <w:r>
        <w:rPr>
          <w:rFonts w:ascii="Times New Roman" w:hAnsi="Times New Roman"/>
          <w:b w:val="false"/>
          <w:color w:val="000000"/>
          <w:sz w:val="16"/>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b w:val="false"/>
          <w:color w:val="231F20"/>
          <w:sz w:val="16"/>
        </w:rPr>
      </w:pPr>
      <w:r>
        <w:rPr>
          <w:rFonts w:ascii="Times New Roman" w:hAnsi="Times New Roman"/>
          <w:b w:val="false"/>
          <w:color w:val="231F20"/>
          <w:sz w:val="16"/>
        </w:rPr>
        <w:t>an economic downturn could impair our portfolio companies’ ability to continue to operate or repay their borrowings, which could lead to the loss of some or all of our investments in such portfolio companies;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b w:val="false"/>
          <w:color w:val="231F20"/>
          <w:sz w:val="16"/>
        </w:rPr>
      </w:pPr>
      <w:r>
        <w:rPr>
          <w:rFonts w:ascii="Times New Roman" w:hAnsi="Times New Roman"/>
          <w:b w:val="false"/>
          <w:color w:val="231F20"/>
          <w:sz w:val="16"/>
        </w:rPr>
        <w:t>a contraction of available credit and/or an inability to access the equity markets could impair our lending and investment activities;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b w:val="false"/>
          <w:color w:val="231F20"/>
          <w:sz w:val="16"/>
        </w:rPr>
      </w:pPr>
      <w:r>
        <w:rPr>
          <w:rFonts w:ascii="Times New Roman" w:hAnsi="Times New Roman"/>
          <w:b w:val="false"/>
          <w:color w:val="231F20"/>
          <w:sz w:val="16"/>
        </w:rPr>
        <w:t>geopolitical instability and volatility in the global markets caused by events such as the deterioration in the bilateral relationship between the U.S. and China or the conflict between Russia and Ukraine;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b w:val="false"/>
          <w:color w:val="231F20"/>
          <w:sz w:val="16"/>
        </w:rPr>
      </w:pPr>
      <w:r>
        <w:rPr>
          <w:rFonts w:ascii="Times New Roman" w:hAnsi="Times New Roman"/>
          <w:b w:val="false"/>
          <w:color w:val="231F20"/>
          <w:sz w:val="16"/>
        </w:rPr>
        <w:t>uncertain effects due to the discontinuation of LIBOR and the transition to SOFR;</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b w:val="false"/>
          <w:color w:val="231F20"/>
          <w:sz w:val="16"/>
        </w:rPr>
      </w:pPr>
      <w:r>
        <w:rPr>
          <w:rFonts w:ascii="Times New Roman" w:hAnsi="Times New Roman"/>
          <w:b w:val="false"/>
          <w:color w:val="231F20"/>
          <w:sz w:val="16"/>
        </w:rPr>
        <w:t>changes in the general economy, slowing economy, high levels of inflation, and risk or recession;</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b w:val="false"/>
          <w:color w:val="231F20"/>
          <w:sz w:val="16"/>
        </w:rPr>
      </w:pPr>
      <w:r>
        <w:rPr>
          <w:rFonts w:ascii="Times New Roman" w:hAnsi="Times New Roman"/>
          <w:b w:val="false"/>
          <w:color w:val="231F20"/>
          <w:sz w:val="16"/>
        </w:rPr>
        <w:t>interest rate volatility could adversely affect our results, particularly if we use leverage as part of our investment strategy; and</w:t>
      </w:r>
    </w:p>
    <w:p>
      <w:pPr>
        <w:pStyle w:val="TextBody"/>
        <w:bidi w:val="0"/>
        <w:spacing w:before="120" w:after="120"/>
        <w:jc w:val="both"/>
        <w:rPr>
          <w:color w:val="231F20"/>
        </w:rPr>
      </w:pPr>
      <w:r>
        <w:rPr>
          <w:color w:val="231F20"/>
        </w:rPr>
        <w:t>•</w:t>
      </w:r>
    </w:p>
    <w:p>
      <w:pPr>
        <w:pStyle w:val="TextBody"/>
        <w:bidi w:val="0"/>
        <w:spacing w:before="120" w:after="120"/>
        <w:jc w:val="both"/>
        <w:rPr/>
      </w:pPr>
      <w:r>
        <w:rPr>
          <w:rFonts w:ascii="Times New Roman" w:hAnsi="Times New Roman"/>
          <w:b w:val="false"/>
          <w:color w:val="231F20"/>
          <w:sz w:val="16"/>
        </w:rPr>
        <w:t>the risks, uncertainties and other factors we identify in “Risk Factors” and elsewhere in this Quarterly Report on Form 10-Q.</w:t>
      </w:r>
      <w:r>
        <w:rPr>
          <w:color w:val="000000"/>
        </w:rPr>
        <w:t xml:space="preserve"> </w:t>
      </w:r>
    </w:p>
    <w:p>
      <w:pPr>
        <w:pStyle w:val="TextBody"/>
        <w:bidi w:val="0"/>
        <w:spacing w:before="0" w:after="120"/>
        <w:jc w:val="both"/>
        <w:rPr>
          <w:rFonts w:ascii="Times New Roman" w:hAnsi="Times New Roman"/>
          <w:b w:val="false"/>
          <w:color w:val="000000"/>
          <w:sz w:val="16"/>
        </w:rPr>
      </w:pPr>
      <w:r>
        <w:rPr>
          <w:rFonts w:ascii="Times New Roman" w:hAnsi="Times New Roman"/>
          <w:b w:val="false"/>
          <w:color w:val="000000"/>
          <w:sz w:val="16"/>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our Annual Report on Form 10-K for the fiscal year ended December 31, 2022 and in this Quarterly Report on Form 10-Q.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U.S. Securities and Exchange Commission (“SEC”) rule or regulation.</w:t>
      </w:r>
    </w:p>
    <w:p>
      <w:pPr>
        <w:pStyle w:val="TextBody"/>
        <w:bidi w:val="0"/>
        <w:spacing w:before="0" w:after="120"/>
        <w:jc w:val="both"/>
        <w:rPr>
          <w:rFonts w:ascii="Times New Roman" w:hAnsi="Times New Roman"/>
          <w:b/>
          <w:color w:val="000000"/>
          <w:sz w:val="16"/>
        </w:rPr>
      </w:pPr>
      <w:r>
        <w:rPr>
          <w:rFonts w:ascii="Times New Roman" w:hAnsi="Times New Roman"/>
          <w:b/>
          <w:color w:val="000000"/>
          <w:sz w:val="16"/>
        </w:rPr>
        <w:t>Overview</w:t>
      </w:r>
    </w:p>
    <w:p>
      <w:pPr>
        <w:pStyle w:val="TextBody"/>
        <w:bidi w:val="0"/>
        <w:jc w:val="both"/>
        <w:rPr>
          <w:rFonts w:ascii="Times New Roman" w:hAnsi="Times New Roman"/>
          <w:sz w:val="20"/>
        </w:rPr>
      </w:pPr>
      <w:r>
        <w:rPr>
          <w:rFonts w:ascii="Times New Roman" w:hAnsi="Times New Roman"/>
          <w:b w:val="false"/>
          <w:color w:val="000000"/>
          <w:sz w:val="16"/>
        </w:rPr>
        <w:t>We are a Maryland corporation that has elected to be regulated as a business development company (“BDC”) under the Investment Company Act of 1940, as amended (the “1940 Act”). Our investment objective is to generate both current income and capital appreciation through debt and equity investments.</w:t>
      </w:r>
      <w:r>
        <w:rPr>
          <w:rFonts w:ascii="Times New Roman" w:hAnsi="Times New Roman"/>
          <w:color w:val="000000"/>
          <w:sz w:val="20"/>
        </w:rPr>
        <w:t xml:space="preserve"> </w:t>
      </w:r>
      <w:r>
        <w:rPr>
          <w:rFonts w:ascii="Times New Roman" w:hAnsi="Times New Roman"/>
          <w:b w:val="false"/>
          <w:color w:val="000000"/>
          <w:sz w:val="16"/>
        </w:rPr>
        <w:t>We are managed by Mount Logan Management LLC (the “Investment Adviser”), and BC Partners Management LLC (the “Administrator”) provides the administrative services necessary for us to operate.</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We provide capital to lower and traditional middle-market companies in the United States (“U.S.”), with a non-exclusive emphasis on the Southeast, Southwest, and Mid-Atlantic regions. We invest primarily in companies with a history of earnings growth and positive cash flow, proven management teams, products or services with competitive advantages, and industry-appropriate margins. We primarily invest in companies with between $5.0 million and $50.0 million in trailing twelve-month earnings before interest, tax, depreciation, and amortization (“EBITDA”).</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We invest in first lien loans and, to a lesser extent, second lien loans and equity securities issued by lower middle-market and traditional middle-market companies.</w:t>
      </w:r>
    </w:p>
    <w:p>
      <w:pPr>
        <w:pStyle w:val="TextBody"/>
        <w:bidi w:val="0"/>
        <w:spacing w:before="120" w:after="120"/>
        <w:jc w:val="both"/>
        <w:rPr>
          <w:rFonts w:ascii="Times New Roman" w:hAnsi="Times New Roman"/>
          <w:sz w:val="20"/>
        </w:rPr>
      </w:pPr>
      <w:r>
        <w:rPr>
          <w:rFonts w:ascii="Times New Roman" w:hAnsi="Times New Roman"/>
          <w:b w:val="false"/>
          <w:color w:val="000000"/>
          <w:sz w:val="16"/>
        </w:rPr>
        <w:t>As a BDC, we are required to comply with certain regulatory requirements. For instance, we generally must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150%, if certain requirements are met, after such borrowing, with certain limited exceptions. As of September 30, 2023, our asset coverage ratio was 191%. To maintain our regulated investment company (“RIC”) status, we must meet specified source-of-income and asset diversification requirements. To maintain our RIC tax treatment under subchapter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M of the Internal Revenue Code of 1986, as amended (the “Code”) for U.S. federal income tax purposes, we must distribute at least 90% of our net ordinary income and realized net short-term capital gains in excess of realized net long-term capital losses, if any, for the taxable year.</w:t>
      </w:r>
    </w:p>
    <w:p>
      <w:pPr>
        <w:pStyle w:val="TextBody"/>
        <w:bidi w:val="0"/>
        <w:spacing w:before="0" w:after="120"/>
        <w:jc w:val="both"/>
        <w:rPr>
          <w:rFonts w:ascii="Times New Roman" w:hAnsi="Times New Roman"/>
          <w:b/>
          <w:color w:val="000000"/>
          <w:sz w:val="16"/>
        </w:rPr>
      </w:pPr>
      <w:r>
        <w:rPr>
          <w:rFonts w:ascii="Times New Roman" w:hAnsi="Times New Roman"/>
          <w:b/>
          <w:color w:val="000000"/>
          <w:sz w:val="16"/>
        </w:rPr>
        <w:t>Corporate History</w:t>
      </w:r>
    </w:p>
    <w:p>
      <w:pPr>
        <w:pStyle w:val="TextBody"/>
        <w:bidi w:val="0"/>
        <w:jc w:val="both"/>
        <w:rPr>
          <w:rFonts w:ascii="Times New Roman" w:hAnsi="Times New Roman"/>
          <w:sz w:val="20"/>
        </w:rPr>
      </w:pPr>
      <w:r>
        <w:rPr>
          <w:rFonts w:ascii="Times New Roman" w:hAnsi="Times New Roman"/>
          <w:b w:val="false"/>
          <w:color w:val="000000"/>
          <w:sz w:val="16"/>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Fund III, L.P. (f/k/a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small business investment company (“SBIC”) licenses issued by the U.S. Small Business Administration (“SBA”), and continued to hold their existing investments at the time of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(“SBA-guaranteed debentures”) and relinquished its SBIC license. On June 10, 2021, Fund III repaid its SBA-guaranteed debentures and relinquished its SBIC license. Accordingly, as of September 30, 2023 and December 31, 2022, there were no SBA-guaranteed debentures outstanding.</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At the time of the Formation Transactions, our portfolio consisted of: (1) approximately $326.3 million in investments; (2) an aggregate of approximately $67.1 million in cash, interest receivable and other assets; and (3) liabilities of approximately $202.2 million of SBA-guaranteed debentures payable. Fund III, our subsidiary, was licensed under the SBIC Act until June 10, 2021 and has elected to be regulated as BDC under the 1940 Act. Fund II, our subsidiary, was licensed under the SBIC Act until March 1, 2019 and has elected to be regulated as a BDC under the 1940 Act.</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p>
    <w:p>
      <w:pPr>
        <w:pStyle w:val="TextBody"/>
        <w:bidi w:val="0"/>
        <w:spacing w:before="120" w:after="120"/>
        <w:jc w:val="both"/>
        <w:rPr>
          <w:rFonts w:ascii="Times New Roman" w:hAnsi="Times New Roman"/>
          <w:b w:val="false"/>
          <w:color w:val="231F20"/>
          <w:sz w:val="16"/>
        </w:rPr>
      </w:pPr>
      <w:r>
        <w:rPr>
          <w:rFonts w:ascii="Times New Roman" w:hAnsi="Times New Roman"/>
          <w:b w:val="false"/>
          <w:color w:val="231F20"/>
          <w:sz w:val="16"/>
        </w:rPr>
        <w:t>Capitala Business Lending, LLC (“CBL”), a wholly-owned subsidiary of ours, was established on October 30, 2020, for the sole purpose of holding certain investments pledged as collateral under a senior secured revolving credit agreement with KeyBank National Association (the “KeyBank Credit Facility”). See “Financial Condition, Liquidity and Capital Resources” for more details. The financial statements of CBL are consolidated with those of Logan Ridge Finance Corporation.</w:t>
      </w:r>
    </w:p>
    <w:p>
      <w:pPr>
        <w:pStyle w:val="TextBody"/>
        <w:bidi w:val="0"/>
        <w:spacing w:before="120" w:after="120"/>
        <w:jc w:val="both"/>
        <w:rPr>
          <w:rFonts w:ascii="Times New Roman" w:hAnsi="Times New Roman"/>
          <w:b w:val="false"/>
          <w:color w:val="231F20"/>
          <w:sz w:val="16"/>
        </w:rPr>
      </w:pPr>
      <w:r>
        <w:rPr>
          <w:rFonts w:ascii="Times New Roman" w:hAnsi="Times New Roman"/>
          <w:b w:val="false"/>
          <w:color w:val="231F20"/>
          <w:sz w:val="16"/>
        </w:rPr>
        <w:t>In addition, we evaluate strategic opportunities available to us, including mergers with unaffiliated funds and affiliated funds, divestures, spin-offs, joint ventures and other similar transactions from time to time. An example of an opportunity we are currently in the initial stages of evaluating is a potential merger with one or more of our affiliated 1940 Act funds, which may result in the use of an exchange ratio other than NAV-for-NAV (including but not limited to relative market price) in connection therewith.</w:t>
      </w:r>
    </w:p>
    <w:p>
      <w:pPr>
        <w:pStyle w:val="TextBody"/>
        <w:bidi w:val="0"/>
        <w:spacing w:before="0" w:after="120"/>
        <w:jc w:val="both"/>
        <w:rPr>
          <w:rFonts w:ascii="Times New Roman" w:hAnsi="Times New Roman"/>
          <w:b/>
          <w:color w:val="000000"/>
          <w:sz w:val="16"/>
        </w:rPr>
      </w:pPr>
      <w:r>
        <w:rPr>
          <w:rFonts w:ascii="Times New Roman" w:hAnsi="Times New Roman"/>
          <w:b/>
          <w:color w:val="000000"/>
          <w:sz w:val="16"/>
        </w:rPr>
        <w:t>Definitive Agreement</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On April 20, 2021, Capitala Investment Advisors, LLC (“Capitala”), the Company’s former investment adviser, entered into a definitive agreement (the “Definitive Agreement”) with the Investment Adviser and Mount Logan Capital Inc. (“MLC”), both affiliates of BC Partners Advisors L.P. (“BC Partners”) for U.S. regulatory purposes, whereby Mount Logan acquired certain assets related to Capitala’s business of providing investment management services to the Company (the “Transaction”), through which the Investment Adviser became the Company’s investment adviser pursuant to an investment advisory agreement (the “Investment Advisory Agreement”) with the Company. At a special meeting of the Company’s stockholders (the “Special Meeting”) held on May 27, 2021, the Company’s stockholders approved the Investment Advisory Agreement. The transactions contemplated by the Definitive Agreement closed on July 1, 2021 (the “Closing”).</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As part of the Transaction, the Investment Adviser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On the date of the Closing, the Company changed its name from Capitala Finance Corp. to Logan Ridge Finance Corporation and on July 2, 2021, the Company’s common stock began trading on the NASDAQ Global Select Market under the symbol “LRFC.”</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On July 1, 2021, in connection with the Closing, the Company’s then-current interested directors and the Company’s then-current independent directors resigned as members of the Board and Ted Goldthorpe, the Chairman and Chief Executive Officer of the Company, along with Alexander Duka, George Grunebaum, and Robert Warshauer, were appointed as members of the Board (the “Directors”). The Directors were appointed by the Board to fill the vacancies created by the resignations described above and the Directors were appointed to the class of directors as determined by the Board in accordance with the Company’s organizational documents. The Company’s stockholders will have the opportunity to vote for each of the Directors when his class of directors is up for reelection.</w:t>
      </w:r>
      <w:r>
        <w:rPr>
          <w:rFonts w:ascii="Times New Roman" w:hAnsi="Times New Roman"/>
          <w:color w:val="000000"/>
          <w:sz w:val="20"/>
        </w:rPr>
        <w:t xml:space="preserve"> </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All of the Company’s then-current officers resigned at the Closing and the Board appointed Ted Goldthorpe as the Company’s Chief Executive Officer and President, Jason Roos as the Company’s Chief Financial Officer, Treasurer and Secretary, Patrick Schafer as the Company’s Chief Investment Officer and David Held as the Company’s Chief Compliance Officer. On November 9, 2021, Jason T. Roos was replaced as Secretary and Treasurer of the Company by Brandon Satoren, who was also appointed as Chief Accounting Officer. Mr. Roos continues to serve as Chief Financial Officer of the Company.</w:t>
      </w:r>
    </w:p>
    <w:p>
      <w:pPr>
        <w:pStyle w:val="TextBody"/>
        <w:bidi w:val="0"/>
        <w:spacing w:before="0" w:after="120"/>
        <w:jc w:val="both"/>
        <w:rPr>
          <w:rFonts w:ascii="Times New Roman" w:hAnsi="Times New Roman"/>
          <w:b/>
          <w:color w:val="000000"/>
          <w:sz w:val="16"/>
        </w:rPr>
      </w:pPr>
      <w:r>
        <w:rPr>
          <w:rFonts w:ascii="Times New Roman" w:hAnsi="Times New Roman"/>
          <w:b/>
          <w:color w:val="000000"/>
          <w:sz w:val="16"/>
        </w:rPr>
        <w:t>Basis of Presentation</w:t>
      </w:r>
    </w:p>
    <w:p>
      <w:pPr>
        <w:pStyle w:val="TextBody"/>
        <w:bidi w:val="0"/>
        <w:jc w:val="both"/>
        <w:rPr>
          <w:rFonts w:ascii="Times New Roman" w:hAnsi="Times New Roman"/>
          <w:sz w:val="20"/>
        </w:rPr>
      </w:pPr>
      <w:r>
        <w:rPr>
          <w:rFonts w:ascii="Times New Roman" w:hAnsi="Times New Roman"/>
          <w:b w:val="false"/>
          <w:color w:val="000000"/>
          <w:sz w:val="16"/>
        </w:rPr>
        <w:t xml:space="preserve">The Company is considered an investment company as defined in Accounting Standards Codification (“ASC”) Topic 946 — </w:t>
      </w:r>
      <w:r>
        <w:rPr>
          <w:rFonts w:ascii="Times New Roman" w:hAnsi="Times New Roman"/>
          <w:b w:val="false"/>
          <w:i/>
          <w:color w:val="000000"/>
          <w:sz w:val="16"/>
        </w:rPr>
        <w:t>Financial Services — Investment Companies</w:t>
      </w:r>
      <w:r>
        <w:rPr>
          <w:rFonts w:ascii="Times New Roman" w:hAnsi="Times New Roman"/>
          <w:color w:val="000000"/>
          <w:sz w:val="20"/>
        </w:rPr>
        <w:t xml:space="preserve"> </w:t>
      </w:r>
      <w:r>
        <w:rPr>
          <w:rFonts w:ascii="Times New Roman" w:hAnsi="Times New Roman"/>
          <w:b w:val="false"/>
          <w:color w:val="000000"/>
          <w:sz w:val="16"/>
        </w:rPr>
        <w:t>(“ASC 946”)</w:t>
      </w:r>
      <w:r>
        <w:rPr>
          <w:rFonts w:ascii="Times New Roman" w:hAnsi="Times New Roman"/>
          <w:b w:val="false"/>
          <w:i/>
          <w:color w:val="000000"/>
          <w:sz w:val="16"/>
        </w:rPr>
        <w:t>.</w:t>
      </w:r>
      <w:r>
        <w:rPr>
          <w:rFonts w:ascii="Times New Roman" w:hAnsi="Times New Roman"/>
          <w:color w:val="000000"/>
          <w:sz w:val="20"/>
        </w:rPr>
        <w:t xml:space="preserve"> </w:t>
      </w:r>
      <w:r>
        <w:rPr>
          <w:rFonts w:ascii="Times New Roman" w:hAnsi="Times New Roman"/>
          <w:b w:val="false"/>
          <w:color w:val="000000"/>
          <w:sz w:val="16"/>
        </w:rPr>
        <w:t>The accompanying unaudited consolidated financial statements have been prepared on the accrual basis of accounting in 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CBL, and the Taxable Subsidiaries.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The Company’s financial statements as of September 30, 2023 and December 31, 2022 and for the periods ended September 30, 2023 and 2022 are presented on a consolidated basis.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pStyle w:val="TextBody"/>
        <w:bidi w:val="0"/>
        <w:spacing w:before="120" w:after="120"/>
        <w:jc w:val="both"/>
        <w:rPr>
          <w:rFonts w:ascii="Times New Roman" w:hAnsi="Times New Roman"/>
          <w:sz w:val="20"/>
        </w:rPr>
      </w:pPr>
      <w:r>
        <w:rPr>
          <w:rFonts w:ascii="Times New Roman" w:hAnsi="Times New Roman"/>
          <w:b w:val="false"/>
          <w:color w:val="000000"/>
          <w:sz w:val="16"/>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2022, filed with the SEC on March 9, 2023.</w:t>
      </w:r>
      <w:r>
        <w:rPr>
          <w:rFonts w:ascii="Times New Roman" w:hAnsi="Times New Roman"/>
          <w:color w:val="000000"/>
          <w:sz w:val="20"/>
        </w:rPr>
        <w:t xml:space="preserve"> </w:t>
      </w:r>
    </w:p>
    <w:p>
      <w:pPr>
        <w:pStyle w:val="TextBody"/>
        <w:bidi w:val="0"/>
        <w:spacing w:before="0" w:after="120"/>
        <w:jc w:val="both"/>
        <w:rPr>
          <w:rFonts w:ascii="Times New Roman" w:hAnsi="Times New Roman"/>
          <w:b/>
          <w:color w:val="000000"/>
          <w:sz w:val="16"/>
        </w:rPr>
      </w:pPr>
      <w:r>
        <w:rPr>
          <w:rFonts w:ascii="Times New Roman" w:hAnsi="Times New Roman"/>
          <w:b/>
          <w:color w:val="000000"/>
          <w:sz w:val="16"/>
        </w:rPr>
        <w:t>Consolidation</w:t>
      </w:r>
    </w:p>
    <w:p>
      <w:pPr>
        <w:pStyle w:val="TextBody"/>
        <w:bidi w:val="0"/>
        <w:spacing w:before="0" w:after="120"/>
        <w:jc w:val="both"/>
        <w:rPr>
          <w:rFonts w:ascii="Times New Roman" w:hAnsi="Times New Roman"/>
          <w:b w:val="false"/>
          <w:color w:val="000000"/>
          <w:sz w:val="16"/>
        </w:rPr>
      </w:pPr>
      <w:r>
        <w:rPr>
          <w:rFonts w:ascii="Times New Roman" w:hAnsi="Times New Roman"/>
          <w:b w:val="false"/>
          <w:color w:val="000000"/>
          <w:sz w:val="16"/>
        </w:rPr>
        <w:t>As provided under ASC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w:t>
      </w:r>
    </w:p>
    <w:p>
      <w:pPr>
        <w:pStyle w:val="TextBody"/>
        <w:bidi w:val="0"/>
        <w:spacing w:before="0" w:after="120"/>
        <w:jc w:val="left"/>
        <w:rPr>
          <w:rFonts w:ascii="Times New Roman" w:hAnsi="Times New Roman"/>
          <w:b/>
          <w:color w:val="000000"/>
          <w:sz w:val="16"/>
        </w:rPr>
      </w:pPr>
      <w:r>
        <w:rPr>
          <w:rFonts w:ascii="Times New Roman" w:hAnsi="Times New Roman"/>
          <w:b/>
          <w:color w:val="000000"/>
          <w:sz w:val="16"/>
        </w:rPr>
        <w:t>Revenues</w:t>
      </w:r>
    </w:p>
    <w:p>
      <w:pPr>
        <w:pStyle w:val="TextBody"/>
        <w:bidi w:val="0"/>
        <w:spacing w:before="0" w:after="120"/>
        <w:jc w:val="both"/>
        <w:rPr>
          <w:rFonts w:ascii="Times New Roman" w:hAnsi="Times New Roman"/>
          <w:sz w:val="20"/>
        </w:rPr>
      </w:pPr>
      <w:r>
        <w:rPr>
          <w:rFonts w:ascii="Times New Roman" w:hAnsi="Times New Roman"/>
          <w:b w:val="false"/>
          <w:color w:val="000000"/>
          <w:sz w:val="16"/>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fees, origination fees, amendment fees, diligence fees, monitoring fees, fees for providing managerial assistance and possibly consulting fees and performance-based fees. These fees will be recognized as they are earned.</w:t>
      </w:r>
      <w:r>
        <w:rPr>
          <w:rFonts w:ascii="Times New Roman" w:hAnsi="Times New Roman"/>
          <w:color w:val="000000"/>
          <w:sz w:val="20"/>
        </w:rPr>
        <w:t xml:space="preserve"> </w:t>
      </w:r>
    </w:p>
    <w:p>
      <w:pPr>
        <w:pStyle w:val="TextBody"/>
        <w:bidi w:val="0"/>
        <w:spacing w:before="0" w:after="120"/>
        <w:jc w:val="both"/>
        <w:rPr>
          <w:rFonts w:ascii="Times New Roman" w:hAnsi="Times New Roman"/>
          <w:b/>
          <w:color w:val="000000"/>
          <w:sz w:val="16"/>
        </w:rPr>
      </w:pPr>
      <w:r>
        <w:rPr>
          <w:rFonts w:ascii="Times New Roman" w:hAnsi="Times New Roman"/>
          <w:b/>
          <w:color w:val="000000"/>
          <w:sz w:val="16"/>
        </w:rPr>
        <w:t>Expenses</w:t>
      </w:r>
    </w:p>
    <w:p>
      <w:pPr>
        <w:pStyle w:val="TextBody"/>
        <w:bidi w:val="0"/>
        <w:spacing w:before="0" w:after="120"/>
        <w:jc w:val="both"/>
        <w:rPr>
          <w:rFonts w:ascii="Times New Roman" w:hAnsi="Times New Roman"/>
          <w:b w:val="false"/>
          <w:color w:val="000000"/>
          <w:sz w:val="16"/>
        </w:rPr>
      </w:pPr>
      <w:r>
        <w:rPr>
          <w:rFonts w:ascii="Times New Roman" w:hAnsi="Times New Roman"/>
          <w:b w:val="false"/>
          <w:color w:val="000000"/>
          <w:sz w:val="16"/>
        </w:rPr>
        <w:t>Our primary operating expenses include the payment of investment advisory fees to our Investment Adviser, our allocable portion of overhead and other expenses incurred by our Administrator in performing its obligations under an administration agreement between us and the Administrator (the “Administration Agreement”) and other operating expenses as detailed below. Our investment advisory fee will compensate our Investment Adviser for its work in identifying, evaluating, negotiating, closing, monitoring, and servicing our investments. We will bear all other expenses of our operations and transactions, including (without limitation):</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b w:val="false"/>
          <w:color w:val="231F20"/>
          <w:sz w:val="16"/>
        </w:rPr>
      </w:pPr>
      <w:r>
        <w:rPr>
          <w:rFonts w:ascii="Times New Roman" w:hAnsi="Times New Roman"/>
          <w:b w:val="false"/>
          <w:color w:val="231F20"/>
          <w:sz w:val="16"/>
        </w:rPr>
        <w:t>the cost of our organization;</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b w:val="false"/>
          <w:color w:val="231F20"/>
          <w:sz w:val="16"/>
        </w:rPr>
      </w:pPr>
      <w:r>
        <w:rPr>
          <w:rFonts w:ascii="Times New Roman" w:hAnsi="Times New Roman"/>
          <w:b w:val="false"/>
          <w:color w:val="231F20"/>
          <w:sz w:val="16"/>
        </w:rPr>
        <w:t>the cost of calculating our net asset value, including the cost of any third-party valuation services;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b w:val="false"/>
          <w:color w:val="231F20"/>
          <w:sz w:val="16"/>
        </w:rPr>
      </w:pPr>
      <w:r>
        <w:rPr>
          <w:rFonts w:ascii="Times New Roman" w:hAnsi="Times New Roman"/>
          <w:b w:val="false"/>
          <w:color w:val="231F20"/>
          <w:sz w:val="16"/>
        </w:rPr>
        <w:t>the cost of effecting sales and repurchases of our shares and other securities;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b w:val="false"/>
          <w:color w:val="231F20"/>
          <w:sz w:val="16"/>
        </w:rPr>
      </w:pPr>
      <w:r>
        <w:rPr>
          <w:rFonts w:ascii="Times New Roman" w:hAnsi="Times New Roman"/>
          <w:b w:val="false"/>
          <w:color w:val="231F20"/>
          <w:sz w:val="16"/>
        </w:rPr>
        <w:t>interest payable on debt, if any, to finance our investments;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b w:val="false"/>
          <w:color w:val="231F20"/>
          <w:sz w:val="16"/>
        </w:rPr>
      </w:pPr>
      <w:r>
        <w:rPr>
          <w:rFonts w:ascii="Times New Roman" w:hAnsi="Times New Roman"/>
          <w:b w:val="false"/>
          <w:color w:val="231F20"/>
          <w:sz w:val="16"/>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b w:val="false"/>
          <w:color w:val="231F20"/>
          <w:sz w:val="16"/>
        </w:rPr>
      </w:pPr>
      <w:r>
        <w:rPr>
          <w:rFonts w:ascii="Times New Roman" w:hAnsi="Times New Roman"/>
          <w:b w:val="false"/>
          <w:color w:val="231F20"/>
          <w:sz w:val="16"/>
        </w:rPr>
        <w:t>transfer agent and custodial fees;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b w:val="false"/>
          <w:color w:val="231F20"/>
          <w:sz w:val="16"/>
        </w:rPr>
      </w:pPr>
      <w:r>
        <w:rPr>
          <w:rFonts w:ascii="Times New Roman" w:hAnsi="Times New Roman"/>
          <w:b w:val="false"/>
          <w:color w:val="231F20"/>
          <w:sz w:val="16"/>
        </w:rPr>
        <w:t>fees and expenses associated with marketing efforts;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b w:val="false"/>
          <w:color w:val="231F20"/>
          <w:sz w:val="16"/>
        </w:rPr>
      </w:pPr>
      <w:r>
        <w:rPr>
          <w:rFonts w:ascii="Times New Roman" w:hAnsi="Times New Roman"/>
          <w:b w:val="false"/>
          <w:color w:val="231F20"/>
          <w:sz w:val="16"/>
        </w:rPr>
        <w:t>costs associated with our reporting and compliance obligations under the 1940 Act, the Securities Exchange Act of 1934, as amended (the “Exchange Act”), other applicable federal and state securities laws and ongoing stock exchange listing fees;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b w:val="false"/>
          <w:color w:val="231F20"/>
          <w:sz w:val="16"/>
        </w:rPr>
      </w:pPr>
      <w:r>
        <w:rPr>
          <w:rFonts w:ascii="Times New Roman" w:hAnsi="Times New Roman"/>
          <w:b w:val="false"/>
          <w:color w:val="231F20"/>
          <w:sz w:val="16"/>
        </w:rPr>
        <w:t>federal, state and local taxes;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b w:val="false"/>
          <w:color w:val="231F20"/>
          <w:sz w:val="16"/>
        </w:rPr>
      </w:pPr>
      <w:r>
        <w:rPr>
          <w:rFonts w:ascii="Times New Roman" w:hAnsi="Times New Roman"/>
          <w:b w:val="false"/>
          <w:color w:val="231F20"/>
          <w:sz w:val="16"/>
        </w:rPr>
        <w:t>independent directors’ fees and expenses;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b w:val="false"/>
          <w:color w:val="231F20"/>
          <w:sz w:val="16"/>
        </w:rPr>
      </w:pPr>
      <w:r>
        <w:rPr>
          <w:rFonts w:ascii="Times New Roman" w:hAnsi="Times New Roman"/>
          <w:b w:val="false"/>
          <w:color w:val="231F20"/>
          <w:sz w:val="16"/>
        </w:rPr>
        <w:t>brokerage commissions;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b w:val="false"/>
          <w:color w:val="231F20"/>
          <w:sz w:val="16"/>
        </w:rPr>
      </w:pPr>
      <w:r>
        <w:rPr>
          <w:rFonts w:ascii="Times New Roman" w:hAnsi="Times New Roman"/>
          <w:b w:val="false"/>
          <w:color w:val="231F20"/>
          <w:sz w:val="16"/>
        </w:rPr>
        <w:t>costs of proxy statements, stockholders’ reports and other communications with stockholders;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b w:val="false"/>
          <w:color w:val="231F20"/>
          <w:sz w:val="16"/>
        </w:rPr>
      </w:pPr>
      <w:r>
        <w:rPr>
          <w:rFonts w:ascii="Times New Roman" w:hAnsi="Times New Roman"/>
          <w:b w:val="false"/>
          <w:color w:val="231F20"/>
          <w:sz w:val="16"/>
        </w:rPr>
        <w:t>fidelity bond, directors’ and officers’ liability insurance, errors and omissions liability insurance and other insurance premiums;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b w:val="false"/>
          <w:color w:val="231F20"/>
          <w:sz w:val="16"/>
        </w:rPr>
      </w:pPr>
      <w:r>
        <w:rPr>
          <w:rFonts w:ascii="Times New Roman" w:hAnsi="Times New Roman"/>
          <w:b w:val="false"/>
          <w:color w:val="231F20"/>
          <w:sz w:val="16"/>
        </w:rPr>
        <w:t>direct costs and expenses of administration, including printing, mailing, telephone and staff;</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b w:val="false"/>
          <w:color w:val="231F20"/>
          <w:sz w:val="16"/>
        </w:rPr>
      </w:pPr>
      <w:r>
        <w:rPr>
          <w:rFonts w:ascii="Times New Roman" w:hAnsi="Times New Roman"/>
          <w:b w:val="false"/>
          <w:color w:val="231F20"/>
          <w:sz w:val="16"/>
        </w:rPr>
        <w:t>fees and expenses associated with independent audits and outside legal costs; and</w:t>
      </w:r>
    </w:p>
    <w:p>
      <w:pPr>
        <w:pStyle w:val="TextBody"/>
        <w:bidi w:val="0"/>
        <w:spacing w:before="120" w:after="120"/>
        <w:jc w:val="both"/>
        <w:rPr>
          <w:color w:val="231F20"/>
        </w:rPr>
      </w:pPr>
      <w:r>
        <w:rPr>
          <w:color w:val="231F20"/>
        </w:rPr>
        <w:t>•</w:t>
      </w:r>
    </w:p>
    <w:p>
      <w:pPr>
        <w:pStyle w:val="TextBody"/>
        <w:bidi w:val="0"/>
        <w:spacing w:before="120" w:after="120"/>
        <w:jc w:val="both"/>
        <w:rPr>
          <w:rFonts w:ascii="Times New Roman" w:hAnsi="Times New Roman"/>
          <w:b w:val="false"/>
          <w:color w:val="231F20"/>
          <w:sz w:val="16"/>
        </w:rPr>
      </w:pPr>
      <w:r>
        <w:rPr>
          <w:rFonts w:ascii="Times New Roman" w:hAnsi="Times New Roman"/>
          <w:b w:val="false"/>
          <w:color w:val="231F20"/>
          <w:sz w:val="16"/>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our chief financial officer, and their respective administrative support staff.</w:t>
      </w:r>
    </w:p>
    <w:p>
      <w:pPr>
        <w:pStyle w:val="TextBody"/>
        <w:bidi w:val="0"/>
        <w:spacing w:before="0" w:after="120"/>
        <w:jc w:val="both"/>
        <w:rPr>
          <w:rFonts w:ascii="Times New Roman" w:hAnsi="Times New Roman"/>
          <w:b/>
          <w:color w:val="000000"/>
          <w:sz w:val="16"/>
        </w:rPr>
      </w:pPr>
      <w:r>
        <w:rPr>
          <w:rFonts w:ascii="Times New Roman" w:hAnsi="Times New Roman"/>
          <w:b/>
          <w:color w:val="000000"/>
          <w:sz w:val="16"/>
        </w:rPr>
        <w:t>Critical Accounting Policies and Use of Estimates</w:t>
      </w:r>
    </w:p>
    <w:p>
      <w:pPr>
        <w:pStyle w:val="TextBody"/>
        <w:bidi w:val="0"/>
        <w:spacing w:before="0" w:after="120"/>
        <w:jc w:val="both"/>
        <w:rPr>
          <w:rFonts w:ascii="Times New Roman" w:hAnsi="Times New Roman"/>
          <w:sz w:val="20"/>
        </w:rPr>
      </w:pPr>
      <w:r>
        <w:rPr>
          <w:rFonts w:ascii="Times New Roman" w:hAnsi="Times New Roman"/>
          <w:b w:val="false"/>
          <w:color w:val="000000"/>
          <w:sz w:val="16"/>
        </w:rPr>
        <w:t>In the preparation of our consolidated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consolidated financial statements, certain accounting policies and estimates are considered critical due to their impact on the reported amounts of assets and liabilities at the date of the consolidated financial statements and the reported amounts of revenues and expenses for the periods covered by such consolidated financial statements. We have identified investment valuation, revenue recognition, and income taxes as our most critical accounting estimates. We continuously evaluate our estimates, including those related to the matters described below. Because of the nature of the judgments and assumptions we make, actual results could materially differ from those estimates under different assumptions or conditions. A discussion of our critical accounting policies follows.</w:t>
      </w:r>
      <w:r>
        <w:rPr>
          <w:rFonts w:ascii="Times New Roman" w:hAnsi="Times New Roman"/>
          <w:color w:val="000000"/>
          <w:sz w:val="20"/>
        </w:rPr>
        <w:t xml:space="preserve"> </w:t>
      </w:r>
    </w:p>
    <w:p>
      <w:pPr>
        <w:pStyle w:val="TextBody"/>
        <w:bidi w:val="0"/>
        <w:spacing w:before="0" w:after="120"/>
        <w:jc w:val="both"/>
        <w:rPr>
          <w:rFonts w:ascii="Times New Roman" w:hAnsi="Times New Roman"/>
          <w:b/>
          <w:i/>
          <w:color w:val="000000"/>
          <w:sz w:val="16"/>
        </w:rPr>
      </w:pPr>
      <w:r>
        <w:rPr>
          <w:rFonts w:ascii="Times New Roman" w:hAnsi="Times New Roman"/>
          <w:b/>
          <w:i/>
          <w:color w:val="000000"/>
          <w:sz w:val="16"/>
        </w:rPr>
        <w:t>Valuation of Investments</w:t>
      </w:r>
    </w:p>
    <w:p>
      <w:pPr>
        <w:pStyle w:val="TextBody"/>
        <w:bidi w:val="0"/>
        <w:spacing w:before="120" w:after="120"/>
        <w:jc w:val="both"/>
        <w:rPr>
          <w:rFonts w:ascii="Times New Roman" w:hAnsi="Times New Roman"/>
          <w:sz w:val="20"/>
        </w:rPr>
      </w:pPr>
      <w:r>
        <w:rPr>
          <w:rFonts w:ascii="Times New Roman" w:hAnsi="Times New Roman"/>
          <w:b w:val="false"/>
          <w:color w:val="000000"/>
          <w:sz w:val="16"/>
        </w:rPr>
        <w:t>Investment transactions are recorded on the trade date. Realized gains or losses on investments are calculated using the specific identification method as the difference between the net proceeds received (excluding prepayment fees, if any) and the amortized cost basis of the investment without regard to unrealized appreciation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or depreciation previously recognized, and include investments charged off during the period, net of recoveries. Net change in unrealized appreciation or depreciation reflects the change in portfolio investment values during the reporting period, including any reversal of previously recorded unrealized appreciation or depreciation when gains or losses are recognized.</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Investments for which market quotations are available are typically valued at those market quotations. To validate market quotations, the Company will utilize a number of factors to determine if the quotations are representative of fair value, including the source and number of the quotations.</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Debt that is not publicly traded but for which there are external pricing sources available as of the valuation date is valued using independent broker-dealer, market maker quotations or independent pricing services. The valuation committee, comprised of members of the Investment Adviser, (the “Valuation Committee”) subjects these quotes to various criteria including, but not limited to, the number and quality of quotes, the deviation among the quotes and information derived from analyzing the Company’s own transactions in such investments throughout the reporting period. Generally, such investments are categorized in Level 2 of the fair value hierarchy, unless the Valuation Committee determines that the quality, quantity or deviation among quotes warrants significant adjustment to the inputs utilized.</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The Board has designated the Investment Adviser as its “valuation designee” pursuant to Rule 2a-5 under the 1940 Act, and in that role the Investment Adviser is responsible for performing fair value determinations relating to all of the Company's investments, including periodically assessing and managing any material valuation risks and establishing and applying fair value methodologies, in accordance with valuation policies and procedures that have been approved by the Board. The Board remains ultimately responsible for fair value determinations under the 1940 Act and satisfies its responsibility through oversight of the valuation designee in accordance with Rule 2a-5. Investments that are not publicly traded or whose market prices are not readily available, as is expected to be the case for substantially all of the Company’s investments, are valued at fair value as determined in good faith by the Investment Adviser, based on, among other things, input of independent third-party valuation firm(s).</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The Investment Adviser undertakes a multi-step valuation process, which includes, among other procedures,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The Company’s quarterly valuation process begins with each portfolio company or investment being initially valued using certain inputs, among others, provided by the investment professionals responsible for the portfolio investment in conjunction with the Company’s portfolio management team. The Company utilizes an independent valuation firm to provide valuation on each material illiquid security at least once every trailing 12-month period,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 xml:space="preserve">Preliminary valuations are reviewed and discussed with management of the Investment Adviser and investment professionals;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the Investment Adviser will review the valuations and determine the fair value of each investment. Valuations that are not based on readily available market quotations will be valued in good faith based on, among other things, the input of, where applicable, third parties.</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As part of the valuation process, the Investment Adviser may consider other information and may use valuation methods including but not limited to (i) market quotes for similar investments, (ii) recent trading activity, (iii) discounting forecasted cash flows of the investment, (iv) models that consider the implied yields from comparable debt, (v) third party appraisal, (vi) sale negotiations and purchase offers received from independent parties and (vii) estimated value of underlying assets to be received in liquidation or restructuring.</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In addition, changes in the market environment and other events that may occur over the life of the investments may cause the gains or losses ultimately realized on these investments to be different than the unrealized gains or losses reflected herein.</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Under existing accounting guidance, fair value is defined as the price that the Company would receive upon selling an investment or pay to transfer a liability in an orderly transaction to a market participant in the principal or most advantageous market for the investment. This accounting guidance emphasizes valuation techniques that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the Company. Unobservable inputs are inputs that reflect the assumptions market participants would use in pricing an asset or liability developed based on the best information available in the circumstances.</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The Company classifies the inputs used to measure these fair values into the following hierarchy as defined by current accounting guidance:</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Level 1: Unadjusted quoted prices in active markets for identical assets or liabilities that are accessible to the Company.</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Level 2: Quoted prices for similar assets or liabilities in active markets, or quoted prices for identical or similar assets or liabilities in markets that are not active, or other observable inputs other than quoted prices.</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Level 3: Significant inputs that are unobservable for an asset or liability.</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A financial instrument’s categorization within the valuation hierarchy is based upon the lowest level of input that is significant to the fair value measurement. Investments for which no external pricing sources are available as of the valuation date are included in Level 3 of the fair value hierarchy.</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As a practical expedient, the Company uses net asset value (“NAV”) as the fair value for its equity investment in Great Lakes Funding II LLC (“Great Lakes II Joint Venture”). The Great Lakes II Joint Venture records its underlying investments at fair value on a quarterly basis in accordance with the 1940 Act and U.S. GAAP.</w:t>
      </w:r>
    </w:p>
    <w:p>
      <w:pPr>
        <w:pStyle w:val="TextBody"/>
        <w:bidi w:val="0"/>
        <w:spacing w:before="120" w:after="120"/>
        <w:jc w:val="both"/>
        <w:rPr>
          <w:rFonts w:ascii="Times New Roman" w:hAnsi="Times New Roman"/>
          <w:b/>
          <w:i/>
          <w:color w:val="000000"/>
          <w:sz w:val="16"/>
        </w:rPr>
      </w:pPr>
      <w:r>
        <w:rPr>
          <w:rFonts w:ascii="Times New Roman" w:hAnsi="Times New Roman"/>
          <w:b/>
          <w:i/>
          <w:color w:val="000000"/>
          <w:sz w:val="16"/>
        </w:rPr>
        <w:t>Valuation Techniques</w:t>
      </w:r>
    </w:p>
    <w:p>
      <w:pPr>
        <w:pStyle w:val="TextBody"/>
        <w:bidi w:val="0"/>
        <w:jc w:val="both"/>
        <w:rPr>
          <w:rFonts w:ascii="Times New Roman" w:hAnsi="Times New Roman"/>
          <w:b w:val="false"/>
          <w:i/>
          <w:color w:val="000000"/>
          <w:sz w:val="16"/>
        </w:rPr>
      </w:pPr>
      <w:r>
        <w:rPr>
          <w:rFonts w:ascii="Times New Roman" w:hAnsi="Times New Roman"/>
          <w:b w:val="false"/>
          <w:i/>
          <w:color w:val="000000"/>
          <w:sz w:val="16"/>
        </w:rPr>
        <w:t>Enterprise Value Waterfall Approach</w:t>
      </w:r>
    </w:p>
    <w:p>
      <w:pPr>
        <w:pStyle w:val="TextBody"/>
        <w:bidi w:val="0"/>
        <w:spacing w:before="120" w:after="120"/>
        <w:jc w:val="both"/>
        <w:rPr>
          <w:rFonts w:ascii="Times New Roman" w:hAnsi="Times New Roman"/>
          <w:sz w:val="20"/>
        </w:rPr>
      </w:pPr>
      <w:r>
        <w:rPr>
          <w:rFonts w:ascii="Times New Roman" w:hAnsi="Times New Roman"/>
          <w:b w:val="false"/>
          <w:color w:val="000000"/>
          <w:sz w:val="16"/>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sz w:val="20"/>
        </w:rPr>
      </w:pPr>
      <w:r>
        <w:rPr>
          <w:rFonts w:ascii="Times New Roman" w:hAnsi="Times New Roman"/>
          <w:b w:val="false"/>
          <w:color w:val="000000"/>
          <w:sz w:val="16"/>
        </w:rPr>
        <w:t>dilute the Company’s investment in the portfolio company. The adjusted enterprise value is then apportioned based on the seniority and privileges of the Company’s investments within the portfolio company.</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i/>
          <w:color w:val="000000"/>
          <w:sz w:val="16"/>
        </w:rPr>
        <w:t>Income Approach</w:t>
      </w:r>
      <w:r>
        <w:rPr>
          <w:rFonts w:ascii="Times New Roman" w:hAnsi="Times New Roman"/>
          <w:color w:val="000000"/>
          <w:sz w:val="20"/>
        </w:rPr>
        <w:t xml:space="preserve"> </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pStyle w:val="TextBody"/>
        <w:bidi w:val="0"/>
        <w:spacing w:before="120" w:after="120"/>
        <w:jc w:val="both"/>
        <w:rPr>
          <w:rFonts w:ascii="Times New Roman" w:hAnsi="Times New Roman"/>
          <w:sz w:val="20"/>
        </w:rPr>
      </w:pPr>
      <w:r>
        <w:rPr>
          <w:rFonts w:ascii="Times New Roman" w:hAnsi="Times New Roman"/>
          <w:b w:val="false"/>
          <w:i/>
          <w:color w:val="000000"/>
          <w:sz w:val="16"/>
        </w:rPr>
        <w:t>Asset Approach</w:t>
      </w:r>
      <w:r>
        <w:rPr>
          <w:rFonts w:ascii="Times New Roman" w:hAnsi="Times New Roman"/>
          <w:color w:val="000000"/>
          <w:sz w:val="20"/>
        </w:rPr>
        <w:t xml:space="preserve"> </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The asset approach values an investment based on the value of the underlying collateral securing the investment.</w:t>
      </w:r>
    </w:p>
    <w:p>
      <w:pPr>
        <w:pStyle w:val="TextBody"/>
        <w:bidi w:val="0"/>
        <w:spacing w:before="120" w:after="120"/>
        <w:jc w:val="both"/>
        <w:rPr>
          <w:rFonts w:ascii="Times New Roman" w:hAnsi="Times New Roman"/>
          <w:b/>
          <w:i/>
          <w:color w:val="000000"/>
          <w:sz w:val="16"/>
        </w:rPr>
      </w:pPr>
      <w:r>
        <w:rPr>
          <w:rFonts w:ascii="Times New Roman" w:hAnsi="Times New Roman"/>
          <w:b/>
          <w:i/>
          <w:color w:val="000000"/>
          <w:sz w:val="16"/>
        </w:rPr>
        <w:t>Revenue Recognition</w:t>
      </w:r>
    </w:p>
    <w:p>
      <w:pPr>
        <w:pStyle w:val="TextBody"/>
        <w:bidi w:val="0"/>
        <w:spacing w:before="0" w:after="120"/>
        <w:jc w:val="both"/>
        <w:rPr>
          <w:rFonts w:ascii="Times New Roman" w:hAnsi="Times New Roman"/>
          <w:sz w:val="20"/>
        </w:rPr>
      </w:pPr>
      <w:r>
        <w:rPr>
          <w:rFonts w:ascii="Times New Roman" w:hAnsi="Times New Roman"/>
          <w:b w:val="false"/>
          <w:color w:val="000000"/>
          <w:sz w:val="16"/>
        </w:rPr>
        <w:t>The Company’s revenue recognition policies are as follows: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val="false"/>
          <w:i/>
          <w:color w:val="000000"/>
          <w:sz w:val="16"/>
        </w:rPr>
        <w:t>Interest income and payment-in-kind (</w:t>
      </w:r>
      <w:r>
        <w:rPr>
          <w:rFonts w:ascii="Times New Roman" w:hAnsi="Times New Roman"/>
          <w:color w:val="000000"/>
          <w:sz w:val="20"/>
        </w:rPr>
        <w:t>“</w:t>
      </w:r>
      <w:r>
        <w:rPr>
          <w:rFonts w:ascii="Times New Roman" w:hAnsi="Times New Roman"/>
          <w:b w:val="false"/>
          <w:i/>
          <w:color w:val="000000"/>
          <w:sz w:val="16"/>
        </w:rPr>
        <w:t>PIK</w:t>
      </w:r>
      <w:r>
        <w:rPr>
          <w:rFonts w:ascii="Times New Roman" w:hAnsi="Times New Roman"/>
          <w:color w:val="000000"/>
          <w:sz w:val="20"/>
        </w:rPr>
        <w:t>”</w:t>
      </w:r>
      <w:r>
        <w:rPr>
          <w:rFonts w:ascii="Times New Roman" w:hAnsi="Times New Roman"/>
          <w:b w:val="false"/>
          <w:i/>
          <w:color w:val="000000"/>
          <w:sz w:val="16"/>
        </w:rPr>
        <w:t xml:space="preserve">) interest income: </w:t>
      </w:r>
      <w:r>
        <w:rPr>
          <w:rFonts w:ascii="Times New Roman" w:hAnsi="Times New Roman"/>
          <w:b w:val="false"/>
          <w:color w:val="000000"/>
          <w:sz w:val="16"/>
        </w:rPr>
        <w:t>Interest income is recorded on the accrual basis to the extent that such amounts are expected to be collected. The Company has loans in the portfolio that contain a PIK interest provision.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pStyle w:val="TextBody"/>
        <w:bidi w:val="0"/>
        <w:spacing w:before="120" w:after="120"/>
        <w:jc w:val="both"/>
        <w:rPr>
          <w:rFonts w:ascii="Times New Roman" w:hAnsi="Times New Roman"/>
          <w:sz w:val="20"/>
        </w:rPr>
      </w:pPr>
      <w:r>
        <w:rPr>
          <w:rFonts w:ascii="Times New Roman" w:hAnsi="Times New Roman"/>
          <w:b w:val="false"/>
          <w:i/>
          <w:color w:val="000000"/>
          <w:sz w:val="16"/>
        </w:rPr>
        <w:t xml:space="preserve">Non-accrual investments: </w:t>
      </w:r>
      <w:r>
        <w:rPr>
          <w:rFonts w:ascii="Times New Roman" w:hAnsi="Times New Roman"/>
          <w:b w:val="false"/>
          <w:color w:val="000000"/>
          <w:sz w:val="16"/>
        </w:rPr>
        <w:t>Management reviews all loans that become 90 days or more past due, or when there is reasonable doubt that principal or 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Non-accrual loans are returned to accrual status when the borrower’s financial condition improves such that management believes current interest and principal payments are expected to be collected.</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b w:val="false"/>
          <w:i/>
          <w:color w:val="000000"/>
          <w:sz w:val="16"/>
        </w:rPr>
        <w:t xml:space="preserve">Gains and losses on investment sales and paydowns: </w:t>
      </w:r>
      <w:r>
        <w:rPr>
          <w:rFonts w:ascii="Times New Roman" w:hAnsi="Times New Roman"/>
          <w:b w:val="false"/>
          <w:color w:val="000000"/>
          <w:sz w:val="16"/>
        </w:rPr>
        <w:t>Realized gains and losses on investments are recognized using the specific identification method.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i/>
          <w:color w:val="000000"/>
          <w:sz w:val="16"/>
        </w:rPr>
        <w:t xml:space="preserve">Dividend income and payment-in-kind dividends: </w:t>
      </w:r>
      <w:r>
        <w:rPr>
          <w:rFonts w:ascii="Times New Roman" w:hAnsi="Times New Roman"/>
          <w:b w:val="false"/>
          <w:color w:val="000000"/>
          <w:sz w:val="16"/>
        </w:rPr>
        <w:t>Dividend income is recognized on the date dividends are declared. The Company holds preferred equity investments in the portfolio 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PIK dividends are more likely than not to be collected, management may elect to continue accruing PIK dividends.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i/>
          <w:color w:val="000000"/>
          <w:sz w:val="16"/>
        </w:rPr>
        <w:t xml:space="preserve">Original issue discount: </w:t>
      </w:r>
      <w:r>
        <w:rPr>
          <w:rFonts w:ascii="Times New Roman" w:hAnsi="Times New Roman"/>
          <w:b w:val="false"/>
          <w:color w:val="000000"/>
          <w:sz w:val="16"/>
        </w:rPr>
        <w:t>Discounts received to par on loans purchased are capitalized and accreted into income over the life of the loan. Any remaining discount is accreted into income upon prepayment of the loan.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i/>
          <w:color w:val="000000"/>
          <w:sz w:val="16"/>
        </w:rPr>
        <w:t xml:space="preserve">Other income: </w:t>
      </w:r>
      <w:r>
        <w:rPr>
          <w:rFonts w:ascii="Times New Roman" w:hAnsi="Times New Roman"/>
          <w:b w:val="false"/>
          <w:color w:val="000000"/>
          <w:sz w:val="16"/>
        </w:rPr>
        <w:t>Origination fees (to the extent services are performed to earn such income), amendment fees, consent fees and other fees associated with investments in portfolio companies are recognized as income when they are earned. Prepayment penalties received by the Company for debt instruments repaid prior to the maturity date are recorded as income upon receipt.</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Income Taxes</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The Legacy Funds are disregarded entities for tax purposes prior to and post the Formation Transactions.</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The Company has elected to be treated for U.S. federal income tax purposes and intends to comply with the requirement to qualify annually as a RIC under subchapter M of the Code and, among other things, intends to make the requisite distributions to its stockholders which will relieve the Company from U.S. federal 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The tax years ended December 31, 2022, 2021, 2020 and 2019 remain subject to examination by U.S. federal, state, and local tax authorities. No material interest expense or penalties have been assessed for the periods ended September 30, 2023 and 2022. If the Company was required to recognize interest and penalties, if any, related to unrecognized tax benefits this would be recognized as income tax expense in the consolidated statements of operations.</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The Company’s Taxable Subsidiaries record deferred tax assets or liabilities related to temporary book versus tax differences on the income or loss generated by the underlying equity investments held by the Taxable Subsidiaries. As of both September 30, 2023 and December 31, 2022, the Company recorded a net deferred tax asset of zero. For both the three months ended September 30, 2023 and 2022, the Company recorded a tax provision of zero. As of September 30, 2023 and December 31, 2022, the valuation allowance on the Company’s deferred tax asset was $4.2 million and $4.0 million, respectively. During the three and nine months ended September 30, 2023, the Company recognized an increase in the valuation allowance of $0.3 million and $0.2 million, respectively. During both the three and nine months ended September 30, 2022, the Company recognized an increase in the valuation allowance of $0.4 million, respectively.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In accordance with certain applicable U.S. treasury regulations and private letter rulings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 xml:space="preserve">ASC Topic 740 — </w:t>
      </w:r>
      <w:r>
        <w:rPr>
          <w:rFonts w:ascii="Times New Roman" w:hAnsi="Times New Roman"/>
          <w:b w:val="false"/>
          <w:i/>
          <w:color w:val="000000"/>
          <w:sz w:val="16"/>
        </w:rPr>
        <w:t>Income Taxes</w:t>
      </w:r>
      <w:r>
        <w:rPr>
          <w:rFonts w:ascii="Times New Roman" w:hAnsi="Times New Roman"/>
          <w:color w:val="000000"/>
          <w:sz w:val="20"/>
        </w:rPr>
        <w:t xml:space="preserve"> </w:t>
      </w:r>
      <w:r>
        <w:rPr>
          <w:rFonts w:ascii="Times New Roman" w:hAnsi="Times New Roman"/>
          <w:b w:val="false"/>
          <w:color w:val="000000"/>
          <w:sz w:val="16"/>
        </w:rPr>
        <w:t>(“ASC 740”), provides guidance for how uncertain tax positions should be recognized, measured, presented, and disclosed in the consolidated financial statements. ASC 740 requires the evaluation of tax positions taken or expected to be taken in the course of preparing the Company’s U.S. federal income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September 30, 2023 and December 31, 2022, there were no uncertain tax positions.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U.S. GAAP provides guidance on thresholds, measurement, de-recognition, classification, interest and penalties, accounting in interim periods, disclosure, and transition that is intended to provide better financial statement comparability among different entities.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The Company has concluded that it was not necessary to record a liability for any such tax positions as of September 30, 2023 and December 31, 2022. However, the Company’s conclusions regarding this policy may be subject to review and adjustment at a later date based on factors including, but not limited to, ongoing analyses of, and changes to, tax laws, regulations and interpretations thereof.</w:t>
      </w:r>
      <w:r>
        <w:rPr>
          <w:rFonts w:ascii="Times New Roman" w:hAnsi="Times New Roman"/>
          <w:color w:val="000000"/>
          <w:sz w:val="20"/>
        </w:rPr>
        <w:t xml:space="preserve"> </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Portfolio and Investment Activity</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primarily in first lien loans, and, to a lesser extent, second lien loans and equity securities issued by lower middle-market companies and traditional middle-market companies. As of September 30, 2023, our portfolio consisted of investments in 58 portfolio companies with a fair value of approximately $187.1 million. As of December 31, 2022, our portfolio consisted of investments in 59 portfolio companies with a fair value of approximately $203.6 million.</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September 30, 2023, 0.4% of the fair value of our first lien loans consisted of last-out loans. As of December 31, 2022, 1.9% of the fair value of our first lien loans consisted of last-out loans. In some cases, first lien loans may be subordinated, solely with respect to the payment of cash interest, to an asset based revolving credit facility.</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During the three months ended September 30, 2023, we made approximately $6.1 million of investments and had approximately $23.2 million in repayments and sales, resulting in net repayments and sales of approximately $17.1 million for the period. During the three months ended September 30, 2022, we made approximately $36.7 million of investments and had approximately $17.1 million in repayments and sales, resulting in net repayments and sales of approximately $19.6 million for the period.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During the nine months ended September 30, 2023, we made approximately $18.4 million of investments and had approximately $34.5 million in repayments and sales, resulting in net repayments and sales of approximately $16.1 million for the period. During the nine months ended September 30, 2022, we made approximately $83.8 million of investments and had approximately $83.8 million in repayments and sales, resulting in net repayments and sales of less than $0.1 million for the period.</w:t>
      </w:r>
      <w:r>
        <w:rPr>
          <w:rFonts w:ascii="Times New Roman" w:hAnsi="Times New Roman"/>
          <w:color w:val="000000"/>
          <w:sz w:val="20"/>
        </w:rPr>
        <w:t xml:space="preserve"> </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As of September 30, 2023, our debt investment portfolio, which represented 82.0% of the fair value of our total portfolio, had a weighted average annualized yield of approximately 11.0% (excluding income from non-accruals and collateralized loan obligations). As of September 30, 2023, 17.7% of the fair value of our debt investment portfolio was bearing a fixed rate of interest. As of December 31, 2022, our debt investment portfolio, which represented 82.3% of the fair value of our total portfolio, had a weighted average annualized yield of approximately 10.4% (excluding income from non-accruals and collateralized loan obligations). As of December 31, 2022, 17.2% of the fair value of our debt investment portfolio was bearing a fixed rate of interest.</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The weighted average annualized yield is calculated based on the effective interest rate as of period end, divided by the fair value of our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annualized yield will remain at its current level.</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As of September 30, 2023, the Company’s Adviser approved the fair value of the Company’s investment portfolio of approximately $187.1 million in good faith in accordance with the Company’s valuation procedures. The Company’s Adviser approved the fair value of the Company’s investment portfolio as of September 30, 2023 with input from third-party valuation firms and the Investment Adviser, as valuation designee, based on information known or knowable as of the valuation date, including trailing and forward looking data.</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As of September 30, 2023, we had debt investments in two portfolio companies on non-accrual status with an aggregate amortized cost of $16.8 million and an aggregate fair value of $10.6 million, which represented 8.3% and 5.7% of the investment portfolio, respectively. As of December 31, 2022, we had a debt investment in one portfolio company on non-accrual status with aggregate amortized cost of $11.9 million and an aggregate fair value of $9.7 million, which represented 5.4% and 4.8% of the investment portfolio, respectively.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sz w:val="20"/>
        </w:rPr>
      </w:pPr>
      <w:r>
        <w:rPr>
          <w:rFonts w:ascii="Times New Roman" w:hAnsi="Times New Roman"/>
          <w:b w:val="false"/>
          <w:color w:val="000000"/>
          <w:sz w:val="16"/>
        </w:rPr>
        <w:t>The following table summarizes the amortized cost and the fair value of investments as of September 30, 2023 (dollars in thousands):</w:t>
      </w:r>
      <w:r>
        <w:rPr>
          <w:rFonts w:ascii="Times New Roman" w:hAnsi="Times New Roman"/>
          <w:color w:val="000000"/>
          <w:sz w:val="20"/>
        </w:rPr>
        <w:t xml:space="preserve"> </w:t>
      </w:r>
    </w:p>
    <w:tbl>
      <w:tblPr>
        <w:tblW w:w="8559" w:type="dxa"/>
        <w:jc w:val="left"/>
        <w:tblInd w:w="0" w:type="dxa"/>
        <w:tblLayout w:type="fixed"/>
        <w:tblCellMar>
          <w:top w:w="28" w:type="dxa"/>
          <w:left w:w="28" w:type="dxa"/>
          <w:bottom w:w="28" w:type="dxa"/>
          <w:right w:w="28" w:type="dxa"/>
        </w:tblCellMar>
      </w:tblPr>
      <w:tblGrid>
        <w:gridCol w:w="2311"/>
        <w:gridCol w:w="146"/>
        <w:gridCol w:w="274"/>
        <w:gridCol w:w="971"/>
        <w:gridCol w:w="146"/>
        <w:gridCol w:w="146"/>
        <w:gridCol w:w="276"/>
        <w:gridCol w:w="969"/>
        <w:gridCol w:w="241"/>
        <w:gridCol w:w="146"/>
        <w:gridCol w:w="255"/>
        <w:gridCol w:w="900"/>
        <w:gridCol w:w="146"/>
        <w:gridCol w:w="146"/>
        <w:gridCol w:w="266"/>
        <w:gridCol w:w="934"/>
        <w:gridCol w:w="28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br/>
              <w:t>Percentage of</w:t>
              <w:br/>
              <w:t>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Percentage of</w:t>
              <w:br/>
              <w:t>Total Portfolio</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128,979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63.6</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121,263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64.8</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w:t>
            </w:r>
          </w:p>
        </w:tc>
        <w:tc>
          <w:tcPr>
            <w:tcW w:w="2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26,573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13.1</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24,728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13.2</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Collateralized Loan Obligations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w:t>
            </w:r>
          </w:p>
        </w:tc>
        <w:tc>
          <w:tcPr>
            <w:tcW w:w="2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Joint Venture</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35,543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30,990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202,687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187,099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bl>
    <w:p>
      <w:pPr>
        <w:pStyle w:val="TextBody"/>
        <w:bidi w:val="0"/>
        <w:spacing w:before="240" w:after="120"/>
        <w:jc w:val="both"/>
        <w:rPr>
          <w:rFonts w:ascii="Times New Roman" w:hAnsi="Times New Roman"/>
          <w:b w:val="false"/>
          <w:color w:val="000000"/>
          <w:sz w:val="16"/>
        </w:rPr>
      </w:pPr>
      <w:r>
        <w:rPr>
          <w:rFonts w:ascii="Times New Roman" w:hAnsi="Times New Roman"/>
          <w:b w:val="false"/>
          <w:color w:val="000000"/>
          <w:sz w:val="16"/>
        </w:rPr>
        <w:t>The following table summarizes the amortized cost and the fair value of investments as of December 31, 2022 (dollars in thousands):</w:t>
      </w:r>
    </w:p>
    <w:tbl>
      <w:tblPr>
        <w:tblW w:w="8559" w:type="dxa"/>
        <w:jc w:val="left"/>
        <w:tblInd w:w="0" w:type="dxa"/>
        <w:tblLayout w:type="fixed"/>
        <w:tblCellMar>
          <w:top w:w="28" w:type="dxa"/>
          <w:left w:w="28" w:type="dxa"/>
          <w:bottom w:w="28" w:type="dxa"/>
          <w:right w:w="28" w:type="dxa"/>
        </w:tblCellMar>
      </w:tblPr>
      <w:tblGrid>
        <w:gridCol w:w="2311"/>
        <w:gridCol w:w="146"/>
        <w:gridCol w:w="274"/>
        <w:gridCol w:w="971"/>
        <w:gridCol w:w="146"/>
        <w:gridCol w:w="146"/>
        <w:gridCol w:w="276"/>
        <w:gridCol w:w="969"/>
        <w:gridCol w:w="241"/>
        <w:gridCol w:w="146"/>
        <w:gridCol w:w="255"/>
        <w:gridCol w:w="900"/>
        <w:gridCol w:w="146"/>
        <w:gridCol w:w="146"/>
        <w:gridCol w:w="266"/>
        <w:gridCol w:w="934"/>
        <w:gridCol w:w="28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br/>
              <w:t>Percentage of</w:t>
              <w:br/>
              <w:t>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Percentage of</w:t>
              <w:br/>
              <w:t>Total Portfolio</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143,047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64.9</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136,896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67.3</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w:t>
            </w:r>
          </w:p>
        </w:tc>
        <w:tc>
          <w:tcPr>
            <w:tcW w:w="2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26,571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25,851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Collateralized Loan Obligations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w:t>
            </w:r>
          </w:p>
        </w:tc>
        <w:tc>
          <w:tcPr>
            <w:tcW w:w="2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Joint Venture</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36,016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29,006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220,516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203,592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bl>
    <w:p>
      <w:pPr>
        <w:pStyle w:val="TextBody"/>
        <w:bidi w:val="0"/>
        <w:spacing w:before="240" w:after="120"/>
        <w:jc w:val="both"/>
        <w:rPr>
          <w:rFonts w:ascii="Times New Roman" w:hAnsi="Times New Roman"/>
          <w:sz w:val="20"/>
        </w:rPr>
      </w:pPr>
      <w:r>
        <w:rPr>
          <w:rFonts w:ascii="Times New Roman" w:hAnsi="Times New Roman"/>
          <w:b w:val="false"/>
          <w:color w:val="000000"/>
          <w:sz w:val="16"/>
        </w:rPr>
        <w:t>The following table shows the portfolio composition by industry grouping at fair value as of September 30, 2023 and December 31, 2022 (dollars 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797"/>
        <w:gridCol w:w="146"/>
        <w:gridCol w:w="249"/>
        <w:gridCol w:w="882"/>
        <w:gridCol w:w="146"/>
        <w:gridCol w:w="146"/>
        <w:gridCol w:w="414"/>
        <w:gridCol w:w="1456"/>
        <w:gridCol w:w="241"/>
        <w:gridCol w:w="146"/>
        <w:gridCol w:w="249"/>
        <w:gridCol w:w="882"/>
        <w:gridCol w:w="146"/>
        <w:gridCol w:w="146"/>
        <w:gridCol w:w="414"/>
        <w:gridCol w:w="1456"/>
        <w:gridCol w:w="289"/>
      </w:tblGrid>
      <w:tr>
        <w:trPr/>
        <w:tc>
          <w:tcPr>
            <w:tcW w:w="2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79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Investments at </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Investments at </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Total Portfolio</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Healthcare</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52,406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28.0</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42,594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20.9</w:t>
            </w:r>
          </w:p>
        </w:tc>
        <w:tc>
          <w:tcPr>
            <w:tcW w:w="28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Business Services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29,649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15.8</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24,570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w:t>
            </w:r>
          </w:p>
        </w:tc>
        <w:tc>
          <w:tcPr>
            <w:tcW w:w="28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Financials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35,660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17.5</w:t>
            </w:r>
          </w:p>
        </w:tc>
        <w:tc>
          <w:tcPr>
            <w:tcW w:w="28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Information Technology</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20,506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11.0</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w:t>
            </w:r>
          </w:p>
        </w:tc>
        <w:tc>
          <w:tcPr>
            <w:tcW w:w="28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Industrials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14,746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15,631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w:t>
            </w:r>
          </w:p>
        </w:tc>
        <w:tc>
          <w:tcPr>
            <w:tcW w:w="28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Consumer Discretionary</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10,217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13,505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6.6</w:t>
            </w:r>
          </w:p>
        </w:tc>
        <w:tc>
          <w:tcPr>
            <w:tcW w:w="28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Healthcare Management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w:t>
            </w:r>
          </w:p>
        </w:tc>
        <w:tc>
          <w:tcPr>
            <w:tcW w:w="28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Textile Equipment Manufacturer</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w:t>
            </w:r>
          </w:p>
        </w:tc>
        <w:tc>
          <w:tcPr>
            <w:tcW w:w="28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Automobile Part Manufacturer</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w:t>
            </w:r>
          </w:p>
        </w:tc>
        <w:tc>
          <w:tcPr>
            <w:tcW w:w="28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Advertising &amp; Marketing Services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w:t>
            </w:r>
          </w:p>
        </w:tc>
        <w:tc>
          <w:tcPr>
            <w:tcW w:w="28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Medical Device Distributor</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w:t>
            </w:r>
          </w:p>
        </w:tc>
        <w:tc>
          <w:tcPr>
            <w:tcW w:w="28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Financial Services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6,651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w:t>
            </w:r>
          </w:p>
        </w:tc>
        <w:tc>
          <w:tcPr>
            <w:tcW w:w="28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Online Merchandise Retailer</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w:t>
            </w:r>
          </w:p>
        </w:tc>
        <w:tc>
          <w:tcPr>
            <w:tcW w:w="28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Consumer Staples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w:t>
            </w:r>
          </w:p>
        </w:tc>
        <w:tc>
          <w:tcPr>
            <w:tcW w:w="28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Communication Services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0.7</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w:t>
            </w:r>
          </w:p>
        </w:tc>
        <w:tc>
          <w:tcPr>
            <w:tcW w:w="28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Household Product Manufacturer</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w:t>
            </w:r>
          </w:p>
        </w:tc>
        <w:tc>
          <w:tcPr>
            <w:tcW w:w="28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Oil &amp; Gas Engineering and Consulting Services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28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Data Processing &amp; Digital Marketing</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28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Electronic Machine Repair</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28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Testing Laboratories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w:t>
            </w:r>
          </w:p>
        </w:tc>
        <w:tc>
          <w:tcPr>
            <w:tcW w:w="28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General Industrial</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w:t>
            </w:r>
          </w:p>
        </w:tc>
        <w:tc>
          <w:tcPr>
            <w:tcW w:w="28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Entertainment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color w:val="000000"/>
              </w:rPr>
            </w:pPr>
            <w:r>
              <w:rPr>
                <w:color w:val="000000"/>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w:t>
            </w:r>
          </w:p>
        </w:tc>
        <w:tc>
          <w:tcPr>
            <w:tcW w:w="28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8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187,099</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1"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8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203,592</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89"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bl>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Results of Operations</w:t>
      </w:r>
    </w:p>
    <w:p>
      <w:pPr>
        <w:pStyle w:val="TextBody"/>
        <w:bidi w:val="0"/>
        <w:spacing w:before="0" w:after="120"/>
        <w:jc w:val="both"/>
        <w:rPr>
          <w:rFonts w:ascii="Times New Roman" w:hAnsi="Times New Roman"/>
          <w:b w:val="false"/>
          <w:color w:val="000000"/>
          <w:sz w:val="16"/>
        </w:rPr>
      </w:pPr>
      <w:r>
        <w:rPr>
          <w:rFonts w:ascii="Times New Roman" w:hAnsi="Times New Roman"/>
          <w:b w:val="false"/>
          <w:color w:val="000000"/>
          <w:sz w:val="16"/>
        </w:rPr>
        <w:t>Operating results for the three and nine months ended September 30, 2023 and 2022 were as follows (dollars in thousands):</w:t>
      </w:r>
    </w:p>
    <w:tbl>
      <w:tblPr>
        <w:tblW w:w="10205" w:type="dxa"/>
        <w:jc w:val="left"/>
        <w:tblInd w:w="0" w:type="dxa"/>
        <w:tblLayout w:type="fixed"/>
        <w:tblCellMar>
          <w:top w:w="28" w:type="dxa"/>
          <w:left w:w="28" w:type="dxa"/>
          <w:bottom w:w="28" w:type="dxa"/>
          <w:right w:w="28" w:type="dxa"/>
        </w:tblCellMar>
      </w:tblPr>
      <w:tblGrid>
        <w:gridCol w:w="3814"/>
        <w:gridCol w:w="146"/>
        <w:gridCol w:w="305"/>
        <w:gridCol w:w="889"/>
        <w:gridCol w:w="258"/>
        <w:gridCol w:w="227"/>
        <w:gridCol w:w="305"/>
        <w:gridCol w:w="889"/>
        <w:gridCol w:w="166"/>
        <w:gridCol w:w="146"/>
        <w:gridCol w:w="283"/>
        <w:gridCol w:w="869"/>
        <w:gridCol w:w="239"/>
        <w:gridCol w:w="211"/>
        <w:gridCol w:w="283"/>
        <w:gridCol w:w="956"/>
        <w:gridCol w:w="219"/>
      </w:tblGrid>
      <w:tr>
        <w:trPr/>
        <w:tc>
          <w:tcPr>
            <w:tcW w:w="3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81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shd w:fill="FFFFFF" w:val="clear"/>
            <w:vAlign w:val="center"/>
          </w:tcPr>
          <w:p>
            <w:pPr>
              <w:pStyle w:val="TableContents"/>
              <w:bidi w:val="0"/>
              <w:spacing w:before="0" w:after="283"/>
              <w:jc w:val="left"/>
              <w:rPr/>
            </w:pPr>
            <w:r>
              <w:rP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12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investment income</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8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5,162</w:t>
            </w:r>
          </w:p>
        </w:tc>
        <w:tc>
          <w:tcPr>
            <w:tcW w:w="258"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8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15,762</w:t>
            </w:r>
          </w:p>
        </w:tc>
        <w:tc>
          <w:tcPr>
            <w:tcW w:w="239"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10,389</w:t>
            </w:r>
          </w:p>
        </w:tc>
        <w:tc>
          <w:tcPr>
            <w:tcW w:w="219" w:type="dxa"/>
            <w:tcBorders/>
            <w:shd w:fill="CFF0FC" w:val="clear"/>
            <w:vAlign w:val="center"/>
          </w:tcPr>
          <w:p>
            <w:pPr>
              <w:pStyle w:val="TableContents"/>
              <w:bidi w:val="0"/>
              <w:spacing w:before="0" w:after="283"/>
              <w:jc w:val="left"/>
              <w:rPr/>
            </w:pPr>
            <w:r>
              <w:rPr/>
              <w:t> </w:t>
            </w:r>
          </w:p>
        </w:tc>
      </w:tr>
      <w:tr>
        <w:trPr/>
        <w:tc>
          <w:tcPr>
            <w:tcW w:w="381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expenses</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4,008</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12,496</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12,186</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investment income (loss)</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1,154</w:t>
            </w:r>
          </w:p>
        </w:tc>
        <w:tc>
          <w:tcPr>
            <w:tcW w:w="258"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3,266</w:t>
            </w:r>
          </w:p>
        </w:tc>
        <w:tc>
          <w:tcPr>
            <w:tcW w:w="239"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9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(1,797</w:t>
            </w:r>
          </w:p>
        </w:tc>
        <w:tc>
          <w:tcPr>
            <w:tcW w:w="21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381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realized (loss) gain on investments</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w:t>
            </w:r>
          </w:p>
        </w:tc>
        <w:tc>
          <w:tcPr>
            <w:tcW w:w="25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27"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(5,192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(3,963</w:t>
            </w:r>
          </w:p>
        </w:tc>
        <w:tc>
          <w:tcPr>
            <w:tcW w:w="23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11"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10,274</w:t>
            </w:r>
          </w:p>
        </w:tc>
        <w:tc>
          <w:tcPr>
            <w:tcW w:w="219" w:type="dxa"/>
            <w:tcBorders/>
            <w:shd w:fill="FFFFFF" w:val="clear"/>
            <w:vAlign w:val="center"/>
          </w:tcPr>
          <w:p>
            <w:pPr>
              <w:pStyle w:val="TableContents"/>
              <w:bidi w:val="0"/>
              <w:spacing w:before="0" w:after="283"/>
              <w:jc w:val="left"/>
              <w:rPr/>
            </w:pPr>
            <w:r>
              <w:rPr/>
              <w:t> </w:t>
            </w:r>
          </w:p>
        </w:tc>
      </w:tr>
      <w:tr>
        <w:trPr/>
        <w:tc>
          <w:tcPr>
            <w:tcW w:w="381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change in unrealized (depreciation) appreciation on investments</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(3,010</w:t>
            </w:r>
          </w:p>
        </w:tc>
        <w:tc>
          <w:tcPr>
            <w:tcW w:w="25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27"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1,336</w:t>
            </w:r>
          </w:p>
        </w:tc>
        <w:tc>
          <w:tcPr>
            <w:tcW w:w="239"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9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(17,330</w:t>
            </w:r>
          </w:p>
        </w:tc>
        <w:tc>
          <w:tcPr>
            <w:tcW w:w="21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381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(decrease) increase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3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8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(1,951</w:t>
            </w:r>
          </w:p>
        </w:tc>
        <w:tc>
          <w:tcPr>
            <w:tcW w:w="258"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27" w:type="dxa"/>
            <w:tcBorders/>
            <w:shd w:fill="FFFFFF" w:val="clear"/>
            <w:vAlign w:val="center"/>
          </w:tcPr>
          <w:p>
            <w:pPr>
              <w:pStyle w:val="TableContents"/>
              <w:bidi w:val="0"/>
              <w:spacing w:before="0" w:after="283"/>
              <w:jc w:val="left"/>
              <w:rPr/>
            </w:pPr>
            <w:r>
              <w:rPr/>
              <w:t> </w:t>
            </w:r>
          </w:p>
        </w:tc>
        <w:tc>
          <w:tcPr>
            <w:tcW w:w="3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8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(2,961</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8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639</w:t>
            </w:r>
          </w:p>
        </w:tc>
        <w:tc>
          <w:tcPr>
            <w:tcW w:w="239"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28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(8,853</w:t>
            </w:r>
          </w:p>
        </w:tc>
        <w:tc>
          <w:tcPr>
            <w:tcW w:w="219"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i/>
          <w:color w:val="000000"/>
          <w:sz w:val="16"/>
        </w:rPr>
        <w:t>Investment income</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b w:val="false"/>
          <w:color w:val="000000"/>
          <w:sz w:val="16"/>
        </w:rPr>
        <w:t>The composition of our investment income for the three and nine months ended September 30, 2023 and 2022 was as follows (dollars in thousands):</w:t>
      </w:r>
      <w:r>
        <w:rPr>
          <w:rFonts w:ascii="Times New Roman" w:hAnsi="Times New Roman"/>
          <w:color w:val="000000"/>
          <w:sz w:val="20"/>
        </w:rPr>
        <w:t xml:space="preserve"> </w:t>
      </w:r>
    </w:p>
    <w:tbl>
      <w:tblPr>
        <w:tblW w:w="8904" w:type="dxa"/>
        <w:jc w:val="left"/>
        <w:tblInd w:w="0" w:type="dxa"/>
        <w:tblLayout w:type="fixed"/>
        <w:tblCellMar>
          <w:top w:w="28" w:type="dxa"/>
          <w:left w:w="28" w:type="dxa"/>
          <w:bottom w:w="28" w:type="dxa"/>
          <w:right w:w="28" w:type="dxa"/>
        </w:tblCellMar>
      </w:tblPr>
      <w:tblGrid>
        <w:gridCol w:w="1831"/>
        <w:gridCol w:w="146"/>
        <w:gridCol w:w="375"/>
        <w:gridCol w:w="979"/>
        <w:gridCol w:w="279"/>
        <w:gridCol w:w="279"/>
        <w:gridCol w:w="375"/>
        <w:gridCol w:w="979"/>
        <w:gridCol w:w="146"/>
        <w:gridCol w:w="146"/>
        <w:gridCol w:w="330"/>
        <w:gridCol w:w="1013"/>
        <w:gridCol w:w="246"/>
        <w:gridCol w:w="246"/>
        <w:gridCol w:w="330"/>
        <w:gridCol w:w="1013"/>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9" w:type="dxa"/>
            <w:tcBorders/>
            <w:shd w:fill="FFFFFF" w:val="clear"/>
            <w:vAlign w:val="center"/>
          </w:tcPr>
          <w:p>
            <w:pPr>
              <w:pStyle w:val="TableContents"/>
              <w:bidi w:val="0"/>
              <w:spacing w:before="0" w:after="283"/>
              <w:jc w:val="left"/>
              <w:rPr/>
            </w:pPr>
            <w:r>
              <w:rP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3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Interest income</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7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4,765</w:t>
            </w:r>
          </w:p>
        </w:tc>
        <w:tc>
          <w:tcPr>
            <w:tcW w:w="279"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7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1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14,440</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1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9,566</w:t>
            </w:r>
          </w:p>
        </w:tc>
        <w:tc>
          <w:tcPr>
            <w:tcW w:w="191"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Payment-in-kind interest</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374</w:t>
            </w:r>
          </w:p>
        </w:tc>
        <w:tc>
          <w:tcPr>
            <w:tcW w:w="279"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1,157</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737</w:t>
            </w:r>
          </w:p>
        </w:tc>
        <w:tc>
          <w:tcPr>
            <w:tcW w:w="191" w:type="dxa"/>
            <w:tcBorders/>
            <w:shd w:fill="FFFFFF" w:val="cle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Dividend income</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pPr>
            <w:r>
              <w:rPr/>
              <w:t> </w:t>
            </w:r>
          </w:p>
        </w:tc>
        <w:tc>
          <w:tcPr>
            <w:tcW w:w="97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w:t>
            </w:r>
          </w:p>
        </w:tc>
        <w:tc>
          <w:tcPr>
            <w:tcW w:w="279"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pPr>
            <w:r>
              <w:rPr/>
              <w:t> </w:t>
            </w:r>
          </w:p>
        </w:tc>
        <w:tc>
          <w:tcPr>
            <w:tcW w:w="97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0" w:type="dxa"/>
            <w:tcBorders/>
            <w:shd w:fill="CFF0FC" w:val="clear"/>
            <w:vAlign w:val="center"/>
          </w:tcPr>
          <w:p>
            <w:pPr>
              <w:pStyle w:val="TableContents"/>
              <w:bidi w:val="0"/>
              <w:spacing w:before="0" w:after="283"/>
              <w:jc w:val="left"/>
              <w:rPr/>
            </w:pPr>
            <w:r>
              <w:rPr/>
              <w:t> </w:t>
            </w:r>
          </w:p>
        </w:tc>
        <w:tc>
          <w:tcPr>
            <w:tcW w:w="101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0" w:type="dxa"/>
            <w:tcBorders/>
            <w:shd w:fill="CFF0FC" w:val="clear"/>
            <w:vAlign w:val="center"/>
          </w:tcPr>
          <w:p>
            <w:pPr>
              <w:pStyle w:val="TableContents"/>
              <w:bidi w:val="0"/>
              <w:spacing w:before="0" w:after="283"/>
              <w:jc w:val="left"/>
              <w:rPr/>
            </w:pPr>
            <w:r>
              <w:rPr/>
              <w:t> </w:t>
            </w:r>
          </w:p>
        </w:tc>
        <w:tc>
          <w:tcPr>
            <w:tcW w:w="101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Other income</w:t>
            </w:r>
          </w:p>
        </w:tc>
        <w:tc>
          <w:tcPr>
            <w:tcW w:w="146" w:type="dxa"/>
            <w:tcBorders/>
            <w:shd w:fill="FFFFFF" w:val="cle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investment income</w:t>
            </w:r>
          </w:p>
        </w:tc>
        <w:tc>
          <w:tcPr>
            <w:tcW w:w="146" w:type="dxa"/>
            <w:tcBorders/>
            <w:shd w:fill="CFF0FC" w:val="cle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5,162</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15,762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10,389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val="false"/>
          <w:color w:val="000000"/>
          <w:sz w:val="16"/>
        </w:rPr>
      </w:pPr>
      <w:r>
        <w:rPr>
          <w:rFonts w:ascii="Times New Roman" w:hAnsi="Times New Roman"/>
          <w:b w:val="false"/>
          <w:color w:val="000000"/>
          <w:sz w:val="16"/>
        </w:rPr>
        <w:t>The income reported as interest income, PIK interest, and PIK dividend income is generally based on the stated rates as disclosed in our consolidated schedules of investments. Accretion of discounts received for purchased loans are included in interest income as an adjustment to yield. As a general rule, our interest income, PIK interest, and PIK dividend income are recurring in nature.</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We also generate fee income primarily through origination fees charged for new investments, and secondarily via amendment fees, consent fees, prepayment penalties, and other fees. While fee income is typically non-recurring for each investment, most of our new investments include an origination fee; as such, fee income is dependent upon our volume of directly originated investments and the fee structure associated with those investments.</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We earn dividends on certain equity investments within our investment portfolio. As noted in our consolidated schedules of investments, some investments are scheduled to pay a periodic dividend, though these recurring dividends do not make up a significant portion of our total investment income. We may receive, and have received, more substantial one-time dividends from our equity investments.</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For the three months ended September 30, 2023, total investment income increased $1.4 million, or 37.8%, compared to the three months ended September 30, 2022. The increase from the prior period was driven by an increase in interest income from $3.4 million for the three months ended September 30, 2022 to $4.8 million for the three months ended September 30, 2023. The increase in interest income is primarily due to a larger interest earning debt portfolio as well as increases in base rates for the three months ended September 30, 2023 compared to the three months ended September 30, 2022.</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For the nine months ended September 30, 2023, total investment income increased $5.4 million, or 51.92%, compared to the nine months ended September 30, 2022. The increase from the prior period was driven by an increase in interest income from $9.6 million for the nine months ended September 30, 2022 to $14.4 million for the nine months ended September 30, 2023. The increase in interest income is primarily due to a larger interest earning debt portfolio as well as increases in base rates for the nine months ended September 30, 2023 compared to the nine months ended September 30, 2022. PIK income increased from $0.7 million for the nine months ended September 30, 2022 to $1.2 million for the nine months ended September 30, 2023. The increase in PIK income was due to an increase in investments with a contractual PIK rate as well as non-recurring fee income of $0.2 million that was paid in-kind during nine months ended September 30, 2023.</w:t>
      </w:r>
    </w:p>
    <w:p>
      <w:pPr>
        <w:pStyle w:val="TextBody"/>
        <w:bidi w:val="0"/>
        <w:spacing w:before="120" w:after="120"/>
        <w:jc w:val="both"/>
        <w:rPr>
          <w:rFonts w:ascii="Times New Roman" w:hAnsi="Times New Roman"/>
          <w:b/>
          <w:i/>
          <w:color w:val="000000"/>
          <w:sz w:val="16"/>
        </w:rPr>
      </w:pPr>
      <w:r>
        <w:rPr>
          <w:rFonts w:ascii="Times New Roman" w:hAnsi="Times New Roman"/>
          <w:b/>
          <w:i/>
          <w:color w:val="000000"/>
          <w:sz w:val="16"/>
        </w:rPr>
        <w:t>Operating expenses</w:t>
      </w:r>
    </w:p>
    <w:p>
      <w:pPr>
        <w:pStyle w:val="TextBody"/>
        <w:bidi w:val="0"/>
        <w:spacing w:before="0" w:after="120"/>
        <w:jc w:val="both"/>
        <w:rPr>
          <w:rFonts w:ascii="Times New Roman" w:hAnsi="Times New Roman"/>
          <w:b w:val="false"/>
          <w:color w:val="000000"/>
          <w:sz w:val="16"/>
        </w:rPr>
      </w:pPr>
      <w:r>
        <w:rPr>
          <w:rFonts w:ascii="Times New Roman" w:hAnsi="Times New Roman"/>
          <w:b w:val="false"/>
          <w:color w:val="000000"/>
          <w:sz w:val="16"/>
        </w:rPr>
        <w:t>The composition of our expenses for the three and nine months ended September 30, 2023 and 2022 was as follows (dollars in thousands):</w:t>
      </w:r>
    </w:p>
    <w:tbl>
      <w:tblPr>
        <w:tblW w:w="9714" w:type="dxa"/>
        <w:jc w:val="left"/>
        <w:tblInd w:w="0" w:type="dxa"/>
        <w:tblLayout w:type="fixed"/>
        <w:tblCellMar>
          <w:top w:w="28" w:type="dxa"/>
          <w:left w:w="28" w:type="dxa"/>
          <w:bottom w:w="28" w:type="dxa"/>
          <w:right w:w="28" w:type="dxa"/>
        </w:tblCellMar>
      </w:tblPr>
      <w:tblGrid>
        <w:gridCol w:w="2641"/>
        <w:gridCol w:w="146"/>
        <w:gridCol w:w="375"/>
        <w:gridCol w:w="979"/>
        <w:gridCol w:w="279"/>
        <w:gridCol w:w="279"/>
        <w:gridCol w:w="375"/>
        <w:gridCol w:w="979"/>
        <w:gridCol w:w="146"/>
        <w:gridCol w:w="146"/>
        <w:gridCol w:w="330"/>
        <w:gridCol w:w="1013"/>
        <w:gridCol w:w="246"/>
        <w:gridCol w:w="246"/>
        <w:gridCol w:w="330"/>
        <w:gridCol w:w="1013"/>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9" w:type="dxa"/>
            <w:tcBorders/>
            <w:shd w:fill="FFFFFF" w:val="clear"/>
            <w:vAlign w:val="center"/>
          </w:tcPr>
          <w:p>
            <w:pPr>
              <w:pStyle w:val="TableContents"/>
              <w:bidi w:val="0"/>
              <w:spacing w:before="0" w:after="283"/>
              <w:jc w:val="left"/>
              <w:rPr/>
            </w:pPr>
            <w:r>
              <w:rP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3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Interest and financing expenses</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7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2,080</w:t>
            </w:r>
          </w:p>
        </w:tc>
        <w:tc>
          <w:tcPr>
            <w:tcW w:w="279"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7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1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6,385</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1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5,877</w:t>
            </w:r>
          </w:p>
        </w:tc>
        <w:tc>
          <w:tcPr>
            <w:tcW w:w="19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Base management fee</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913</w:t>
            </w:r>
          </w:p>
        </w:tc>
        <w:tc>
          <w:tcPr>
            <w:tcW w:w="279"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2,789</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2,928</w:t>
            </w:r>
          </w:p>
        </w:tc>
        <w:tc>
          <w:tcPr>
            <w:tcW w:w="19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Directors' fees</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pPr>
            <w:r>
              <w:rPr/>
              <w:t> </w:t>
            </w:r>
          </w:p>
        </w:tc>
        <w:tc>
          <w:tcPr>
            <w:tcW w:w="97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135</w:t>
            </w:r>
          </w:p>
        </w:tc>
        <w:tc>
          <w:tcPr>
            <w:tcW w:w="279"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pPr>
            <w:r>
              <w:rPr/>
              <w:t> </w:t>
            </w:r>
          </w:p>
        </w:tc>
        <w:tc>
          <w:tcPr>
            <w:tcW w:w="97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0" w:type="dxa"/>
            <w:tcBorders/>
            <w:shd w:fill="CFF0FC" w:val="clear"/>
            <w:vAlign w:val="center"/>
          </w:tcPr>
          <w:p>
            <w:pPr>
              <w:pStyle w:val="TableContents"/>
              <w:bidi w:val="0"/>
              <w:spacing w:before="0" w:after="283"/>
              <w:jc w:val="left"/>
              <w:rPr/>
            </w:pPr>
            <w:r>
              <w:rPr/>
              <w:t> </w:t>
            </w:r>
          </w:p>
        </w:tc>
        <w:tc>
          <w:tcPr>
            <w:tcW w:w="101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405</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0" w:type="dxa"/>
            <w:tcBorders/>
            <w:shd w:fill="CFF0FC" w:val="clear"/>
            <w:vAlign w:val="center"/>
          </w:tcPr>
          <w:p>
            <w:pPr>
              <w:pStyle w:val="TableContents"/>
              <w:bidi w:val="0"/>
              <w:spacing w:before="0" w:after="283"/>
              <w:jc w:val="left"/>
              <w:rPr/>
            </w:pPr>
            <w:r>
              <w:rPr/>
              <w:t> </w:t>
            </w:r>
          </w:p>
        </w:tc>
        <w:tc>
          <w:tcPr>
            <w:tcW w:w="101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358</w:t>
            </w:r>
          </w:p>
        </w:tc>
        <w:tc>
          <w:tcPr>
            <w:tcW w:w="19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Administrative service fees</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198</w:t>
            </w:r>
          </w:p>
        </w:tc>
        <w:tc>
          <w:tcPr>
            <w:tcW w:w="279"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679</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426</w:t>
            </w:r>
          </w:p>
        </w:tc>
        <w:tc>
          <w:tcPr>
            <w:tcW w:w="19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General and administrative expenses</w:t>
            </w:r>
          </w:p>
        </w:tc>
        <w:tc>
          <w:tcPr>
            <w:tcW w:w="146" w:type="dxa"/>
            <w:tcBorders/>
            <w:shd w:fill="CFF0FC" w:val="cle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682</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2,238</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2,597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expenses</w:t>
            </w:r>
          </w:p>
        </w:tc>
        <w:tc>
          <w:tcPr>
            <w:tcW w:w="146" w:type="dxa"/>
            <w:tcBorders/>
            <w:shd w:fill="FFFFFF" w:val="cle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4,008</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12,496</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12,186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For the three months ended September 30, 2023, operating expenses increased by $0.4 million, or 11.1%, compared to the three months ended September 30, 2022. Interest and financing expenses increased from $1.6 million for the three months ended September 30, 2022 to $2.1 million for the three months ended September 30, 2023 primarily due to higher cost of debt capital due to increases in base rates during the three months ended September 30, 2023 compared to the three months ended September 30, 2022. General and administrative expenses decreased from $0.8 million for the three months ended September 30, 2022 to $0.7 million for the three months ended September 30, 2023, primarily due to higher professional fees in the prior year.</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For the nine months ended September 30, 2023, operating expenses increased by $0.3 million, or 2.5% compared to the nine months ended September 30, 2022. Interest and financing expenses increased from $5.9 million for the nine months ended September 30, 2022 to $6.4 million for the nine months ended September 30, 2023, primarily due to higher cost of debt capital due to increases in base rates during the nine months ended September 30, 2023 compared to the nine months ended September 30, 2022. Base management fees decreased from $2.9 million for the nine months ended September 30, 2022 to $2.8 million for the nine months ended September 30, 2023 due to lower average assets under management. Administrative service fees increased from $0.4 million for the nine months ended September 30, 2022 to $0.7 million for the nine months ended September 30, 2023, primarily due to higher administrative services costs incurred by the Company's Administrator in the current year. General and administrative expenses decreased from $2.6 million for the nine months ended September 30, 2022 to $2.2 million for the nine months ended September 30, 2023, primarily due to lower professional fees in the prior year.</w:t>
      </w:r>
    </w:p>
    <w:p>
      <w:pPr>
        <w:pStyle w:val="TextBody"/>
        <w:bidi w:val="0"/>
        <w:spacing w:before="120" w:after="120"/>
        <w:jc w:val="both"/>
        <w:rPr>
          <w:rFonts w:ascii="Times New Roman" w:hAnsi="Times New Roman"/>
          <w:sz w:val="20"/>
        </w:rPr>
      </w:pPr>
      <w:r>
        <w:rPr>
          <w:rFonts w:ascii="Times New Roman" w:hAnsi="Times New Roman"/>
          <w:b/>
          <w:i/>
          <w:color w:val="000000"/>
          <w:sz w:val="16"/>
        </w:rPr>
        <w:t>Net realized gain (loss) on sales of investments</w:t>
      </w:r>
      <w:r>
        <w:rPr>
          <w:rFonts w:ascii="Times New Roman" w:hAnsi="Times New Roman"/>
          <w:color w:val="000000"/>
          <w:sz w:val="20"/>
        </w:rPr>
        <w:t xml:space="preserve"> </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During the three and nine months ended September 30, 2023, we recognized $0.1 million and $4.0 million of net realized losses on our portfolio investments, respectively. During the three and nine months ended September 30, 2022, we recognized $(5.2) million and $10.3 million of net realized (losses) gains on our portfolio investments, respectively.</w:t>
      </w:r>
    </w:p>
    <w:p>
      <w:pPr>
        <w:pStyle w:val="TextBody"/>
        <w:bidi w:val="0"/>
        <w:spacing w:before="120" w:after="120"/>
        <w:jc w:val="both"/>
        <w:rPr>
          <w:rFonts w:ascii="Times New Roman" w:hAnsi="Times New Roman"/>
          <w:b/>
          <w:i/>
          <w:color w:val="000000"/>
          <w:sz w:val="16"/>
        </w:rPr>
      </w:pPr>
      <w:r>
        <w:rPr>
          <w:rFonts w:ascii="Times New Roman" w:hAnsi="Times New Roman"/>
          <w:b/>
          <w:i/>
          <w:color w:val="000000"/>
          <w:sz w:val="16"/>
        </w:rPr>
        <w:t>Net change in unrealized appreciation (depreciation) on investments</w:t>
      </w:r>
    </w:p>
    <w:p>
      <w:pPr>
        <w:pStyle w:val="TextBody"/>
        <w:bidi w:val="0"/>
        <w:jc w:val="both"/>
        <w:rPr>
          <w:rFonts w:ascii="Times New Roman" w:hAnsi="Times New Roman"/>
          <w:sz w:val="20"/>
        </w:rPr>
      </w:pPr>
      <w:r>
        <w:rPr>
          <w:rFonts w:ascii="Times New Roman" w:hAnsi="Times New Roman"/>
          <w:b w:val="false"/>
          <w:color w:val="000000"/>
          <w:sz w:val="16"/>
        </w:rPr>
        <w:t>Net change in unrealized appreciation (depreciation) on investments reflects the net change in the fair value of our investment portfolio. For the three and nine months ended September 30, 2023, we recognized $(3.0) million and $1.3 million of net change in unrealized (depreciation) appreciation on investments, respectively. For the three and nine months ended September 30, 2022, we recognized $2.0 million and $(17.3) million of net change in unrealized appreciation (depreciation) on investments, respectively.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16"/>
        </w:rPr>
      </w:pPr>
      <w:r>
        <w:rPr>
          <w:rFonts w:ascii="Times New Roman" w:hAnsi="Times New Roman"/>
          <w:b/>
          <w:i/>
          <w:color w:val="000000"/>
          <w:sz w:val="16"/>
        </w:rPr>
        <w:t>Changes in net assets resulting from operations</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For the three and nine months ended September 30, 2023, we recorded a net (decrease) increase in net assets resulting from operations of $(2.0) million and $0.6 million, respectively. Based on the weighted average shares of common stock outstanding for the three and nine months ended September 30, 2023, our per share net (decrease) increase in net assets resulting from operations was $(0.73) and $0.24, respectively.</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For the three and nine months ended September 30, 2022, we recorded a net decrease in net assets resulting from operations of $3.0 million and $8.9 million. Based on the weighted average shares of common stock outstanding for the three and nine months ended September 30, 2022, our per share net decrease in net assets resulting from operations was $1.09 and $3.27, respectively.</w:t>
      </w:r>
    </w:p>
    <w:p>
      <w:pPr>
        <w:pStyle w:val="TextBody"/>
        <w:bidi w:val="0"/>
        <w:spacing w:before="0" w:after="120"/>
        <w:jc w:val="both"/>
        <w:rPr>
          <w:rFonts w:ascii="Times New Roman" w:hAnsi="Times New Roman"/>
          <w:b/>
          <w:color w:val="000000"/>
          <w:sz w:val="16"/>
        </w:rPr>
      </w:pPr>
      <w:r>
        <w:rPr>
          <w:rFonts w:ascii="Times New Roman" w:hAnsi="Times New Roman"/>
          <w:b/>
          <w:color w:val="000000"/>
          <w:sz w:val="16"/>
        </w:rPr>
        <w:t>Financial Condition, Liquidity and Capital Resources</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We use and intend to use existing cash primarily to originate investments in new and existing portfolio companies, pay distributions to our stockholders, and repay indebtedness.</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Since our IPO, we have raised approximately $136.0 million in net proceeds from equity offerings through September 30, 2023.</w:t>
      </w:r>
      <w:r>
        <w:rPr>
          <w:rFonts w:ascii="Times New Roman" w:hAnsi="Times New Roman"/>
          <w:color w:val="000000"/>
          <w:sz w:val="20"/>
        </w:rPr>
        <w:t xml:space="preserve"> </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KeyBank Credit Facility</w:t>
      </w:r>
    </w:p>
    <w:p>
      <w:pPr>
        <w:pStyle w:val="TextBody"/>
        <w:bidi w:val="0"/>
        <w:spacing w:before="0" w:after="120"/>
        <w:jc w:val="both"/>
        <w:rPr>
          <w:rFonts w:ascii="Times New Roman" w:hAnsi="Times New Roman"/>
          <w:sz w:val="20"/>
        </w:rPr>
      </w:pPr>
      <w:r>
        <w:rPr>
          <w:rFonts w:ascii="Times New Roman" w:hAnsi="Times New Roman"/>
          <w:b w:val="false"/>
          <w:color w:val="231F20"/>
          <w:sz w:val="16"/>
        </w:rPr>
        <w:t>On October 30, 2020, Capitala Business Lending, LLC (“CBL”), a direct, wholly owned, consolidated subsidiary of the Company, entered into a senior secured revolving credit agreement (“the KeyBank Credit Facility”) with the investment adviser at the time, as collateral manager, the lenders from time to time parties thereto (each, a “Lender”), KeyBank National Association, as administrative agent, and U.S. Bank National Association, as custodian. The KeyBank Credit Facility was amended on May 10, 2022 and October 20, 2022. Under the KeyBank Credit Facility, the Lenders have agreed to extend credit to CBL in an aggregate principal amount of up to $75.0 million as of May 10, 2022, with an uncommitted accordion feature that allows the Company to borrow up to an additional $125.0 million. The KeyBank Credit Facility matures on May 10, 2027, unless there is an earlier termination or event of default. The period during which the Lenders may make loans to CBL under the KeyBank Credit Facility commenced on October 30, 2020 and will continue through May 10, 2025, unless there is an earlier termination or event of default. Borrowings under the KeyBank Credit Facility bear interest at 1M Term SOFR plus 2.90% during the 3-year revolving period and 3.25% thereafter, with a 0.40% 1M Term SOFR floor. CBL will also pay an unused commitment fee at a rate of (1) 1.00% if utilization is less than or equal to 30.0%, (2) 0.65% if utilization is greater than 30.0% but less than or equal to 60.0%, or (3) 0.35% if utilization is greater than 60.0%, per annum on the unutilized portion of the aggregate commitments under the KeyBank Credit Facility.</w:t>
      </w:r>
      <w:r>
        <w:rPr>
          <w:rFonts w:ascii="Times New Roman" w:hAnsi="Times New Roman"/>
          <w:color w:val="231F20"/>
          <w:sz w:val="20"/>
        </w:rPr>
        <w:t xml:space="preserve"> </w:t>
      </w:r>
      <w:r>
        <w:rPr>
          <w:rFonts w:ascii="Times New Roman" w:hAnsi="Times New Roman"/>
          <w:b w:val="false"/>
          <w:color w:val="231F20"/>
          <w:sz w:val="16"/>
        </w:rPr>
        <w:t xml:space="preserve">As of </w:t>
      </w:r>
      <w:r>
        <w:rPr>
          <w:rFonts w:ascii="Times New Roman" w:hAnsi="Times New Roman"/>
          <w:b w:val="false"/>
          <w:color w:val="000000"/>
          <w:sz w:val="16"/>
        </w:rPr>
        <w:t>September 30, 2023</w:t>
      </w:r>
      <w:r>
        <w:rPr>
          <w:rFonts w:ascii="Times New Roman" w:hAnsi="Times New Roman"/>
          <w:b w:val="false"/>
          <w:color w:val="231F20"/>
          <w:sz w:val="16"/>
        </w:rPr>
        <w:t>, there were draws of $35.9</w:t>
      </w:r>
      <w:r>
        <w:rPr>
          <w:rFonts w:ascii="Times New Roman" w:hAnsi="Times New Roman"/>
          <w:color w:val="231F20"/>
          <w:sz w:val="20"/>
        </w:rPr>
        <w:t xml:space="preserve"> </w:t>
      </w:r>
      <w:r>
        <w:rPr>
          <w:rFonts w:ascii="Times New Roman" w:hAnsi="Times New Roman"/>
          <w:b w:val="false"/>
          <w:color w:val="231F20"/>
          <w:sz w:val="16"/>
        </w:rPr>
        <w:t>million</w:t>
      </w:r>
      <w:r>
        <w:rPr>
          <w:rFonts w:ascii="Times New Roman" w:hAnsi="Times New Roman"/>
          <w:color w:val="231F20"/>
          <w:sz w:val="20"/>
        </w:rPr>
        <w:t xml:space="preserve"> </w:t>
      </w:r>
      <w:r>
        <w:rPr>
          <w:rFonts w:ascii="Times New Roman" w:hAnsi="Times New Roman"/>
          <w:b w:val="false"/>
          <w:color w:val="231F20"/>
          <w:sz w:val="16"/>
        </w:rPr>
        <w:t>on the KeyBank Credit Facility. The KeyBank Credit Facility includes customary affirmative and negative covenants, including certain limitations on the incurrence of additional indebtedness and liens, as well as usual and customary events of default for revolving credit facilities of this nature. As of September 30, 2023, assets pledged to secure the KeyBank Credit Facility had a fair value of $101.8 million.</w:t>
      </w:r>
      <w:r>
        <w:rPr>
          <w:rFonts w:ascii="Times New Roman" w:hAnsi="Times New Roman"/>
          <w:color w:val="231F20"/>
          <w:sz w:val="20"/>
        </w:rPr>
        <w:t xml:space="preserve"> </w:t>
      </w:r>
    </w:p>
    <w:p>
      <w:pPr>
        <w:pStyle w:val="TextBody"/>
        <w:bidi w:val="0"/>
        <w:spacing w:before="0" w:after="120"/>
        <w:jc w:val="both"/>
        <w:rPr>
          <w:rFonts w:ascii="Times New Roman" w:hAnsi="Times New Roman"/>
          <w:sz w:val="20"/>
        </w:rPr>
      </w:pPr>
      <w:r>
        <w:rPr>
          <w:rFonts w:ascii="Times New Roman" w:hAnsi="Times New Roman"/>
          <w:b/>
          <w:color w:val="000000"/>
          <w:sz w:val="16"/>
        </w:rPr>
        <w:t>2032 Convertible Notes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val="false"/>
          <w:color w:val="000000"/>
          <w:sz w:val="16"/>
        </w:rPr>
        <w:t>On April 1, 2022, the Company issued $15.0</w:t>
      </w:r>
      <w:r>
        <w:rPr>
          <w:rFonts w:ascii="Times New Roman" w:hAnsi="Times New Roman"/>
          <w:color w:val="000000"/>
          <w:sz w:val="20"/>
        </w:rPr>
        <w:t xml:space="preserve"> </w:t>
      </w:r>
      <w:r>
        <w:rPr>
          <w:rFonts w:ascii="Times New Roman" w:hAnsi="Times New Roman"/>
          <w:b w:val="false"/>
          <w:color w:val="000000"/>
          <w:sz w:val="16"/>
        </w:rPr>
        <w:t>million in aggregate principal amount of 5.25% fixed-rate convertible notes due April 1, 2032</w:t>
      </w:r>
      <w:r>
        <w:rPr>
          <w:rFonts w:ascii="Times New Roman" w:hAnsi="Times New Roman"/>
          <w:color w:val="000000"/>
          <w:sz w:val="20"/>
        </w:rPr>
        <w:t xml:space="preserve"> </w:t>
      </w:r>
      <w:r>
        <w:rPr>
          <w:rFonts w:ascii="Times New Roman" w:hAnsi="Times New Roman"/>
          <w:b w:val="false"/>
          <w:color w:val="000000"/>
          <w:sz w:val="16"/>
        </w:rPr>
        <w:t>(the “2032 Convertible Notes”).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The 2032 Convertible Notes are convertible, at the holder’s option and at any time on or prior to the close of business on the business day immediately preceding the maturity date, into such number of shares of the Company’s common stock as is equal to the principal balance of the notes being converted on such date divided by the “Conversion Price,” as described below. The Company will not issue more than 539,503 shares of common stock in the aggregate under the purchase agreement governing the 2032 Convertible Notes (the “Purchase Agreement”); however, such number of shares may be adjusted from time to time to give effect to any forward or reverse stock splits with respect to the common stock as well as any further adjustments described in the purchase agreement.</w:t>
      </w:r>
      <w:r>
        <w:rPr>
          <w:rFonts w:ascii="Times New Roman" w:hAnsi="Times New Roman"/>
          <w:color w:val="000000"/>
          <w:sz w:val="20"/>
        </w:rPr>
        <w:t xml:space="preserve"> </w:t>
      </w:r>
      <w:r>
        <w:rPr>
          <w:rFonts w:ascii="Times New Roman" w:hAnsi="Times New Roman"/>
          <w:b w:val="false"/>
          <w:color w:val="000000"/>
          <w:sz w:val="16"/>
        </w:rPr>
        <w:t>The “Conversion Price” will be equal to the average “Closing Sale Price” for the five “Trading Days” immediately prior to the relevant “Conversion Date,” as those terms are defined in the Purchase Agreement, subject to certain anti-dilutive provisions, as further described in the Purchase Agreement. No holder of a 2032 Convertible Note will be entitled to convert any such note or portion thereof if such conversion would result in more than $7,500,000 in principal amount of 2032 Convertible Notes being converted in any such calendar quarter. The Company has determined that the embedded conversion option in the 2032 Convertible Notes is not required to be separately accounted for as a derivative under U.S. GAAP.</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The Company obtained an Investment Grade rating from a Nationally Recognized Statistical Rating Organization (“NRSRO”) with respect to the 2032 Convertible Notes. The 2032 Convertible Notes have a fixed interest rate of 5.25% per annum payable semi-annually on March 31 and September 30 of each year, commencing on September 30, 2022, subject to a step up of 0.75% per annum to the extent that the 2032 Convertible Notes are downgraded below Investment Grade by an NRSRO or the 2032 Convertible Notes no longer maintain a rating from an NRSRO. The Company will also be required to pay an additional interest rate of 2.0% per annum (x) on any overdue payment of interest and (y) during the continuance of an “Event of Default.” The Company intends to use the net proceeds from the offering of the 2032 Convertible Notes for general corporate purposes, which may include repaying outstanding indebtedness, making opportunistic investments and paying corporate expenses. In addition, on the occurrence of a “Change in Control Repurchase Event” or “Delisting Event,” as defined in the Purchase Agreement, the Company will generally be required to make an offer to purchase the outstanding 2032 Convertible Notes at a price equal to 100% of the principal amount of such 2032 Convertible Notes plus accrued and unpaid interest to the repurchase date. The 2032 Convertible Notes are redeemable prior to maturity. No “sinking fund” is provided for the 2032 Convertible Notes.</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As of September 30, 2023, the Company had $15.0</w:t>
      </w:r>
      <w:r>
        <w:rPr>
          <w:rFonts w:ascii="Times New Roman" w:hAnsi="Times New Roman"/>
          <w:color w:val="000000"/>
          <w:sz w:val="20"/>
        </w:rPr>
        <w:t xml:space="preserve"> </w:t>
      </w:r>
      <w:r>
        <w:rPr>
          <w:rFonts w:ascii="Times New Roman" w:hAnsi="Times New Roman"/>
          <w:b w:val="false"/>
          <w:color w:val="000000"/>
          <w:sz w:val="16"/>
        </w:rPr>
        <w:t>million</w:t>
      </w:r>
      <w:r>
        <w:rPr>
          <w:rFonts w:ascii="Times New Roman" w:hAnsi="Times New Roman"/>
          <w:color w:val="000000"/>
          <w:sz w:val="20"/>
        </w:rPr>
        <w:t xml:space="preserve"> </w:t>
      </w:r>
      <w:r>
        <w:rPr>
          <w:rFonts w:ascii="Times New Roman" w:hAnsi="Times New Roman"/>
          <w:b w:val="false"/>
          <w:color w:val="000000"/>
          <w:sz w:val="16"/>
        </w:rPr>
        <w:t>in 2032 Convertible Notes outstanding.</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2026 Notes</w:t>
      </w:r>
    </w:p>
    <w:p>
      <w:pPr>
        <w:pStyle w:val="TextBody"/>
        <w:bidi w:val="0"/>
        <w:jc w:val="both"/>
        <w:rPr>
          <w:rFonts w:ascii="Times New Roman" w:hAnsi="Times New Roman"/>
          <w:sz w:val="20"/>
        </w:rPr>
      </w:pPr>
      <w:r>
        <w:rPr>
          <w:rFonts w:ascii="Times New Roman" w:hAnsi="Times New Roman"/>
          <w:b w:val="false"/>
          <w:color w:val="000000"/>
          <w:sz w:val="16"/>
        </w:rPr>
        <w:t>On October 29, 2021, the Company issued $50.0</w:t>
      </w:r>
      <w:r>
        <w:rPr>
          <w:rFonts w:ascii="Times New Roman" w:hAnsi="Times New Roman"/>
          <w:color w:val="000000"/>
          <w:sz w:val="20"/>
        </w:rPr>
        <w:t xml:space="preserve"> </w:t>
      </w:r>
      <w:r>
        <w:rPr>
          <w:rFonts w:ascii="Times New Roman" w:hAnsi="Times New Roman"/>
          <w:b w:val="false"/>
          <w:color w:val="000000"/>
          <w:sz w:val="16"/>
        </w:rPr>
        <w:t xml:space="preserve">million in aggregate principal amount of 5.25% fixed rate notes due October 30, 2026 (the “2026 Notes”) pursuant to a supplemental indenture with U.S. Bank National Association (the “Trustee”), which supplements that certain base indenture, dated as of June 16, 2014. The 2026 Notes were issued in a private placement exempt from registration under the Section 4(a)(2) of the Securities Act of 1933, as amended (the “Securities Act”). The net proceeds to the Company were approximately $48.8 million, after deducting estimated offering expenses. The Notes will mature on October 30, 2026 and may be redeemed in whole or in part at the Company's option at any time or from time to time at the redemption prices set forth in the Indenture. The Notes bear interest at a rate of 5.25% per year payable semi-annually on April 30 and October 30 of each year, commencing on April 30, 2022. The Notes are general unsecured obligations of the Company that rank senior in right of payment to all of the Company's existing and future indebtedness that is expressly subordinated in right of payment to the Notes, rank </w:t>
      </w:r>
      <w:r>
        <w:rPr>
          <w:rFonts w:ascii="Times New Roman" w:hAnsi="Times New Roman"/>
          <w:b w:val="false"/>
          <w:i/>
          <w:color w:val="000000"/>
          <w:sz w:val="16"/>
        </w:rPr>
        <w:t>pari passu</w:t>
      </w:r>
      <w:r>
        <w:rPr>
          <w:rFonts w:ascii="Times New Roman" w:hAnsi="Times New Roman"/>
          <w:color w:val="000000"/>
          <w:sz w:val="16"/>
        </w:rPr>
        <w:t xml:space="preserve"> </w:t>
      </w:r>
      <w:r>
        <w:rPr>
          <w:rFonts w:ascii="Times New Roman" w:hAnsi="Times New Roman"/>
          <w:b w:val="false"/>
          <w:color w:val="000000"/>
          <w:sz w:val="16"/>
        </w:rPr>
        <w:t>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In July 2022, pursuant to the requirements of a registration rights agreements entered into in connection with the offering described above, the Company completed an exchange offer pursuant to which all of the outstanding 2026 Notes were exchanged for notes with substantially identical terms, but that are registered under the Securities Act (which notes are also referred to herein as the “2026 Notes”).</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As of September 30, 2023, the Company had approximately $50.0</w:t>
      </w:r>
      <w:r>
        <w:rPr>
          <w:rFonts w:ascii="Times New Roman" w:hAnsi="Times New Roman"/>
          <w:color w:val="000000"/>
          <w:sz w:val="20"/>
        </w:rPr>
        <w:t xml:space="preserve"> </w:t>
      </w:r>
      <w:r>
        <w:rPr>
          <w:rFonts w:ascii="Times New Roman" w:hAnsi="Times New Roman"/>
          <w:b w:val="false"/>
          <w:color w:val="000000"/>
          <w:sz w:val="16"/>
        </w:rPr>
        <w:t>million</w:t>
      </w:r>
      <w:r>
        <w:rPr>
          <w:rFonts w:ascii="Times New Roman" w:hAnsi="Times New Roman"/>
          <w:color w:val="000000"/>
          <w:sz w:val="20"/>
        </w:rPr>
        <w:t xml:space="preserve"> </w:t>
      </w:r>
      <w:r>
        <w:rPr>
          <w:rFonts w:ascii="Times New Roman" w:hAnsi="Times New Roman"/>
          <w:b w:val="false"/>
          <w:color w:val="000000"/>
          <w:sz w:val="16"/>
        </w:rPr>
        <w:t>in aggregate principal amount of 2026 Notes outstanding.</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2022 Notes</w:t>
      </w:r>
    </w:p>
    <w:p>
      <w:pPr>
        <w:pStyle w:val="TextBody"/>
        <w:bidi w:val="0"/>
        <w:jc w:val="both"/>
        <w:rPr>
          <w:rFonts w:ascii="Times New Roman" w:hAnsi="Times New Roman"/>
          <w:sz w:val="20"/>
        </w:rPr>
      </w:pPr>
      <w:r>
        <w:rPr>
          <w:rFonts w:ascii="Times New Roman" w:hAnsi="Times New Roman"/>
          <w:b w:val="false"/>
          <w:color w:val="000000"/>
          <w:sz w:val="16"/>
        </w:rPr>
        <w:t>On May 16, 2017, the Company issued $70.0</w:t>
      </w:r>
      <w:r>
        <w:rPr>
          <w:rFonts w:ascii="Times New Roman" w:hAnsi="Times New Roman"/>
          <w:color w:val="000000"/>
          <w:sz w:val="20"/>
        </w:rPr>
        <w:t xml:space="preserve"> </w:t>
      </w:r>
      <w:r>
        <w:rPr>
          <w:rFonts w:ascii="Times New Roman" w:hAnsi="Times New Roman"/>
          <w:b w:val="false"/>
          <w:color w:val="000000"/>
          <w:sz w:val="16"/>
        </w:rPr>
        <w:t>million in aggregate principal amount of 6.0% fixed-rate notes due May 31, 2022</w:t>
      </w:r>
      <w:r>
        <w:rPr>
          <w:rFonts w:ascii="Times New Roman" w:hAnsi="Times New Roman"/>
          <w:color w:val="000000"/>
          <w:sz w:val="20"/>
        </w:rPr>
        <w:t xml:space="preserve"> </w:t>
      </w:r>
      <w:r>
        <w:rPr>
          <w:rFonts w:ascii="Times New Roman" w:hAnsi="Times New Roman"/>
          <w:b w:val="false"/>
          <w:color w:val="000000"/>
          <w:sz w:val="16"/>
        </w:rPr>
        <w:t>(the “2022 Notes”). On May 25, 2017, we issued an additional $5.0</w:t>
      </w:r>
      <w:r>
        <w:rPr>
          <w:rFonts w:ascii="Times New Roman" w:hAnsi="Times New Roman"/>
          <w:color w:val="000000"/>
          <w:sz w:val="20"/>
        </w:rPr>
        <w:t xml:space="preserve"> </w:t>
      </w:r>
      <w:r>
        <w:rPr>
          <w:rFonts w:ascii="Times New Roman" w:hAnsi="Times New Roman"/>
          <w:b w:val="false"/>
          <w:color w:val="000000"/>
          <w:sz w:val="16"/>
        </w:rPr>
        <w:t>million in aggregate principal amount of the 2022 Notes pursuant to a partial exercise of the underwriters’ overallotment option. On November 1, 2021, we notified the Trustee for the 2022 Notes of the Company's election to redeem $50.0 million aggregate principal amount of the 2022 Notes outstanding. The redemption was completed on December 6, 2021. On May 31, 2022, the 2022 Notes reached maturity, and the entire outstanding principal of the 2022 Notes became payable and was paid by the Company. Accordingly, as of both September 30, 2023, there were no 2022 Notes outstanding.</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The 2022 Notes were subject to redemption in whole or in part at any time or from time to time at our option on or after May 31, 2019 at a redemption price equal to 100% of the outstanding principal, plus accrued and unpaid interest. Interest on the 2022 Notes was payable quarterly.</w:t>
      </w:r>
      <w:r>
        <w:rPr>
          <w:rFonts w:ascii="Times New Roman" w:hAnsi="Times New Roman"/>
          <w:color w:val="000000"/>
          <w:sz w:val="20"/>
        </w:rPr>
        <w:t xml:space="preserve"> </w:t>
      </w:r>
      <w:r>
        <w:rPr>
          <w:rFonts w:ascii="Times New Roman" w:hAnsi="Times New Roman"/>
          <w:b w:val="false"/>
          <w:color w:val="000000"/>
          <w:sz w:val="16"/>
        </w:rPr>
        <w:t>The 2022 Notes were listed on the NASDAQ Global Select Market under the trading symbol “CPTAL” with a par value of $25.00 per share.</w:t>
      </w:r>
      <w:r>
        <w:rPr>
          <w:rFonts w:ascii="Times New Roman" w:hAnsi="Times New Roman"/>
          <w:color w:val="000000"/>
          <w:sz w:val="20"/>
        </w:rPr>
        <w:t xml:space="preserve"> </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2022 Convertible Notes</w:t>
      </w:r>
    </w:p>
    <w:p>
      <w:pPr>
        <w:pStyle w:val="TextBody"/>
        <w:bidi w:val="0"/>
        <w:jc w:val="both"/>
        <w:rPr>
          <w:rFonts w:ascii="Times New Roman" w:hAnsi="Times New Roman"/>
          <w:sz w:val="20"/>
        </w:rPr>
      </w:pPr>
      <w:r>
        <w:rPr>
          <w:rFonts w:ascii="Times New Roman" w:hAnsi="Times New Roman"/>
          <w:b w:val="false"/>
          <w:color w:val="000000"/>
          <w:sz w:val="16"/>
        </w:rPr>
        <w:t>On May 26, 2017, the Company issued $50.0</w:t>
      </w:r>
      <w:r>
        <w:rPr>
          <w:rFonts w:ascii="Times New Roman" w:hAnsi="Times New Roman"/>
          <w:color w:val="000000"/>
          <w:sz w:val="20"/>
        </w:rPr>
        <w:t xml:space="preserve"> </w:t>
      </w:r>
      <w:r>
        <w:rPr>
          <w:rFonts w:ascii="Times New Roman" w:hAnsi="Times New Roman"/>
          <w:b w:val="false"/>
          <w:color w:val="000000"/>
          <w:sz w:val="16"/>
        </w:rPr>
        <w:t>million in aggregate principal amount of 5.75% fixed-rate</w:t>
      </w:r>
      <w:r>
        <w:rPr>
          <w:rFonts w:ascii="Times New Roman" w:hAnsi="Times New Roman"/>
          <w:color w:val="000000"/>
          <w:sz w:val="20"/>
        </w:rPr>
        <w:t xml:space="preserve"> </w:t>
      </w:r>
      <w:r>
        <w:rPr>
          <w:rFonts w:ascii="Times New Roman" w:hAnsi="Times New Roman"/>
          <w:b w:val="false"/>
          <w:color w:val="000000"/>
          <w:sz w:val="16"/>
        </w:rPr>
        <w:t>convertible notes due May 31, 2022</w:t>
      </w:r>
      <w:r>
        <w:rPr>
          <w:rFonts w:ascii="Times New Roman" w:hAnsi="Times New Roman"/>
          <w:color w:val="000000"/>
          <w:sz w:val="20"/>
        </w:rPr>
        <w:t xml:space="preserve"> </w:t>
      </w:r>
      <w:r>
        <w:rPr>
          <w:rFonts w:ascii="Times New Roman" w:hAnsi="Times New Roman"/>
          <w:b w:val="false"/>
          <w:color w:val="000000"/>
          <w:sz w:val="16"/>
        </w:rPr>
        <w:t>(the “2022 Convertible Notes”). On June 26, 2017, we issued an additional $2.1</w:t>
      </w:r>
      <w:r>
        <w:rPr>
          <w:rFonts w:ascii="Times New Roman" w:hAnsi="Times New Roman"/>
          <w:color w:val="000000"/>
          <w:sz w:val="20"/>
        </w:rPr>
        <w:t xml:space="preserve"> </w:t>
      </w:r>
      <w:r>
        <w:rPr>
          <w:rFonts w:ascii="Times New Roman" w:hAnsi="Times New Roman"/>
          <w:b w:val="false"/>
          <w:color w:val="000000"/>
          <w:sz w:val="16"/>
        </w:rPr>
        <w:t>million in aggregate principal amount of the 2022 Convertible Notes pursuant to a partial exercise of the underwriters’ overallotment option. On May 31, 2022, the 2022 Convertible Notes reached maturity, and the entire outstanding principal of the 2022 Convertible Notes became payable, and was paid by the Company. Accordingly, as of September 30, 2023, there were no 2022 Convertible Notes outstanding.</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Interest on the 2022 Convertible Notes was payable quarterly.</w:t>
      </w:r>
      <w:r>
        <w:rPr>
          <w:rFonts w:ascii="Times New Roman" w:hAnsi="Times New Roman"/>
          <w:color w:val="000000"/>
          <w:sz w:val="20"/>
        </w:rPr>
        <w:t xml:space="preserve"> </w:t>
      </w:r>
      <w:r>
        <w:rPr>
          <w:rFonts w:ascii="Times New Roman" w:hAnsi="Times New Roman"/>
          <w:b w:val="false"/>
          <w:color w:val="000000"/>
          <w:sz w:val="16"/>
        </w:rPr>
        <w:t>The 2022 Convertible Notes were listed on the NASDAQ Capital Market under the trading symbol “CPTAG” with a par value of $25.00 per share.</w:t>
      </w:r>
      <w:r>
        <w:rPr>
          <w:rFonts w:ascii="Times New Roman" w:hAnsi="Times New Roman"/>
          <w:color w:val="000000"/>
          <w:sz w:val="20"/>
        </w:rPr>
        <w:t xml:space="preserve"> </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Asset Coverage Ratio</w:t>
      </w:r>
    </w:p>
    <w:p>
      <w:pPr>
        <w:pStyle w:val="TextBody"/>
        <w:bidi w:val="0"/>
        <w:jc w:val="both"/>
        <w:rPr>
          <w:rFonts w:ascii="Times New Roman" w:hAnsi="Times New Roman"/>
          <w:sz w:val="20"/>
        </w:rPr>
      </w:pPr>
      <w:r>
        <w:rPr>
          <w:rFonts w:ascii="Times New Roman" w:hAnsi="Times New Roman"/>
          <w:b w:val="false"/>
          <w:color w:val="000000"/>
          <w:sz w:val="16"/>
        </w:rPr>
        <w:t>We are only allowed to borrow money such that our asset coverage, as defined in the 1940 Act, equals at least 150% if certain requirements are met, after such borrowing, with certain limited exceptions. As of September 30, 2023, our asset coverage ratio was 191%. If our asset coverage ratio falls below 150% due a decline in the fair market of our portfolio, we may be limited in our ability to raise additional debt.</w:t>
      </w:r>
      <w:r>
        <w:rPr>
          <w:rFonts w:ascii="Times New Roman" w:hAnsi="Times New Roman"/>
          <w:color w:val="000000"/>
          <w:sz w:val="20"/>
        </w:rPr>
        <w:t xml:space="preserve"> </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Cash and Cash Equivalents</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As of September 30, 2023, we had $5.1 million in cash and cash equivalents.</w:t>
      </w:r>
    </w:p>
    <w:p>
      <w:pPr>
        <w:pStyle w:val="TextBody"/>
        <w:bidi w:val="0"/>
        <w:spacing w:before="120" w:after="120"/>
        <w:jc w:val="both"/>
        <w:rPr>
          <w:rFonts w:ascii="Times New Roman" w:hAnsi="Times New Roman"/>
          <w:sz w:val="20"/>
        </w:rPr>
      </w:pPr>
      <w:r>
        <w:rPr>
          <w:rFonts w:ascii="Times New Roman" w:hAnsi="Times New Roman"/>
          <w:b/>
          <w:color w:val="000000"/>
          <w:sz w:val="16"/>
        </w:rPr>
        <w:t>Contractual Obligations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val="false"/>
          <w:color w:val="000000"/>
          <w:sz w:val="16"/>
        </w:rPr>
        <w:t>We have entered into two contracts under which we have material future commitments: the Investment Advisory Agreement, pursuant to which the Investment Adviser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r>
        <w:rPr>
          <w:rFonts w:ascii="Times New Roman" w:hAnsi="Times New Roman"/>
          <w:color w:val="000000"/>
          <w:sz w:val="20"/>
        </w:rPr>
        <w:t xml:space="preserve"> </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A summary of our significant contractual payment obligations as of September 30, 2023 are as follows (dollars in millions):</w:t>
      </w:r>
    </w:p>
    <w:tbl>
      <w:tblPr>
        <w:tblW w:w="6792" w:type="dxa"/>
        <w:jc w:val="left"/>
        <w:tblInd w:w="0" w:type="dxa"/>
        <w:tblLayout w:type="fixed"/>
        <w:tblCellMar>
          <w:top w:w="28" w:type="dxa"/>
          <w:left w:w="28" w:type="dxa"/>
          <w:bottom w:w="28" w:type="dxa"/>
          <w:right w:w="28" w:type="dxa"/>
        </w:tblCellMar>
      </w:tblPr>
      <w:tblGrid>
        <w:gridCol w:w="2161"/>
        <w:gridCol w:w="146"/>
        <w:gridCol w:w="217"/>
        <w:gridCol w:w="383"/>
        <w:gridCol w:w="146"/>
        <w:gridCol w:w="146"/>
        <w:gridCol w:w="196"/>
        <w:gridCol w:w="346"/>
        <w:gridCol w:w="146"/>
        <w:gridCol w:w="146"/>
        <w:gridCol w:w="196"/>
        <w:gridCol w:w="421"/>
        <w:gridCol w:w="146"/>
        <w:gridCol w:w="146"/>
        <w:gridCol w:w="209"/>
        <w:gridCol w:w="451"/>
        <w:gridCol w:w="146"/>
        <w:gridCol w:w="146"/>
        <w:gridCol w:w="196"/>
        <w:gridCol w:w="511"/>
        <w:gridCol w:w="1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9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 Obligations Payments Due by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w:t>
              <w:br/>
              <w:t>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 3</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 – 5</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w:t>
              <w:br/>
              <w:t>Than</w:t>
              <w:br/>
              <w:t>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2026 Notes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8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50.0</w:t>
            </w:r>
          </w:p>
        </w:tc>
        <w:tc>
          <w:tcPr>
            <w:tcW w:w="191" w:type="dxa"/>
            <w:tcBorders/>
            <w:shd w:fill="CFF0FC" w:val="clear"/>
            <w:vAlign w:val="center"/>
          </w:tcPr>
          <w:p>
            <w:pPr>
              <w:pStyle w:val="TableContents"/>
              <w:bidi w:val="0"/>
              <w:spacing w:before="0" w:after="283"/>
              <w:jc w:val="left"/>
              <w:rPr/>
            </w:pPr>
            <w:r>
              <w:rPr/>
              <w:t> </w:t>
            </w:r>
          </w:p>
        </w:tc>
      </w:tr>
      <w:tr>
        <w:trPr/>
        <w:tc>
          <w:tcPr>
            <w:tcW w:w="216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2032 Convertible Notes</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w:t>
            </w:r>
          </w:p>
        </w:tc>
        <w:tc>
          <w:tcPr>
            <w:tcW w:w="191" w:type="dxa"/>
            <w:tcBorders/>
            <w:shd w:fill="FFFFFF" w:val="clear"/>
            <w:vAlign w:val="center"/>
          </w:tcPr>
          <w:p>
            <w:pPr>
              <w:pStyle w:val="TableContents"/>
              <w:bidi w:val="0"/>
              <w:spacing w:before="0" w:after="283"/>
              <w:jc w:val="left"/>
              <w:rPr/>
            </w:pPr>
            <w:r>
              <w:rPr/>
              <w:t> </w:t>
            </w:r>
          </w:p>
        </w:tc>
      </w:tr>
      <w:tr>
        <w:trPr/>
        <w:tc>
          <w:tcPr>
            <w:tcW w:w="216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KeyBank Credit Facility</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Contractual Obligations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b/>
          <w:color w:val="000000"/>
          <w:sz w:val="16"/>
        </w:rPr>
        <w:t>Distributions</w:t>
      </w:r>
      <w:r>
        <w:rPr>
          <w:rFonts w:ascii="Times New Roman" w:hAnsi="Times New Roman"/>
          <w:color w:val="000000"/>
          <w:sz w:val="20"/>
        </w:rPr>
        <w:t xml:space="preserve"> </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In order to qualify as a RIC and to avoid corporate-level U.S. federal income tax on the income we timely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that we recognized for preceding years, but were not distributed during such years, and on which we paid no U.S. federal income tax to avoid a U.S. federal excise tax. We made quarterly distributions to our stockholders for the first four full quarters subsequent to our IPO. To the extent we had income available, we made monthly distributions to our stockholders from October 30, 2014 until March 30, 2020. As announced on April 1, 2020, distributions, if any, will be made on a quarterly basis effective for the second quarter of 2020. Our stockholder distributions, if any, will be determined by our Board on a quarterly basis. Any distributions to our stockholders will be declared out of assets legally available for distribution. For the three and nine months ended September 30, 2023, the Company made a distribution of $0.26 and $0.66 per share, respectively. The Company’s Board determined not to declare a distribution for the first three quarters of 2022.</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Tax characteristics of all distributions paid are reported to stockholders on Form 1099 after the end of the calendar year. There were no distributions for the year ended December 31, 2022. Distributions may be subject to reclassification based on future dividends and operating results and will not be determined until the end of the year.</w:t>
      </w:r>
      <w:r>
        <w:rPr>
          <w:rFonts w:ascii="Times New Roman" w:hAnsi="Times New Roman"/>
          <w:color w:val="000000"/>
          <w:sz w:val="20"/>
        </w:rPr>
        <w:t xml:space="preserve"> </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Related Parties</w:t>
      </w:r>
    </w:p>
    <w:p>
      <w:pPr>
        <w:pStyle w:val="TextBody"/>
        <w:bidi w:val="0"/>
        <w:jc w:val="both"/>
        <w:rPr>
          <w:rFonts w:ascii="Times New Roman" w:hAnsi="Times New Roman"/>
          <w:sz w:val="20"/>
        </w:rPr>
      </w:pPr>
      <w:r>
        <w:rPr>
          <w:rFonts w:ascii="Times New Roman" w:hAnsi="Times New Roman"/>
          <w:b w:val="false"/>
          <w:color w:val="000000"/>
          <w:sz w:val="16"/>
        </w:rPr>
        <w:t>On July 1, 2021, we entered into the Investment Advisory Agreement with the Investment Adviser. The Company is externally managed by the Investment Adviser, an affiliate of BC Partners, pursuant to the Investment Advisory Agreement. Mr. Goldthorpe, an interested member of the Board, has a direct or indirect pecuniary interest in the Investment Adviser. The Investment Adviser is a registered investment adviser under the Investment Advisers Act of 1940, as amended. The Investment Adviser is an affiliate of BC Partners Advisors L.P. for U.S. regulatory purposes. Mount Logan Capital Inc. is the ultimate control person of the Investment Adviser.</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Under the Investment Advisory Agreement, fees payable to the Investment Adviser equal (i) the Base Management Fee and (ii) the Incentive Fee. Unless earlier terminated as described below, the Investment Advisory Agreement will remain in effect from year-to-year if approved annually by a majority of the Board or by the holders of a majority of the outstanding shares, and, in each case, a majority of the independent directors.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Pursuant to the Administration Agreement, the Administrator provides administrative services to the Company necessary for the operations of the Company, which include providing to the Company office facilities, equipment and clerical, bookkeeping and record keeping services at such facilities and such other services as the Administrator, subject to review by the Board, shall from time to time deem to be necessary or useful to perform its obligations under the applicable Administration Agreement. The Administrator also provides to the Company portfolio collection functions for and is responsible for the financial and other records that the Company is required to maintain and prepares, prints and disseminates reports to the Company's stockholders and reports and all other materials filed with the SEC.</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For providing these services, facilities and personnel, the Company reimburses the Administrator the allocable portion of overhead and other expenses incurred by the Administrator in performing its obligations under the Administration Agreement, including the Company's allocable portion of the costs of compensation and related expenses of its chief financial officer and chief compliance officer and their respective staffs.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On April 10, 2023, superseding a prior exemptive order granted on October 23, 2018, the SEC issued an order granting an application for exemptive relief to us and certain of our affiliates that allows BDCs managed by the Investment Adviser, including Logan Ridge, to co-invest, subject to the satisfaction of certain conditions, in certain private placement transactions, with other funds managed by the Investment Adviser or its affiliates, certain proprietary accounts of the Investment Adviser or its affiliates and any future funds that are advised by the Investment Adviser or its affiliated investment advisers. Under the terms of the exemptive order, in order for Logan Ridge to participate in a co-investment transaction, a “required majority” (as defined in Section 57(0) of the 1940 Act) of Logan Ridge's independent directors must conclude that (i) the terms of the proposed transaction, including the consideration to be paid, are reasonable and fair to Logan Ridge and its stockholders and do not involve overreaching with respect of Logan Ridge or its stockholders on the part of any person concerned, and (ii) the proposed transaction is consistent with the interests of Logan Ridge's stockholders and is consistent with Logan Ridge's investment objectives and strategies and certain criteria established by the Board. We believe this relief may not only enhance our ability to further our investment objectives and strategies, but may also increase favorable investment opportunities for us, in part by allowing us to participate in larger investments, together with our co-investment affiliates, than would be available to us in the absence of such relief.</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Prior to July 1, 2021, we were party to an administration agreement with our then administrator, Capitala Advisors Corp. As administrator, Capitala Advisors Corp. provided us with the office facilities and administrative services necessary to conduct our day-to-day operations. On July 1, 2021, we entered into a new Administration Agreement with our current Administrator, BC Partners Management LLC. Pursuant to the terms of the Administration Agreement, our Administrator provides us with the office facilities and administrative services necessary to conduct our day-to-day operations.</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Off-Balance Sheet Arrangements</w:t>
      </w:r>
    </w:p>
    <w:p>
      <w:pPr>
        <w:pStyle w:val="TextBody"/>
        <w:bidi w:val="0"/>
        <w:spacing w:before="0" w:after="120"/>
        <w:jc w:val="both"/>
        <w:rPr>
          <w:rFonts w:ascii="Times New Roman" w:hAnsi="Times New Roman"/>
          <w:b w:val="false"/>
          <w:color w:val="000000"/>
          <w:sz w:val="16"/>
        </w:rPr>
      </w:pPr>
      <w:r>
        <w:rPr>
          <w:rFonts w:ascii="Times New Roman" w:hAnsi="Times New Roman"/>
          <w:b w:val="false"/>
          <w:color w:val="000000"/>
          <w:sz w:val="16"/>
        </w:rPr>
        <w:t>As of September 30, 2023 and December 31, 2022, the Company had the following outstanding unfunded commitments to existing portfolio companies (dollars in thousands):</w:t>
      </w:r>
    </w:p>
    <w:tbl>
      <w:tblPr>
        <w:tblW w:w="10205" w:type="dxa"/>
        <w:jc w:val="left"/>
        <w:tblInd w:w="0" w:type="dxa"/>
        <w:tblLayout w:type="fixed"/>
        <w:tblCellMar>
          <w:top w:w="28" w:type="dxa"/>
          <w:left w:w="28" w:type="dxa"/>
          <w:bottom w:w="28" w:type="dxa"/>
          <w:right w:w="28" w:type="dxa"/>
        </w:tblCellMar>
      </w:tblPr>
      <w:tblGrid>
        <w:gridCol w:w="4154"/>
        <w:gridCol w:w="2665"/>
        <w:gridCol w:w="361"/>
        <w:gridCol w:w="1111"/>
        <w:gridCol w:w="146"/>
        <w:gridCol w:w="146"/>
        <w:gridCol w:w="350"/>
        <w:gridCol w:w="1077"/>
        <w:gridCol w:w="195"/>
      </w:tblGrid>
      <w:tr>
        <w:trPr/>
        <w:tc>
          <w:tcPr>
            <w:tcW w:w="4154"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2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w:t>
            </w:r>
          </w:p>
        </w:tc>
        <w:tc>
          <w:tcPr>
            <w:tcW w:w="14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4"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Accordion Partners LLC</w:t>
            </w:r>
            <w:r>
              <w:rPr>
                <w:rFonts w:ascii="Times New Roman" w:hAnsi="Times New Roman"/>
                <w:b w:val="false"/>
                <w:color w:val="000000"/>
                <w:sz w:val="11"/>
              </w:rPr>
              <w:t>(1)</w:t>
            </w:r>
          </w:p>
        </w:tc>
        <w:tc>
          <w:tcPr>
            <w:tcW w:w="2665"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7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897</w:t>
            </w:r>
          </w:p>
        </w:tc>
        <w:tc>
          <w:tcPr>
            <w:tcW w:w="195" w:type="dxa"/>
            <w:tcBorders/>
            <w:shd w:fill="CFF0FC" w:val="clear"/>
            <w:vAlign w:val="center"/>
          </w:tcPr>
          <w:p>
            <w:pPr>
              <w:pStyle w:val="TableContents"/>
              <w:bidi w:val="0"/>
              <w:spacing w:before="0" w:after="283"/>
              <w:jc w:val="left"/>
              <w:rPr/>
            </w:pPr>
            <w:r>
              <w:rPr/>
              <w:t> </w:t>
            </w:r>
          </w:p>
        </w:tc>
      </w:tr>
      <w:tr>
        <w:trPr/>
        <w:tc>
          <w:tcPr>
            <w:tcW w:w="415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Accordion Partners LLC (Revolver)</w:t>
            </w:r>
          </w:p>
        </w:tc>
        <w:tc>
          <w:tcPr>
            <w:tcW w:w="2665"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1,531</w:t>
            </w:r>
          </w:p>
        </w:tc>
        <w:tc>
          <w:tcPr>
            <w:tcW w:w="195" w:type="dxa"/>
            <w:tcBorders/>
            <w:shd w:fill="FFFFFF" w:val="clear"/>
            <w:vAlign w:val="center"/>
          </w:tcPr>
          <w:p>
            <w:pPr>
              <w:pStyle w:val="TableContents"/>
              <w:bidi w:val="0"/>
              <w:spacing w:before="0" w:after="283"/>
              <w:jc w:val="left"/>
              <w:rPr/>
            </w:pPr>
            <w:r>
              <w:rPr/>
              <w:t> </w:t>
            </w:r>
          </w:p>
        </w:tc>
      </w:tr>
      <w:tr>
        <w:trPr/>
        <w:tc>
          <w:tcPr>
            <w:tcW w:w="415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American Clinical Solutions, LLC</w:t>
            </w:r>
          </w:p>
        </w:tc>
        <w:tc>
          <w:tcPr>
            <w:tcW w:w="2665"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color w:val="000000"/>
              </w:rPr>
            </w:pPr>
            <w:r>
              <w:rPr>
                <w:color w:val="000000"/>
              </w:rPr>
              <w:t>—</w:t>
            </w:r>
          </w:p>
        </w:tc>
        <w:tc>
          <w:tcPr>
            <w:tcW w:w="195" w:type="dxa"/>
            <w:tcBorders/>
            <w:shd w:fill="CFF0FC" w:val="clear"/>
            <w:vAlign w:val="center"/>
          </w:tcPr>
          <w:p>
            <w:pPr>
              <w:pStyle w:val="TableContents"/>
              <w:bidi w:val="0"/>
              <w:spacing w:before="0" w:after="283"/>
              <w:jc w:val="left"/>
              <w:rPr/>
            </w:pPr>
            <w:r>
              <w:rPr/>
              <w:t> </w:t>
            </w:r>
          </w:p>
        </w:tc>
      </w:tr>
      <w:tr>
        <w:trPr/>
        <w:tc>
          <w:tcPr>
            <w:tcW w:w="415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BetaNXT, Inc. (Revolver)</w:t>
            </w:r>
          </w:p>
        </w:tc>
        <w:tc>
          <w:tcPr>
            <w:tcW w:w="2665"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453</w:t>
            </w:r>
          </w:p>
        </w:tc>
        <w:tc>
          <w:tcPr>
            <w:tcW w:w="195" w:type="dxa"/>
            <w:tcBorders/>
            <w:shd w:fill="FFFFFF" w:val="clear"/>
            <w:vAlign w:val="center"/>
          </w:tcPr>
          <w:p>
            <w:pPr>
              <w:pStyle w:val="TableContents"/>
              <w:bidi w:val="0"/>
              <w:spacing w:before="0" w:after="283"/>
              <w:jc w:val="left"/>
              <w:rPr/>
            </w:pPr>
            <w:r>
              <w:rPr/>
              <w:t> </w:t>
            </w:r>
          </w:p>
        </w:tc>
      </w:tr>
      <w:tr>
        <w:trPr/>
        <w:tc>
          <w:tcPr>
            <w:tcW w:w="415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Bradshaw International, Inc. (Revolver)</w:t>
            </w:r>
          </w:p>
        </w:tc>
        <w:tc>
          <w:tcPr>
            <w:tcW w:w="2665"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922</w:t>
            </w:r>
          </w:p>
        </w:tc>
        <w:tc>
          <w:tcPr>
            <w:tcW w:w="195" w:type="dxa"/>
            <w:tcBorders/>
            <w:shd w:fill="CFF0FC" w:val="clear"/>
            <w:vAlign w:val="center"/>
          </w:tcPr>
          <w:p>
            <w:pPr>
              <w:pStyle w:val="TableContents"/>
              <w:bidi w:val="0"/>
              <w:spacing w:before="0" w:after="283"/>
              <w:jc w:val="left"/>
              <w:rPr/>
            </w:pPr>
            <w:r>
              <w:rPr/>
              <w:t> </w:t>
            </w:r>
          </w:p>
        </w:tc>
      </w:tr>
      <w:tr>
        <w:trPr/>
        <w:tc>
          <w:tcPr>
            <w:tcW w:w="4154"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Critical Nurse Staffing, LLC</w:t>
            </w:r>
            <w:r>
              <w:rPr>
                <w:rFonts w:ascii="Times New Roman" w:hAnsi="Times New Roman"/>
                <w:b w:val="false"/>
                <w:color w:val="000000"/>
                <w:sz w:val="11"/>
              </w:rPr>
              <w:t>(1)</w:t>
            </w:r>
          </w:p>
        </w:tc>
        <w:tc>
          <w:tcPr>
            <w:tcW w:w="2665"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2,063</w:t>
            </w:r>
          </w:p>
        </w:tc>
        <w:tc>
          <w:tcPr>
            <w:tcW w:w="195" w:type="dxa"/>
            <w:tcBorders/>
            <w:shd w:fill="FFFFFF" w:val="clear"/>
            <w:vAlign w:val="center"/>
          </w:tcPr>
          <w:p>
            <w:pPr>
              <w:pStyle w:val="TableContents"/>
              <w:bidi w:val="0"/>
              <w:spacing w:before="0" w:after="283"/>
              <w:jc w:val="left"/>
              <w:rPr/>
            </w:pPr>
            <w:r>
              <w:rPr/>
              <w:t> </w:t>
            </w:r>
          </w:p>
        </w:tc>
      </w:tr>
      <w:tr>
        <w:trPr/>
        <w:tc>
          <w:tcPr>
            <w:tcW w:w="415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Critical Nurse Staffing, LLC (Revolver)</w:t>
            </w:r>
          </w:p>
        </w:tc>
        <w:tc>
          <w:tcPr>
            <w:tcW w:w="2665"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700</w:t>
            </w:r>
          </w:p>
        </w:tc>
        <w:tc>
          <w:tcPr>
            <w:tcW w:w="195" w:type="dxa"/>
            <w:tcBorders/>
            <w:shd w:fill="CFF0FC" w:val="clear"/>
            <w:vAlign w:val="center"/>
          </w:tcPr>
          <w:p>
            <w:pPr>
              <w:pStyle w:val="TableContents"/>
              <w:bidi w:val="0"/>
              <w:spacing w:before="0" w:after="283"/>
              <w:jc w:val="left"/>
              <w:rPr/>
            </w:pPr>
            <w:r>
              <w:rPr/>
              <w:t> </w:t>
            </w:r>
          </w:p>
        </w:tc>
      </w:tr>
      <w:tr>
        <w:trPr/>
        <w:tc>
          <w:tcPr>
            <w:tcW w:w="4154"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Dentive, LLC</w:t>
            </w:r>
            <w:r>
              <w:rPr>
                <w:rFonts w:ascii="Times New Roman" w:hAnsi="Times New Roman"/>
                <w:b w:val="false"/>
                <w:color w:val="000000"/>
                <w:sz w:val="11"/>
              </w:rPr>
              <w:t>(1)</w:t>
            </w:r>
          </w:p>
        </w:tc>
        <w:tc>
          <w:tcPr>
            <w:tcW w:w="2665"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598</w:t>
            </w:r>
          </w:p>
        </w:tc>
        <w:tc>
          <w:tcPr>
            <w:tcW w:w="195" w:type="dxa"/>
            <w:tcBorders/>
            <w:shd w:fill="FFFFFF" w:val="clear"/>
            <w:vAlign w:val="center"/>
          </w:tcPr>
          <w:p>
            <w:pPr>
              <w:pStyle w:val="TableContents"/>
              <w:bidi w:val="0"/>
              <w:spacing w:before="0" w:after="283"/>
              <w:jc w:val="left"/>
              <w:rPr/>
            </w:pPr>
            <w:r>
              <w:rPr/>
              <w:t> </w:t>
            </w:r>
          </w:p>
        </w:tc>
      </w:tr>
      <w:tr>
        <w:trPr/>
        <w:tc>
          <w:tcPr>
            <w:tcW w:w="415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Dentive, LLC (Revolver)</w:t>
            </w:r>
          </w:p>
        </w:tc>
        <w:tc>
          <w:tcPr>
            <w:tcW w:w="2665"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187</w:t>
            </w:r>
          </w:p>
        </w:tc>
        <w:tc>
          <w:tcPr>
            <w:tcW w:w="195" w:type="dxa"/>
            <w:tcBorders/>
            <w:shd w:fill="CFF0FC" w:val="clear"/>
            <w:vAlign w:val="center"/>
          </w:tcPr>
          <w:p>
            <w:pPr>
              <w:pStyle w:val="TableContents"/>
              <w:bidi w:val="0"/>
              <w:spacing w:before="0" w:after="283"/>
              <w:jc w:val="left"/>
              <w:rPr/>
            </w:pPr>
            <w:r>
              <w:rPr/>
              <w:t> </w:t>
            </w:r>
          </w:p>
        </w:tc>
      </w:tr>
      <w:tr>
        <w:trPr/>
        <w:tc>
          <w:tcPr>
            <w:tcW w:w="4154"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Epic Staffing Group</w:t>
            </w:r>
            <w:r>
              <w:rPr>
                <w:rFonts w:ascii="Times New Roman" w:hAnsi="Times New Roman"/>
                <w:b w:val="false"/>
                <w:color w:val="000000"/>
                <w:sz w:val="11"/>
              </w:rPr>
              <w:t>(1)</w:t>
            </w:r>
          </w:p>
        </w:tc>
        <w:tc>
          <w:tcPr>
            <w:tcW w:w="2665"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872</w:t>
            </w:r>
          </w:p>
        </w:tc>
        <w:tc>
          <w:tcPr>
            <w:tcW w:w="195" w:type="dxa"/>
            <w:tcBorders/>
            <w:shd w:fill="FFFFFF" w:val="clear"/>
            <w:vAlign w:val="center"/>
          </w:tcPr>
          <w:p>
            <w:pPr>
              <w:pStyle w:val="TableContents"/>
              <w:bidi w:val="0"/>
              <w:spacing w:before="0" w:after="283"/>
              <w:jc w:val="left"/>
              <w:rPr/>
            </w:pPr>
            <w:r>
              <w:rPr/>
              <w:t> </w:t>
            </w:r>
          </w:p>
        </w:tc>
      </w:tr>
      <w:tr>
        <w:trPr/>
        <w:tc>
          <w:tcPr>
            <w:tcW w:w="415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Great Lakes Funding II LLC - Series A</w:t>
            </w:r>
          </w:p>
        </w:tc>
        <w:tc>
          <w:tcPr>
            <w:tcW w:w="2665"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Joint Venture</w:t>
            </w:r>
          </w:p>
        </w:tc>
        <w:tc>
          <w:tcPr>
            <w:tcW w:w="361"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w:t>
            </w:r>
          </w:p>
        </w:tc>
        <w:tc>
          <w:tcPr>
            <w:tcW w:w="195" w:type="dxa"/>
            <w:tcBorders/>
            <w:shd w:fill="CFF0FC" w:val="clear"/>
            <w:vAlign w:val="center"/>
          </w:tcPr>
          <w:p>
            <w:pPr>
              <w:pStyle w:val="TableContents"/>
              <w:bidi w:val="0"/>
              <w:spacing w:before="0" w:after="283"/>
              <w:jc w:val="left"/>
              <w:rPr/>
            </w:pPr>
            <w:r>
              <w:rPr/>
              <w:t> </w:t>
            </w:r>
          </w:p>
        </w:tc>
      </w:tr>
      <w:tr>
        <w:trPr/>
        <w:tc>
          <w:tcPr>
            <w:tcW w:w="415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GreenPark Infrastructure, LLC - Series M-1</w:t>
            </w:r>
          </w:p>
        </w:tc>
        <w:tc>
          <w:tcPr>
            <w:tcW w:w="2665"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Common Stock and Membership Units</w:t>
            </w:r>
          </w:p>
        </w:tc>
        <w:tc>
          <w:tcPr>
            <w:tcW w:w="36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732</w:t>
            </w:r>
          </w:p>
        </w:tc>
        <w:tc>
          <w:tcPr>
            <w:tcW w:w="195" w:type="dxa"/>
            <w:tcBorders/>
            <w:shd w:fill="FFFFFF" w:val="clear"/>
            <w:vAlign w:val="center"/>
          </w:tcPr>
          <w:p>
            <w:pPr>
              <w:pStyle w:val="TableContents"/>
              <w:bidi w:val="0"/>
              <w:spacing w:before="0" w:after="283"/>
              <w:jc w:val="left"/>
              <w:rPr/>
            </w:pPr>
            <w:r>
              <w:rPr/>
              <w:t> </w:t>
            </w:r>
          </w:p>
        </w:tc>
      </w:tr>
      <w:tr>
        <w:trPr/>
        <w:tc>
          <w:tcPr>
            <w:tcW w:w="4154"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IDC Infusion Services, LLC</w:t>
            </w:r>
            <w:r>
              <w:rPr>
                <w:rFonts w:ascii="Times New Roman" w:hAnsi="Times New Roman"/>
                <w:b w:val="false"/>
                <w:color w:val="000000"/>
                <w:sz w:val="11"/>
              </w:rPr>
              <w:t>(1)</w:t>
            </w:r>
          </w:p>
        </w:tc>
        <w:tc>
          <w:tcPr>
            <w:tcW w:w="2665"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27" w:type="dxa"/>
            <w:gridSpan w:val="2"/>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195" w:type="dxa"/>
            <w:tcBorders/>
            <w:shd w:fill="CFF0FC" w:val="clear"/>
            <w:vAlign w:val="center"/>
          </w:tcPr>
          <w:p>
            <w:pPr>
              <w:pStyle w:val="TableContents"/>
              <w:bidi w:val="0"/>
              <w:spacing w:before="0" w:after="283"/>
              <w:jc w:val="right"/>
              <w:rPr/>
            </w:pPr>
            <w:r>
              <w:rPr/>
              <w:t> </w:t>
            </w:r>
          </w:p>
        </w:tc>
      </w:tr>
      <w:tr>
        <w:trPr/>
        <w:tc>
          <w:tcPr>
            <w:tcW w:w="415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Keg Logistics LLC (Revolver)</w:t>
            </w:r>
          </w:p>
        </w:tc>
        <w:tc>
          <w:tcPr>
            <w:tcW w:w="2665"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436</w:t>
            </w:r>
          </w:p>
        </w:tc>
        <w:tc>
          <w:tcPr>
            <w:tcW w:w="195" w:type="dxa"/>
            <w:tcBorders/>
            <w:shd w:fill="FFFFFF" w:val="clear"/>
            <w:vAlign w:val="center"/>
          </w:tcPr>
          <w:p>
            <w:pPr>
              <w:pStyle w:val="TableContents"/>
              <w:bidi w:val="0"/>
              <w:spacing w:before="0" w:after="283"/>
              <w:jc w:val="left"/>
              <w:rPr/>
            </w:pPr>
            <w:r>
              <w:rPr/>
              <w:t> </w:t>
            </w:r>
          </w:p>
        </w:tc>
      </w:tr>
      <w:tr>
        <w:trPr/>
        <w:tc>
          <w:tcPr>
            <w:tcW w:w="415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Marble Point Credit Management LLC (Revolver)</w:t>
            </w:r>
          </w:p>
        </w:tc>
        <w:tc>
          <w:tcPr>
            <w:tcW w:w="2665"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1472" w:type="dxa"/>
            <w:gridSpan w:val="2"/>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50"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2,500</w:t>
            </w:r>
          </w:p>
        </w:tc>
        <w:tc>
          <w:tcPr>
            <w:tcW w:w="195" w:type="dxa"/>
            <w:tcBorders/>
            <w:shd w:fill="CFF0FC" w:val="clear"/>
            <w:vAlign w:val="center"/>
          </w:tcPr>
          <w:p>
            <w:pPr>
              <w:pStyle w:val="TableContents"/>
              <w:bidi w:val="0"/>
              <w:spacing w:before="0" w:after="283"/>
              <w:jc w:val="left"/>
              <w:rPr/>
            </w:pPr>
            <w:r>
              <w:rPr/>
              <w:t> </w:t>
            </w:r>
          </w:p>
        </w:tc>
      </w:tr>
      <w:tr>
        <w:trPr/>
        <w:tc>
          <w:tcPr>
            <w:tcW w:w="4154"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Orthopaedic (ITC) Buyer, LLC</w:t>
            </w:r>
            <w:r>
              <w:rPr>
                <w:rFonts w:ascii="Times New Roman" w:hAnsi="Times New Roman"/>
                <w:b w:val="false"/>
                <w:color w:val="000000"/>
                <w:sz w:val="11"/>
              </w:rPr>
              <w:t>(1)</w:t>
            </w:r>
          </w:p>
        </w:tc>
        <w:tc>
          <w:tcPr>
            <w:tcW w:w="2665"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27" w:type="dxa"/>
            <w:gridSpan w:val="2"/>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195" w:type="dxa"/>
            <w:tcBorders/>
            <w:shd w:fill="FFFFFF" w:val="clear"/>
            <w:vAlign w:val="center"/>
          </w:tcPr>
          <w:p>
            <w:pPr>
              <w:pStyle w:val="TableContents"/>
              <w:bidi w:val="0"/>
              <w:spacing w:before="0" w:after="283"/>
              <w:jc w:val="right"/>
              <w:rPr/>
            </w:pPr>
            <w:r>
              <w:rPr/>
              <w:t> </w:t>
            </w:r>
          </w:p>
        </w:tc>
      </w:tr>
      <w:tr>
        <w:trPr/>
        <w:tc>
          <w:tcPr>
            <w:tcW w:w="4154"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Premier Imaging, LLC</w:t>
            </w:r>
            <w:r>
              <w:rPr>
                <w:rFonts w:ascii="Times New Roman" w:hAnsi="Times New Roman"/>
                <w:b w:val="false"/>
                <w:color w:val="000000"/>
                <w:sz w:val="11"/>
              </w:rPr>
              <w:t>(1)</w:t>
            </w:r>
          </w:p>
        </w:tc>
        <w:tc>
          <w:tcPr>
            <w:tcW w:w="2665"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1472" w:type="dxa"/>
            <w:gridSpan w:val="2"/>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50"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1,378</w:t>
            </w:r>
          </w:p>
        </w:tc>
        <w:tc>
          <w:tcPr>
            <w:tcW w:w="195" w:type="dxa"/>
            <w:tcBorders/>
            <w:shd w:fill="CFF0FC" w:val="clear"/>
            <w:vAlign w:val="center"/>
          </w:tcPr>
          <w:p>
            <w:pPr>
              <w:pStyle w:val="TableContents"/>
              <w:bidi w:val="0"/>
              <w:spacing w:before="0" w:after="283"/>
              <w:jc w:val="left"/>
              <w:rPr/>
            </w:pPr>
            <w:r>
              <w:rPr/>
              <w:t> </w:t>
            </w:r>
          </w:p>
        </w:tc>
      </w:tr>
      <w:tr>
        <w:trPr/>
        <w:tc>
          <w:tcPr>
            <w:tcW w:w="4154"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PhyNet Dermatology LLC</w:t>
            </w:r>
            <w:r>
              <w:rPr>
                <w:rFonts w:ascii="Times New Roman" w:hAnsi="Times New Roman"/>
                <w:b w:val="false"/>
                <w:color w:val="000000"/>
                <w:sz w:val="11"/>
              </w:rPr>
              <w:t>(1)</w:t>
            </w:r>
          </w:p>
        </w:tc>
        <w:tc>
          <w:tcPr>
            <w:tcW w:w="2665"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27" w:type="dxa"/>
            <w:gridSpan w:val="2"/>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195" w:type="dxa"/>
            <w:tcBorders/>
            <w:shd w:fill="FFFFFF" w:val="clear"/>
            <w:vAlign w:val="center"/>
          </w:tcPr>
          <w:p>
            <w:pPr>
              <w:pStyle w:val="TableContents"/>
              <w:bidi w:val="0"/>
              <w:spacing w:before="0" w:after="283"/>
              <w:jc w:val="right"/>
              <w:rPr/>
            </w:pPr>
            <w:r>
              <w:rPr/>
              <w:t> </w:t>
            </w:r>
          </w:p>
        </w:tc>
      </w:tr>
      <w:tr>
        <w:trPr/>
        <w:tc>
          <w:tcPr>
            <w:tcW w:w="415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Taoglas Group Holdings Limited (Revolver)</w:t>
            </w:r>
          </w:p>
        </w:tc>
        <w:tc>
          <w:tcPr>
            <w:tcW w:w="2665"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27" w:type="dxa"/>
            <w:gridSpan w:val="2"/>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195" w:type="dxa"/>
            <w:tcBorders/>
            <w:shd w:fill="CFF0FC" w:val="clear"/>
            <w:vAlign w:val="center"/>
          </w:tcPr>
          <w:p>
            <w:pPr>
              <w:pStyle w:val="TableContents"/>
              <w:bidi w:val="0"/>
              <w:spacing w:before="0" w:after="283"/>
              <w:jc w:val="right"/>
              <w:rPr/>
            </w:pPr>
            <w:r>
              <w:rPr/>
              <w:t> </w:t>
            </w:r>
          </w:p>
        </w:tc>
      </w:tr>
      <w:tr>
        <w:trPr/>
        <w:tc>
          <w:tcPr>
            <w:tcW w:w="4154"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VBC Spine Opco, LLC (DxTx Pain and Spine LLC)</w:t>
            </w:r>
            <w:r>
              <w:rPr>
                <w:rFonts w:ascii="Times New Roman" w:hAnsi="Times New Roman"/>
                <w:b w:val="false"/>
                <w:color w:val="000000"/>
                <w:sz w:val="11"/>
              </w:rPr>
              <w:t>(1)</w:t>
            </w:r>
          </w:p>
        </w:tc>
        <w:tc>
          <w:tcPr>
            <w:tcW w:w="2665"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27" w:type="dxa"/>
            <w:gridSpan w:val="2"/>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195" w:type="dxa"/>
            <w:tcBorders/>
            <w:shd w:fill="FFFFFF" w:val="clear"/>
            <w:vAlign w:val="center"/>
          </w:tcPr>
          <w:p>
            <w:pPr>
              <w:pStyle w:val="TableContents"/>
              <w:bidi w:val="0"/>
              <w:spacing w:before="0" w:after="283"/>
              <w:jc w:val="right"/>
              <w:rPr/>
            </w:pPr>
            <w:r>
              <w:rPr/>
              <w:t> </w:t>
            </w:r>
          </w:p>
        </w:tc>
      </w:tr>
      <w:tr>
        <w:trPr/>
        <w:tc>
          <w:tcPr>
            <w:tcW w:w="415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VBC Spine Opco, LLC (DxTx Pain and Spine LLC) (Revolver)</w:t>
            </w:r>
          </w:p>
        </w:tc>
        <w:tc>
          <w:tcPr>
            <w:tcW w:w="2665"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27" w:type="dxa"/>
            <w:gridSpan w:val="2"/>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195" w:type="dxa"/>
            <w:tcBorders/>
            <w:shd w:fill="CFF0FC" w:val="clear"/>
            <w:vAlign w:val="center"/>
          </w:tcPr>
          <w:p>
            <w:pPr>
              <w:pStyle w:val="TableContents"/>
              <w:bidi w:val="0"/>
              <w:spacing w:before="0" w:after="283"/>
              <w:jc w:val="right"/>
              <w:rPr/>
            </w:pPr>
            <w:r>
              <w:rPr/>
              <w:t> </w:t>
            </w:r>
          </w:p>
        </w:tc>
      </w:tr>
      <w:tr>
        <w:trPr/>
        <w:tc>
          <w:tcPr>
            <w:tcW w:w="415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Wealth Enhancement Group, LLC (Revolver)</w:t>
            </w:r>
          </w:p>
        </w:tc>
        <w:tc>
          <w:tcPr>
            <w:tcW w:w="2665"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First Lien/Senior Secured Debt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438</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Unfunded Commitments</w:t>
            </w:r>
          </w:p>
        </w:tc>
        <w:tc>
          <w:tcPr>
            <w:tcW w:w="2665" w:type="dxa"/>
            <w:tcBorders/>
            <w:shd w:fill="CFF0FC" w:val="cle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13,787</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pBdr>
          <w:bottom w:val="single" w:sz="6" w:space="1" w:color="000000"/>
        </w:pBdr>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11"/>
        </w:rPr>
        <w:t>(1)</w:t>
      </w:r>
      <w:r>
        <w:rPr>
          <w:rFonts w:ascii="Times New Roman" w:hAnsi="Times New Roman"/>
          <w:color w:val="000000"/>
          <w:sz w:val="20"/>
        </w:rPr>
        <w:t xml:space="preserve"> </w:t>
      </w:r>
      <w:r>
        <w:rPr>
          <w:rFonts w:ascii="Times New Roman" w:hAnsi="Times New Roman"/>
          <w:b w:val="false"/>
          <w:color w:val="000000"/>
          <w:sz w:val="16"/>
        </w:rPr>
        <w:t>Delayed-draw term loan.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Recent Developments</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On November 7, 2023, the Company’s Board of Directors approved a distribution of $0.30 per share payable on November 30, 2023 to stockholders of record as of November 20, 2023.</w:t>
      </w:r>
    </w:p>
    <w:p>
      <w:pPr>
        <w:pStyle w:val="TextBody"/>
        <w:bidi w:val="0"/>
        <w:spacing w:before="120" w:after="120"/>
        <w:jc w:val="both"/>
        <w:rPr>
          <w:rFonts w:ascii="Times New Roman" w:hAnsi="Times New Roman"/>
          <w:b/>
          <w:color w:val="000000"/>
          <w:sz w:val="16"/>
        </w:rPr>
      </w:pPr>
      <w:bookmarkStart w:id="11" w:name="item_3_quantitative_and_qualitative"/>
      <w:bookmarkEnd w:id="11"/>
      <w:r>
        <w:rPr>
          <w:rFonts w:ascii="Times New Roman" w:hAnsi="Times New Roman"/>
          <w:b/>
          <w:color w:val="000000"/>
          <w:sz w:val="16"/>
        </w:rPr>
        <w:t>Item 3. Quantitative and Qualitative Disclosures About Market Risk</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We are subject to financial market risks, including changes in interest rates. Changes in interest rates may affect both our cost of funding and our interest income from portfolio investments and cash and cash equivalents.</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We may hedge against interest rate fluctuations by using standard hedging instruments such as futures, options, and forward contracts subject to the requirements of the 1940 Act. For the nine months ended September 30, 2023, we did not engage in hedging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As of September 30, 2023, we held 44 securities bearing a variable rate of interest. Our variable rate investments represent approximately 82.3% of the fair value of our total debt investments. As of September 30, 2023, none of our variable rate securities were yielding interest at a rate equal to the established interest rate floor. As of September 30, 2023, we had $35.9 million outstanding on our KeyBank Credit Facility, which has a variable rate of interest at one-month SOFR + 2.90%, subject to an interest rate floor of 0.40%. As of September 30, 2023, all of our other interest paying liabilities, consisting of $50.0 million in 2026 Notes and $15.0 million in 2032 Convertible Notes, were bearing interest at a fixed rate.</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Interest rate sensitivity refers to the change in earnings that may result from changes in the level of interest rates.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 In addition,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pStyle w:val="TextBody"/>
        <w:bidi w:val="0"/>
        <w:spacing w:before="120" w:after="120"/>
        <w:jc w:val="both"/>
        <w:rPr>
          <w:rFonts w:ascii="Times New Roman" w:hAnsi="Times New Roman"/>
          <w:sz w:val="20"/>
        </w:rPr>
      </w:pPr>
      <w:r>
        <w:rPr>
          <w:rFonts w:ascii="Times New Roman" w:hAnsi="Times New Roman"/>
          <w:b w:val="false"/>
          <w:color w:val="000000"/>
          <w:sz w:val="16"/>
        </w:rPr>
        <w:t>Based on our September 30, 2023 consolidated statements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r>
        <w:rPr>
          <w:rFonts w:ascii="Times New Roman" w:hAnsi="Times New Roman"/>
          <w:color w:val="000000"/>
          <w:sz w:val="20"/>
        </w:rPr>
        <w:t xml:space="preserve"> </w:t>
      </w:r>
    </w:p>
    <w:tbl>
      <w:tblPr>
        <w:tblW w:w="6709" w:type="dxa"/>
        <w:jc w:val="left"/>
        <w:tblInd w:w="0" w:type="dxa"/>
        <w:tblLayout w:type="fixed"/>
        <w:tblCellMar>
          <w:top w:w="28" w:type="dxa"/>
          <w:left w:w="28" w:type="dxa"/>
          <w:bottom w:w="28" w:type="dxa"/>
          <w:right w:w="28" w:type="dxa"/>
        </w:tblCellMar>
      </w:tblPr>
      <w:tblGrid>
        <w:gridCol w:w="1696"/>
        <w:gridCol w:w="549"/>
        <w:gridCol w:w="1611"/>
        <w:gridCol w:w="166"/>
        <w:gridCol w:w="318"/>
        <w:gridCol w:w="927"/>
        <w:gridCol w:w="166"/>
        <w:gridCol w:w="271"/>
        <w:gridCol w:w="794"/>
        <w:gridCol w:w="211"/>
      </w:tblGrid>
      <w:tr>
        <w:trPr/>
        <w:tc>
          <w:tcPr>
            <w:tcW w:w="169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Basis Point Change</w:t>
            </w:r>
          </w:p>
        </w:tc>
        <w:tc>
          <w:tcPr>
            <w:tcW w:w="2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(decrease) in interest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decrease in</w:t>
              <w:br/>
              <w:t>interest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 xml:space="preserve">(decrease) in </w:t>
              <w:br/>
              <w:t>net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Up 300 basis points</w:t>
            </w:r>
          </w:p>
        </w:tc>
        <w:tc>
          <w:tcPr>
            <w:tcW w:w="54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6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3,935</w:t>
            </w:r>
          </w:p>
        </w:tc>
        <w:tc>
          <w:tcPr>
            <w:tcW w:w="16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2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(1,090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9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2,845</w:t>
            </w:r>
          </w:p>
        </w:tc>
        <w:tc>
          <w:tcPr>
            <w:tcW w:w="211" w:type="dxa"/>
            <w:tcBorders/>
            <w:shd w:fill="CFF0FC"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Up 200 basis points</w:t>
            </w:r>
          </w:p>
        </w:tc>
        <w:tc>
          <w:tcPr>
            <w:tcW w:w="549" w:type="dxa"/>
            <w:tcBorders/>
            <w:shd w:fill="FFFFFF" w:val="clear"/>
            <w:vAlign w:val="center"/>
          </w:tcPr>
          <w:p>
            <w:pPr>
              <w:pStyle w:val="TableContents"/>
              <w:bidi w:val="0"/>
              <w:spacing w:before="0" w:after="283"/>
              <w:jc w:val="left"/>
              <w:rPr/>
            </w:pPr>
            <w:r>
              <w:rPr/>
              <w:t> </w:t>
            </w:r>
          </w:p>
        </w:tc>
        <w:tc>
          <w:tcPr>
            <w:tcW w:w="16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2,623</w:t>
            </w:r>
          </w:p>
        </w:tc>
        <w:tc>
          <w:tcPr>
            <w:tcW w:w="16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71"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1,896</w:t>
            </w:r>
          </w:p>
        </w:tc>
        <w:tc>
          <w:tcPr>
            <w:tcW w:w="211" w:type="dxa"/>
            <w:tcBorders/>
            <w:shd w:fill="FFFFFF" w:val="clear"/>
            <w:vAlign w:val="center"/>
          </w:tcPr>
          <w:p>
            <w:pPr>
              <w:pStyle w:val="TableContents"/>
              <w:bidi w:val="0"/>
              <w:spacing w:before="0" w:after="283"/>
              <w:jc w:val="left"/>
              <w:rPr/>
            </w:pPr>
            <w:r>
              <w:rPr/>
              <w:t> </w:t>
            </w:r>
          </w:p>
        </w:tc>
      </w:tr>
      <w:tr>
        <w:trPr/>
        <w:tc>
          <w:tcPr>
            <w:tcW w:w="16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Up 100 basis points</w:t>
            </w:r>
          </w:p>
        </w:tc>
        <w:tc>
          <w:tcPr>
            <w:tcW w:w="549" w:type="dxa"/>
            <w:tcBorders/>
            <w:shd w:fill="CFF0FC" w:val="clear"/>
            <w:vAlign w:val="center"/>
          </w:tcPr>
          <w:p>
            <w:pPr>
              <w:pStyle w:val="TableContents"/>
              <w:bidi w:val="0"/>
              <w:spacing w:before="0" w:after="283"/>
              <w:jc w:val="left"/>
              <w:rPr/>
            </w:pPr>
            <w:r>
              <w:rPr/>
              <w:t> </w:t>
            </w:r>
          </w:p>
        </w:tc>
        <w:tc>
          <w:tcPr>
            <w:tcW w:w="16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1,312</w:t>
            </w:r>
          </w:p>
        </w:tc>
        <w:tc>
          <w:tcPr>
            <w:tcW w:w="16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92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71" w:type="dxa"/>
            <w:tcBorders/>
            <w:shd w:fill="CFF0FC" w:val="clear"/>
            <w:vAlign w:val="center"/>
          </w:tcPr>
          <w:p>
            <w:pPr>
              <w:pStyle w:val="TableContents"/>
              <w:bidi w:val="0"/>
              <w:spacing w:before="0" w:after="283"/>
              <w:jc w:val="left"/>
              <w:rPr/>
            </w:pPr>
            <w:r>
              <w:rPr/>
              <w:t> </w:t>
            </w:r>
          </w:p>
        </w:tc>
        <w:tc>
          <w:tcPr>
            <w:tcW w:w="79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949</w:t>
            </w:r>
          </w:p>
        </w:tc>
        <w:tc>
          <w:tcPr>
            <w:tcW w:w="211" w:type="dxa"/>
            <w:tcBorders/>
            <w:shd w:fill="CFF0FC"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Down 100 basis points</w:t>
            </w:r>
          </w:p>
        </w:tc>
        <w:tc>
          <w:tcPr>
            <w:tcW w:w="549" w:type="dxa"/>
            <w:tcBorders/>
            <w:shd w:fill="FFFFFF" w:val="clear"/>
            <w:vAlign w:val="center"/>
          </w:tcPr>
          <w:p>
            <w:pPr>
              <w:pStyle w:val="TableContents"/>
              <w:bidi w:val="0"/>
              <w:spacing w:before="0" w:after="283"/>
              <w:jc w:val="left"/>
              <w:rPr/>
            </w:pPr>
            <w:r>
              <w:rPr/>
              <w:t> </w:t>
            </w:r>
          </w:p>
        </w:tc>
        <w:tc>
          <w:tcPr>
            <w:tcW w:w="16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(1,312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1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363</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(949</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6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Down 200 basis points</w:t>
            </w:r>
          </w:p>
        </w:tc>
        <w:tc>
          <w:tcPr>
            <w:tcW w:w="549" w:type="dxa"/>
            <w:tcBorders/>
            <w:shd w:fill="CFF0FC" w:val="clear"/>
            <w:vAlign w:val="center"/>
          </w:tcPr>
          <w:p>
            <w:pPr>
              <w:pStyle w:val="TableContents"/>
              <w:bidi w:val="0"/>
              <w:spacing w:before="0" w:after="283"/>
              <w:jc w:val="left"/>
              <w:rPr/>
            </w:pPr>
            <w:r>
              <w:rPr/>
              <w:t> </w:t>
            </w:r>
          </w:p>
        </w:tc>
        <w:tc>
          <w:tcPr>
            <w:tcW w:w="16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(2,623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18" w:type="dxa"/>
            <w:tcBorders/>
            <w:shd w:fill="CFF0FC" w:val="clear"/>
            <w:vAlign w:val="center"/>
          </w:tcPr>
          <w:p>
            <w:pPr>
              <w:pStyle w:val="TableContents"/>
              <w:bidi w:val="0"/>
              <w:spacing w:before="0" w:after="283"/>
              <w:jc w:val="left"/>
              <w:rPr/>
            </w:pPr>
            <w:r>
              <w:rPr/>
              <w:t> </w:t>
            </w:r>
          </w:p>
        </w:tc>
        <w:tc>
          <w:tcPr>
            <w:tcW w:w="92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727</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9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(1,896</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6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Down 300 basis points</w:t>
            </w:r>
          </w:p>
        </w:tc>
        <w:tc>
          <w:tcPr>
            <w:tcW w:w="54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6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(3,873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1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2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1,090</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9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(2,783</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bl>
    <w:p>
      <w:pPr>
        <w:pStyle w:val="TextBody"/>
        <w:bidi w:val="0"/>
        <w:spacing w:before="240" w:after="120"/>
        <w:jc w:val="left"/>
        <w:rPr>
          <w:rFonts w:ascii="Times New Roman" w:hAnsi="Times New Roman"/>
          <w:b/>
          <w:color w:val="000000"/>
          <w:sz w:val="16"/>
        </w:rPr>
      </w:pPr>
      <w:bookmarkStart w:id="12" w:name="item_4_controls_and_procedures"/>
      <w:bookmarkEnd w:id="12"/>
      <w:r>
        <w:rPr>
          <w:rFonts w:ascii="Times New Roman" w:hAnsi="Times New Roman"/>
          <w:b/>
          <w:color w:val="000000"/>
          <w:sz w:val="16"/>
        </w:rPr>
        <w:t>Item 4. Controls and Procedures</w:t>
      </w:r>
    </w:p>
    <w:p>
      <w:pPr>
        <w:pStyle w:val="TextBody"/>
        <w:bidi w:val="0"/>
        <w:spacing w:before="0" w:after="0"/>
        <w:jc w:val="both"/>
        <w:rPr>
          <w:rFonts w:ascii="Times New Roman" w:hAnsi="Times New Roman"/>
          <w:b/>
          <w:i/>
          <w:color w:val="000000"/>
          <w:sz w:val="16"/>
        </w:rPr>
      </w:pPr>
      <w:r>
        <w:rPr>
          <w:rFonts w:ascii="Times New Roman" w:hAnsi="Times New Roman"/>
          <w:b/>
          <w:i/>
          <w:color w:val="000000"/>
          <w:sz w:val="16"/>
        </w:rPr>
        <w:t>(a)</w:t>
      </w:r>
    </w:p>
    <w:p>
      <w:pPr>
        <w:pStyle w:val="TextBody"/>
        <w:bidi w:val="0"/>
        <w:jc w:val="both"/>
        <w:rPr>
          <w:rFonts w:ascii="Times New Roman" w:hAnsi="Times New Roman"/>
          <w:b/>
          <w:i/>
          <w:color w:val="000000"/>
          <w:sz w:val="16"/>
        </w:rPr>
      </w:pPr>
      <w:r>
        <w:rPr>
          <w:rFonts w:ascii="Times New Roman" w:hAnsi="Times New Roman"/>
          <w:b/>
          <w:i/>
          <w:color w:val="000000"/>
          <w:sz w:val="16"/>
        </w:rPr>
        <w:t>Evaluation of Disclosure Controls and Procedures</w:t>
      </w:r>
    </w:p>
    <w:p>
      <w:pPr>
        <w:pStyle w:val="TextBody"/>
        <w:bidi w:val="0"/>
        <w:spacing w:before="120" w:after="120"/>
        <w:jc w:val="both"/>
        <w:rPr>
          <w:rFonts w:ascii="Times New Roman" w:hAnsi="Times New Roman"/>
          <w:sz w:val="20"/>
        </w:rPr>
      </w:pPr>
      <w:r>
        <w:rPr>
          <w:rFonts w:ascii="Times New Roman" w:hAnsi="Times New Roman"/>
          <w:b w:val="false"/>
          <w:color w:val="000000"/>
          <w:sz w:val="16"/>
        </w:rPr>
        <w:t>As of September 30, 2023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r>
        <w:rPr>
          <w:rFonts w:ascii="Times New Roman" w:hAnsi="Times New Roman"/>
          <w:color w:val="000000"/>
          <w:sz w:val="20"/>
        </w:rPr>
        <w:t xml:space="preserve"> </w:t>
      </w:r>
    </w:p>
    <w:p>
      <w:pPr>
        <w:pStyle w:val="TextBody"/>
        <w:bidi w:val="0"/>
        <w:spacing w:before="0" w:after="0"/>
        <w:jc w:val="both"/>
        <w:rPr>
          <w:rFonts w:ascii="Times New Roman" w:hAnsi="Times New Roman"/>
          <w:b/>
          <w:i/>
          <w:color w:val="000000"/>
          <w:sz w:val="16"/>
        </w:rPr>
      </w:pPr>
      <w:r>
        <w:rPr>
          <w:rFonts w:ascii="Times New Roman" w:hAnsi="Times New Roman"/>
          <w:b/>
          <w:i/>
          <w:color w:val="000000"/>
          <w:sz w:val="16"/>
        </w:rPr>
        <w:t>(b)</w:t>
      </w:r>
    </w:p>
    <w:p>
      <w:pPr>
        <w:pStyle w:val="TextBody"/>
        <w:bidi w:val="0"/>
        <w:jc w:val="both"/>
        <w:rPr>
          <w:rFonts w:ascii="Times New Roman" w:hAnsi="Times New Roman"/>
          <w:b/>
          <w:i/>
          <w:color w:val="000000"/>
          <w:sz w:val="16"/>
        </w:rPr>
      </w:pPr>
      <w:r>
        <w:rPr>
          <w:rFonts w:ascii="Times New Roman" w:hAnsi="Times New Roman"/>
          <w:b/>
          <w:i/>
          <w:color w:val="000000"/>
          <w:sz w:val="16"/>
        </w:rPr>
        <w:t>Changes in Internal Controls Over Financial Reporting</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Management has not identified any change in the Company’s internal control over financial reporting that occurred during the third quarter of 2023 that has materially affected, or is reasonably likely to materially affect, the Company’s internal control over financial reporting.</w:t>
      </w:r>
    </w:p>
    <w:p>
      <w:pPr>
        <w:pStyle w:val="TextBody"/>
        <w:bidi w:val="0"/>
        <w:spacing w:before="240" w:after="120"/>
        <w:jc w:val="both"/>
        <w:rPr>
          <w:rFonts w:ascii="Times New Roman" w:hAnsi="Times New Roman"/>
          <w:sz w:val="20"/>
        </w:rPr>
      </w:pPr>
      <w:bookmarkStart w:id="13" w:name="part_ii_other_information"/>
      <w:bookmarkEnd w:id="13"/>
      <w:r>
        <w:rPr>
          <w:rFonts w:ascii="Times New Roman" w:hAnsi="Times New Roman"/>
          <w:b/>
          <w:color w:val="000000"/>
          <w:sz w:val="16"/>
        </w:rPr>
        <w:t>PART II. OTHER</w:t>
      </w:r>
      <w:r>
        <w:rPr>
          <w:rFonts w:ascii="Times New Roman" w:hAnsi="Times New Roman"/>
          <w:color w:val="000000"/>
          <w:sz w:val="20"/>
        </w:rPr>
        <w:t xml:space="preserve"> </w:t>
      </w:r>
      <w:r>
        <w:rPr>
          <w:rFonts w:ascii="Times New Roman" w:hAnsi="Times New Roman"/>
          <w:b/>
          <w:color w:val="000000"/>
          <w:sz w:val="16"/>
        </w:rPr>
        <w:t>INFORMATION</w:t>
      </w:r>
    </w:p>
    <w:p>
      <w:pPr>
        <w:pStyle w:val="TextBody"/>
        <w:bidi w:val="0"/>
        <w:jc w:val="both"/>
        <w:rPr>
          <w:rFonts w:ascii="Times New Roman" w:hAnsi="Times New Roman"/>
          <w:sz w:val="20"/>
        </w:rPr>
      </w:pPr>
      <w:bookmarkStart w:id="14" w:name="item_1_legal_proceedings"/>
      <w:bookmarkEnd w:id="14"/>
      <w:r>
        <w:rPr>
          <w:rFonts w:ascii="Times New Roman" w:hAnsi="Times New Roman"/>
          <w:b/>
          <w:color w:val="000000"/>
          <w:sz w:val="16"/>
        </w:rPr>
        <w:t>Item 1. 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16"/>
        </w:rPr>
        <w:t>We and our subsidiaries are not currently subject to any material legal proceedings, nor, to our knowledge, is any material legal proceeding threatened against us or our subsidiaries. From time to time, we, or our subsidiaries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these legal proceedings, if any, cannot be predicted with certainty, we do not expect that these proceedings will have a material effect upon our financial condition or results of operations.</w:t>
      </w:r>
      <w:r>
        <w:rPr>
          <w:rFonts w:ascii="Times New Roman" w:hAnsi="Times New Roman"/>
          <w:color w:val="000000"/>
          <w:sz w:val="20"/>
        </w:rPr>
        <w:t xml:space="preserve"> </w:t>
      </w:r>
    </w:p>
    <w:p>
      <w:pPr>
        <w:pStyle w:val="TextBody"/>
        <w:bidi w:val="0"/>
        <w:spacing w:before="240" w:after="120"/>
        <w:jc w:val="both"/>
        <w:rPr>
          <w:rFonts w:ascii="Times New Roman" w:hAnsi="Times New Roman"/>
          <w:sz w:val="20"/>
        </w:rPr>
      </w:pPr>
      <w:bookmarkStart w:id="15" w:name="item_1a_risk_factors"/>
      <w:bookmarkEnd w:id="15"/>
      <w:r>
        <w:rPr>
          <w:rFonts w:ascii="Times New Roman" w:hAnsi="Times New Roman"/>
          <w:b/>
          <w:color w:val="000000"/>
          <w:sz w:val="16"/>
        </w:rPr>
        <w:t>Item 1A. Risk Factors</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b w:val="false"/>
          <w:color w:val="000000"/>
          <w:sz w:val="16"/>
        </w:rPr>
        <w:t>In addition to the other information set forth in this report, you should carefully consider the factors discussed in Part I, “Item 1A. Risk Factors” in our Annual Report on Form 10-K for the fiscal year ended December 31, 2022</w:t>
      </w:r>
      <w:r>
        <w:rPr>
          <w:rFonts w:ascii="Times New Roman" w:hAnsi="Times New Roman"/>
          <w:color w:val="000000"/>
          <w:sz w:val="20"/>
        </w:rPr>
        <w:t xml:space="preserve"> </w:t>
      </w:r>
      <w:r>
        <w:rPr>
          <w:rFonts w:ascii="Times New Roman" w:hAnsi="Times New Roman"/>
          <w:b w:val="false"/>
          <w:color w:val="000000"/>
          <w:sz w:val="16"/>
        </w:rPr>
        <w:t>(the “Annual Report on Form 10-K”), which could materially affect our business, financial condition and/or operating results. The risks described in the Annual Report on Form 10-K are not the only risks we face. Additional risks and uncertainties that are not currently known to us or that we currently deem to be immaterial also may materially adversely affect our business, financial condition and/or operating results. There have been no material changes from the risk factors set forth in the Annual Report on Form 10-K.</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b/>
          <w:color w:val="000000"/>
          <w:sz w:val="16"/>
        </w:rPr>
      </w:pPr>
      <w:bookmarkStart w:id="16" w:name="item_2_unregistered_sales_of_equity"/>
      <w:bookmarkEnd w:id="16"/>
      <w:r>
        <w:rPr>
          <w:rFonts w:ascii="Times New Roman" w:hAnsi="Times New Roman"/>
          <w:b/>
          <w:color w:val="000000"/>
          <w:sz w:val="16"/>
        </w:rPr>
        <w:t>Item 2. Unregistered Sales of Equity Securities, Use of Proceeds, and Issuer Purchases of Equity Securities</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Other than the shares issued pursuant to our DRIP, we did not engage in any sales of unregistered securities during the period covered in this report. We issued a total of 53 shares and 240 shares, respectively, of common stock under our DRIP during the three and nine months ended September 30, 2023. This issuance was not subject to the registration requirements of the Securities Act. For both the three and nine months ended September 30, 2023, the aggregate value of the shares of our common stock issued under our DRIP was less than $0.1 million.</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The following table sets forth information regarding recent repurchases of shares of our common stock.</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601"/>
        <w:gridCol w:w="265"/>
        <w:gridCol w:w="1094"/>
        <w:gridCol w:w="146"/>
        <w:gridCol w:w="263"/>
        <w:gridCol w:w="195"/>
        <w:gridCol w:w="686"/>
        <w:gridCol w:w="146"/>
        <w:gridCol w:w="482"/>
        <w:gridCol w:w="1987"/>
        <w:gridCol w:w="146"/>
        <w:gridCol w:w="872"/>
        <w:gridCol w:w="650"/>
        <w:gridCol w:w="1477"/>
        <w:gridCol w:w="195"/>
      </w:tblGrid>
      <w:tr>
        <w:trPr/>
        <w:tc>
          <w:tcPr>
            <w:tcW w:w="16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3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Number of Shares Purchased as Part of Publicly Announced Plans or Programs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Dollar Value of Shares That May Yet Be Purchased Under the Plans or Programs (in millions)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January 1, 2023 through January 31, 2023</w:t>
            </w:r>
          </w:p>
        </w:tc>
        <w:tc>
          <w:tcPr>
            <w:tcW w:w="265" w:type="dxa"/>
            <w:tcBorders/>
            <w:shd w:fill="CFF0FC" w:val="clear"/>
            <w:vAlign w:val="center"/>
          </w:tcPr>
          <w:p>
            <w:pPr>
              <w:pStyle w:val="TableContents"/>
              <w:bidi w:val="0"/>
              <w:spacing w:before="0" w:after="283"/>
              <w:jc w:val="left"/>
              <w:rPr/>
            </w:pPr>
            <w:r>
              <w:rPr/>
              <w:t> </w:t>
            </w:r>
          </w:p>
        </w:tc>
        <w:tc>
          <w:tcPr>
            <w:tcW w:w="109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881" w:type="dxa"/>
            <w:gridSpan w:val="2"/>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482" w:type="dxa"/>
            <w:tcBorders/>
            <w:shd w:fill="CFF0FC" w:val="clear"/>
            <w:vAlign w:val="center"/>
          </w:tcPr>
          <w:p>
            <w:pPr>
              <w:pStyle w:val="TableContents"/>
              <w:bidi w:val="0"/>
              <w:spacing w:before="0" w:after="283"/>
              <w:jc w:val="left"/>
              <w:rPr/>
            </w:pPr>
            <w:r>
              <w:rPr/>
              <w:t> </w:t>
            </w:r>
          </w:p>
        </w:tc>
        <w:tc>
          <w:tcPr>
            <w:tcW w:w="198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2127" w:type="dxa"/>
            <w:gridSpan w:val="2"/>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195" w:type="dxa"/>
            <w:tcBorders/>
            <w:shd w:fill="CFF0FC" w:val="clear"/>
            <w:vAlign w:val="center"/>
          </w:tcPr>
          <w:p>
            <w:pPr>
              <w:pStyle w:val="TableContents"/>
              <w:bidi w:val="0"/>
              <w:spacing w:before="0" w:after="283"/>
              <w:jc w:val="right"/>
              <w:rPr/>
            </w:pPr>
            <w:r>
              <w:rPr/>
              <w:t> </w:t>
            </w:r>
          </w:p>
        </w:tc>
      </w:tr>
      <w:tr>
        <w:trPr/>
        <w:tc>
          <w:tcPr>
            <w:tcW w:w="160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February 1, 2023 through February 28, 2023</w:t>
            </w:r>
          </w:p>
        </w:tc>
        <w:tc>
          <w:tcPr>
            <w:tcW w:w="26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right"/>
              <w:rPr/>
            </w:pPr>
            <w:r>
              <w:rPr/>
              <w:t> </w:t>
            </w:r>
          </w:p>
        </w:tc>
        <w:tc>
          <w:tcPr>
            <w:tcW w:w="881" w:type="dxa"/>
            <w:gridSpan w:val="2"/>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482" w:type="dxa"/>
            <w:tcBorders/>
            <w:shd w:fill="FFFFFF" w:val="clear"/>
            <w:vAlign w:val="center"/>
          </w:tcPr>
          <w:p>
            <w:pPr>
              <w:pStyle w:val="TableContents"/>
              <w:bidi w:val="0"/>
              <w:spacing w:before="0" w:after="283"/>
              <w:jc w:val="left"/>
              <w:rPr/>
            </w:pPr>
            <w:r>
              <w:rPr/>
              <w:t> </w:t>
            </w:r>
          </w:p>
        </w:tc>
        <w:tc>
          <w:tcPr>
            <w:tcW w:w="198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2127" w:type="dxa"/>
            <w:gridSpan w:val="2"/>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N/A</w:t>
            </w:r>
          </w:p>
        </w:tc>
        <w:tc>
          <w:tcPr>
            <w:tcW w:w="195" w:type="dxa"/>
            <w:tcBorders/>
            <w:shd w:fill="FFFFFF" w:val="clear"/>
            <w:vAlign w:val="center"/>
          </w:tcPr>
          <w:p>
            <w:pPr>
              <w:pStyle w:val="TableContents"/>
              <w:bidi w:val="0"/>
              <w:spacing w:before="0" w:after="283"/>
              <w:jc w:val="right"/>
              <w:rPr/>
            </w:pPr>
            <w:r>
              <w:rPr/>
              <w:t> </w:t>
            </w:r>
          </w:p>
        </w:tc>
      </w:tr>
      <w:tr>
        <w:trPr/>
        <w:tc>
          <w:tcPr>
            <w:tcW w:w="160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March 1, 2023 through March 31, 2023</w:t>
            </w:r>
          </w:p>
        </w:tc>
        <w:tc>
          <w:tcPr>
            <w:tcW w:w="265" w:type="dxa"/>
            <w:tcBorders/>
            <w:shd w:fill="CFF0FC" w:val="clear"/>
            <w:vAlign w:val="center"/>
          </w:tcPr>
          <w:p>
            <w:pPr>
              <w:pStyle w:val="TableContents"/>
              <w:bidi w:val="0"/>
              <w:spacing w:before="0" w:after="283"/>
              <w:jc w:val="left"/>
              <w:rPr/>
            </w:pPr>
            <w:r>
              <w:rPr/>
              <w:t> </w:t>
            </w:r>
          </w:p>
        </w:tc>
        <w:tc>
          <w:tcPr>
            <w:tcW w:w="109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1,625</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20.90</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198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1,625</w:t>
            </w:r>
          </w:p>
        </w:tc>
        <w:tc>
          <w:tcPr>
            <w:tcW w:w="146"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pPr>
            <w:r>
              <w:rPr/>
              <w:t> </w:t>
            </w:r>
          </w:p>
        </w:tc>
        <w:tc>
          <w:tcPr>
            <w:tcW w:w="650" w:type="dxa"/>
            <w:tcBorders/>
            <w:shd w:fill="CFF0FC" w:val="clear"/>
            <w:vAlign w:val="center"/>
          </w:tcPr>
          <w:p>
            <w:pPr>
              <w:pStyle w:val="TableContents"/>
              <w:bidi w:val="0"/>
              <w:spacing w:before="0" w:after="283"/>
              <w:jc w:val="left"/>
              <w:rPr/>
            </w:pPr>
            <w:r>
              <w:rPr/>
              <w:t> </w:t>
            </w:r>
          </w:p>
        </w:tc>
        <w:tc>
          <w:tcPr>
            <w:tcW w:w="147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w:t>
            </w:r>
          </w:p>
        </w:tc>
        <w:tc>
          <w:tcPr>
            <w:tcW w:w="195" w:type="dxa"/>
            <w:tcBorders/>
            <w:shd w:fill="CFF0FC" w:val="clear"/>
            <w:vAlign w:val="center"/>
          </w:tcPr>
          <w:p>
            <w:pPr>
              <w:pStyle w:val="TableContents"/>
              <w:bidi w:val="0"/>
              <w:spacing w:before="0" w:after="283"/>
              <w:jc w:val="left"/>
              <w:rPr/>
            </w:pPr>
            <w:r>
              <w:rPr/>
              <w:t> </w:t>
            </w:r>
          </w:p>
        </w:tc>
      </w:tr>
      <w:tr>
        <w:trPr/>
        <w:tc>
          <w:tcPr>
            <w:tcW w:w="160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April 1, 2023 through April 30, 2023</w:t>
            </w:r>
          </w:p>
        </w:tc>
        <w:tc>
          <w:tcPr>
            <w:tcW w:w="26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3,551</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21.10</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98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3,551</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650" w:type="dxa"/>
            <w:tcBorders/>
            <w:shd w:fill="FFFFFF" w:val="clear"/>
            <w:vAlign w:val="center"/>
          </w:tcPr>
          <w:p>
            <w:pPr>
              <w:pStyle w:val="TableContents"/>
              <w:bidi w:val="0"/>
              <w:spacing w:before="0" w:after="283"/>
              <w:jc w:val="left"/>
              <w:rPr/>
            </w:pPr>
            <w:r>
              <w:rPr/>
              <w:t> </w:t>
            </w:r>
          </w:p>
        </w:tc>
        <w:tc>
          <w:tcPr>
            <w:tcW w:w="147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w:t>
            </w:r>
          </w:p>
        </w:tc>
        <w:tc>
          <w:tcPr>
            <w:tcW w:w="195" w:type="dxa"/>
            <w:tcBorders/>
            <w:shd w:fill="FFFFFF" w:val="clear"/>
            <w:vAlign w:val="center"/>
          </w:tcPr>
          <w:p>
            <w:pPr>
              <w:pStyle w:val="TableContents"/>
              <w:bidi w:val="0"/>
              <w:spacing w:before="0" w:after="283"/>
              <w:jc w:val="left"/>
              <w:rPr/>
            </w:pPr>
            <w:r>
              <w:rPr/>
              <w:t> </w:t>
            </w:r>
          </w:p>
        </w:tc>
      </w:tr>
      <w:tr>
        <w:trPr/>
        <w:tc>
          <w:tcPr>
            <w:tcW w:w="160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May 1, 2023 through May 31, 2023</w:t>
            </w:r>
          </w:p>
        </w:tc>
        <w:tc>
          <w:tcPr>
            <w:tcW w:w="265" w:type="dxa"/>
            <w:tcBorders/>
            <w:shd w:fill="CFF0FC" w:val="clear"/>
            <w:vAlign w:val="center"/>
          </w:tcPr>
          <w:p>
            <w:pPr>
              <w:pStyle w:val="TableContents"/>
              <w:bidi w:val="0"/>
              <w:spacing w:before="0" w:after="283"/>
              <w:jc w:val="left"/>
              <w:rPr/>
            </w:pPr>
            <w:r>
              <w:rPr/>
              <w:t> </w:t>
            </w:r>
          </w:p>
        </w:tc>
        <w:tc>
          <w:tcPr>
            <w:tcW w:w="109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3,644</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20.61</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198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3,644</w:t>
            </w:r>
          </w:p>
        </w:tc>
        <w:tc>
          <w:tcPr>
            <w:tcW w:w="146"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pPr>
            <w:r>
              <w:rPr/>
              <w:t> </w:t>
            </w:r>
          </w:p>
        </w:tc>
        <w:tc>
          <w:tcPr>
            <w:tcW w:w="650" w:type="dxa"/>
            <w:tcBorders/>
            <w:shd w:fill="CFF0FC" w:val="clear"/>
            <w:vAlign w:val="center"/>
          </w:tcPr>
          <w:p>
            <w:pPr>
              <w:pStyle w:val="TableContents"/>
              <w:bidi w:val="0"/>
              <w:spacing w:before="0" w:after="283"/>
              <w:jc w:val="left"/>
              <w:rPr/>
            </w:pPr>
            <w:r>
              <w:rPr/>
              <w:t> </w:t>
            </w:r>
          </w:p>
        </w:tc>
        <w:tc>
          <w:tcPr>
            <w:tcW w:w="147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w:t>
            </w:r>
          </w:p>
        </w:tc>
        <w:tc>
          <w:tcPr>
            <w:tcW w:w="195" w:type="dxa"/>
            <w:tcBorders/>
            <w:shd w:fill="CFF0FC" w:val="clear"/>
            <w:vAlign w:val="center"/>
          </w:tcPr>
          <w:p>
            <w:pPr>
              <w:pStyle w:val="TableContents"/>
              <w:bidi w:val="0"/>
              <w:spacing w:before="0" w:after="283"/>
              <w:jc w:val="left"/>
              <w:rPr/>
            </w:pPr>
            <w:r>
              <w:rPr/>
              <w:t> </w:t>
            </w:r>
          </w:p>
        </w:tc>
      </w:tr>
      <w:tr>
        <w:trPr/>
        <w:tc>
          <w:tcPr>
            <w:tcW w:w="160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June 1, 2023 through June 30, 2023</w:t>
            </w:r>
          </w:p>
        </w:tc>
        <w:tc>
          <w:tcPr>
            <w:tcW w:w="26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5,292</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19.85</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98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5,292</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650" w:type="dxa"/>
            <w:tcBorders/>
            <w:shd w:fill="FFFFFF" w:val="clear"/>
            <w:vAlign w:val="center"/>
          </w:tcPr>
          <w:p>
            <w:pPr>
              <w:pStyle w:val="TableContents"/>
              <w:bidi w:val="0"/>
              <w:spacing w:before="0" w:after="283"/>
              <w:jc w:val="left"/>
              <w:rPr/>
            </w:pPr>
            <w:r>
              <w:rPr/>
              <w:t> </w:t>
            </w:r>
          </w:p>
        </w:tc>
        <w:tc>
          <w:tcPr>
            <w:tcW w:w="147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w:t>
            </w:r>
          </w:p>
        </w:tc>
        <w:tc>
          <w:tcPr>
            <w:tcW w:w="195" w:type="dxa"/>
            <w:tcBorders/>
            <w:shd w:fill="FFFFFF" w:val="clear"/>
            <w:vAlign w:val="center"/>
          </w:tcPr>
          <w:p>
            <w:pPr>
              <w:pStyle w:val="TableContents"/>
              <w:bidi w:val="0"/>
              <w:spacing w:before="0" w:after="283"/>
              <w:jc w:val="left"/>
              <w:rPr/>
            </w:pPr>
            <w:r>
              <w:rPr/>
              <w:t> </w:t>
            </w:r>
          </w:p>
        </w:tc>
      </w:tr>
      <w:tr>
        <w:trPr/>
        <w:tc>
          <w:tcPr>
            <w:tcW w:w="160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July 1, 2023 through July 31, 2023</w:t>
            </w:r>
          </w:p>
        </w:tc>
        <w:tc>
          <w:tcPr>
            <w:tcW w:w="265" w:type="dxa"/>
            <w:tcBorders/>
            <w:shd w:fill="CFF0FC" w:val="clear"/>
            <w:vAlign w:val="center"/>
          </w:tcPr>
          <w:p>
            <w:pPr>
              <w:pStyle w:val="TableContents"/>
              <w:bidi w:val="0"/>
              <w:spacing w:before="0" w:after="283"/>
              <w:jc w:val="left"/>
              <w:rPr/>
            </w:pPr>
            <w:r>
              <w:rPr/>
              <w:t> </w:t>
            </w:r>
          </w:p>
        </w:tc>
        <w:tc>
          <w:tcPr>
            <w:tcW w:w="109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5,375</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21.14</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198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5,375</w:t>
            </w:r>
          </w:p>
        </w:tc>
        <w:tc>
          <w:tcPr>
            <w:tcW w:w="146"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pPr>
            <w:r>
              <w:rPr/>
              <w:t> </w:t>
            </w:r>
          </w:p>
        </w:tc>
        <w:tc>
          <w:tcPr>
            <w:tcW w:w="650" w:type="dxa"/>
            <w:tcBorders/>
            <w:shd w:fill="CFF0FC" w:val="clear"/>
            <w:vAlign w:val="center"/>
          </w:tcPr>
          <w:p>
            <w:pPr>
              <w:pStyle w:val="TableContents"/>
              <w:bidi w:val="0"/>
              <w:spacing w:before="0" w:after="283"/>
              <w:jc w:val="left"/>
              <w:rPr/>
            </w:pPr>
            <w:r>
              <w:rPr/>
              <w:t> </w:t>
            </w:r>
          </w:p>
        </w:tc>
        <w:tc>
          <w:tcPr>
            <w:tcW w:w="147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w:t>
            </w:r>
          </w:p>
        </w:tc>
        <w:tc>
          <w:tcPr>
            <w:tcW w:w="195" w:type="dxa"/>
            <w:tcBorders/>
            <w:shd w:fill="CFF0FC" w:val="clear"/>
            <w:vAlign w:val="center"/>
          </w:tcPr>
          <w:p>
            <w:pPr>
              <w:pStyle w:val="TableContents"/>
              <w:bidi w:val="0"/>
              <w:spacing w:before="0" w:after="283"/>
              <w:jc w:val="left"/>
              <w:rPr/>
            </w:pPr>
            <w:r>
              <w:rPr/>
              <w:t> </w:t>
            </w:r>
          </w:p>
        </w:tc>
      </w:tr>
      <w:tr>
        <w:trPr/>
        <w:tc>
          <w:tcPr>
            <w:tcW w:w="160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August 1, 2023 through August 31, 2023</w:t>
            </w:r>
          </w:p>
        </w:tc>
        <w:tc>
          <w:tcPr>
            <w:tcW w:w="26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6,524</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21.29</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98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6,524</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650" w:type="dxa"/>
            <w:tcBorders/>
            <w:shd w:fill="FFFFFF" w:val="clear"/>
            <w:vAlign w:val="center"/>
          </w:tcPr>
          <w:p>
            <w:pPr>
              <w:pStyle w:val="TableContents"/>
              <w:bidi w:val="0"/>
              <w:spacing w:before="0" w:after="283"/>
              <w:jc w:val="left"/>
              <w:rPr/>
            </w:pPr>
            <w:r>
              <w:rPr/>
              <w:t> </w:t>
            </w:r>
          </w:p>
        </w:tc>
        <w:tc>
          <w:tcPr>
            <w:tcW w:w="147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w:t>
            </w:r>
          </w:p>
        </w:tc>
        <w:tc>
          <w:tcPr>
            <w:tcW w:w="195" w:type="dxa"/>
            <w:tcBorders/>
            <w:shd w:fill="FFFFFF" w:val="clear"/>
            <w:vAlign w:val="center"/>
          </w:tcPr>
          <w:p>
            <w:pPr>
              <w:pStyle w:val="TableContents"/>
              <w:bidi w:val="0"/>
              <w:spacing w:before="0" w:after="283"/>
              <w:jc w:val="left"/>
              <w:rPr/>
            </w:pPr>
            <w:r>
              <w:rPr/>
              <w:t> </w:t>
            </w:r>
          </w:p>
        </w:tc>
      </w:tr>
      <w:tr>
        <w:trPr/>
        <w:tc>
          <w:tcPr>
            <w:tcW w:w="160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September 1, 2023 through September 30, 2023</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21.22</w:t>
            </w:r>
          </w:p>
        </w:tc>
        <w:tc>
          <w:tcPr>
            <w:tcW w:w="146" w:type="dxa"/>
            <w:tcBorders/>
            <w:shd w:fill="CFF0FC" w:val="cle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pPr>
            <w:r>
              <w:rPr/>
              <w:t> </w:t>
            </w:r>
          </w:p>
        </w:tc>
        <w:tc>
          <w:tcPr>
            <w:tcW w:w="650" w:type="dxa"/>
            <w:tcBorders/>
            <w:shd w:fill="CFF0FC" w:val="clear"/>
            <w:vAlign w:val="center"/>
          </w:tcPr>
          <w:p>
            <w:pPr>
              <w:pStyle w:val="TableContents"/>
              <w:bidi w:val="0"/>
              <w:spacing w:before="0" w:after="283"/>
              <w:jc w:val="left"/>
              <w:rPr/>
            </w:pPr>
            <w:r>
              <w:rPr/>
              <w:t> </w:t>
            </w:r>
          </w:p>
        </w:tc>
        <w:tc>
          <w:tcPr>
            <w:tcW w:w="147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w:t>
            </w:r>
          </w:p>
        </w:tc>
        <w:tc>
          <w:tcPr>
            <w:tcW w:w="195" w:type="dxa"/>
            <w:tcBorders/>
            <w:shd w:fill="CFF0FC" w:val="clear"/>
            <w:vAlign w:val="center"/>
          </w:tcPr>
          <w:p>
            <w:pPr>
              <w:pStyle w:val="TableContents"/>
              <w:bidi w:val="0"/>
              <w:spacing w:before="0" w:after="283"/>
              <w:jc w:val="left"/>
              <w:rPr/>
            </w:pPr>
            <w:r>
              <w:rPr/>
              <w:t> </w:t>
            </w:r>
          </w:p>
        </w:tc>
      </w:tr>
      <w:tr>
        <w:trPr/>
        <w:tc>
          <w:tcPr>
            <w:tcW w:w="160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31,496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right"/>
              <w:rPr/>
            </w:pPr>
            <w:r>
              <w:rPr/>
              <w:t> </w:t>
            </w:r>
          </w:p>
        </w:tc>
        <w:tc>
          <w:tcPr>
            <w:tcW w:w="88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31,496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2127"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r>
    </w:tbl>
    <w:p>
      <w:pPr>
        <w:pStyle w:val="TextBody"/>
        <w:bidi w:val="0"/>
        <w:jc w:val="both"/>
        <w:rPr/>
      </w:pPr>
      <w:r>
        <w:rPr/>
        <w:t> </w:t>
      </w:r>
    </w:p>
    <w:p>
      <w:pPr>
        <w:pStyle w:val="TextBody"/>
        <w:pBdr>
          <w:bottom w:val="single" w:sz="6" w:space="1" w:color="000000"/>
        </w:pBdr>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11"/>
        </w:rPr>
        <w:t>(1)</w:t>
      </w:r>
      <w:r>
        <w:rPr>
          <w:rFonts w:ascii="Times New Roman" w:hAnsi="Times New Roman"/>
          <w:color w:val="000000"/>
          <w:sz w:val="20"/>
        </w:rPr>
        <w:t xml:space="preserve"> </w:t>
      </w:r>
      <w:r>
        <w:rPr>
          <w:rFonts w:ascii="Times New Roman" w:hAnsi="Times New Roman"/>
          <w:b w:val="false"/>
          <w:color w:val="000000"/>
          <w:sz w:val="16"/>
        </w:rPr>
        <w:t>On March 6, 2023, the Company’s Board of Directors authorized a new share repurchase program, whereby the Company may repurchase up to an aggregate of $5.0 million of its outstanding common shares in the open market. Unless extended or discontinued by the Company’s Board of Directors, the repurchase program will terminate on March 31, 2024. The repurchase program may be extended, modified or discontinued at any time for any reason without prior notice. The repurchase program does not obligate the Company to acquire any specific number of shares, and all repurchases will be made in accordance with SEC Rule 10b-18 and accomplished through a Rule 10b5-1 plan, which sets certain restrictions on the method, timing, price and volume of share repurchases.</w:t>
      </w:r>
    </w:p>
    <w:p>
      <w:pPr>
        <w:pStyle w:val="TextBody"/>
        <w:bidi w:val="0"/>
        <w:spacing w:before="240" w:after="120"/>
        <w:jc w:val="both"/>
        <w:rPr>
          <w:rFonts w:ascii="Times New Roman" w:hAnsi="Times New Roman"/>
          <w:b/>
          <w:color w:val="000000"/>
          <w:sz w:val="16"/>
        </w:rPr>
      </w:pPr>
      <w:bookmarkStart w:id="17" w:name="item_3_defaults_upon_senior_securities"/>
      <w:bookmarkEnd w:id="17"/>
      <w:r>
        <w:rPr>
          <w:rFonts w:ascii="Times New Roman" w:hAnsi="Times New Roman"/>
          <w:b/>
          <w:color w:val="000000"/>
          <w:sz w:val="16"/>
        </w:rPr>
        <w:t>Item 3. Defaults Upon Senior Securities</w:t>
      </w:r>
    </w:p>
    <w:p>
      <w:pPr>
        <w:pStyle w:val="TextBody"/>
        <w:bidi w:val="0"/>
        <w:jc w:val="both"/>
        <w:rPr>
          <w:rFonts w:ascii="Times New Roman" w:hAnsi="Times New Roman"/>
          <w:sz w:val="20"/>
        </w:rPr>
      </w:pPr>
      <w:r>
        <w:rPr>
          <w:rFonts w:ascii="Times New Roman" w:hAnsi="Times New Roman"/>
          <w:b w:val="false"/>
          <w:color w:val="000000"/>
          <w:sz w:val="16"/>
        </w:rPr>
        <w:t>None.</w:t>
      </w:r>
      <w:r>
        <w:rPr>
          <w:rFonts w:ascii="Times New Roman" w:hAnsi="Times New Roman"/>
          <w:color w:val="000000"/>
          <w:sz w:val="20"/>
        </w:rPr>
        <w:t xml:space="preserve"> </w:t>
      </w:r>
    </w:p>
    <w:p>
      <w:pPr>
        <w:pStyle w:val="TextBody"/>
        <w:bidi w:val="0"/>
        <w:spacing w:before="240" w:after="120"/>
        <w:jc w:val="both"/>
        <w:rPr>
          <w:rFonts w:ascii="Times New Roman" w:hAnsi="Times New Roman"/>
          <w:b/>
          <w:color w:val="000000"/>
          <w:sz w:val="16"/>
        </w:rPr>
      </w:pPr>
      <w:bookmarkStart w:id="18" w:name="item_4_mine_safety_disclosures"/>
      <w:bookmarkEnd w:id="18"/>
      <w:r>
        <w:rPr>
          <w:rFonts w:ascii="Times New Roman" w:hAnsi="Times New Roman"/>
          <w:b/>
          <w:color w:val="000000"/>
          <w:sz w:val="16"/>
        </w:rPr>
        <w:t>Item 4. Mine Safety Disclosures</w:t>
      </w:r>
    </w:p>
    <w:p>
      <w:pPr>
        <w:pStyle w:val="TextBody"/>
        <w:bidi w:val="0"/>
        <w:jc w:val="both"/>
        <w:rPr>
          <w:rFonts w:ascii="Times New Roman" w:hAnsi="Times New Roman"/>
          <w:sz w:val="20"/>
        </w:rPr>
      </w:pPr>
      <w:r>
        <w:rPr>
          <w:rFonts w:ascii="Times New Roman" w:hAnsi="Times New Roman"/>
          <w:b w:val="false"/>
          <w:color w:val="000000"/>
          <w:sz w:val="16"/>
        </w:rPr>
        <w:t>Not applicable.</w:t>
      </w:r>
      <w:r>
        <w:rPr>
          <w:rFonts w:ascii="Times New Roman" w:hAnsi="Times New Roman"/>
          <w:color w:val="000000"/>
          <w:sz w:val="20"/>
        </w:rPr>
        <w:t xml:space="preserve"> </w:t>
      </w:r>
    </w:p>
    <w:p>
      <w:pPr>
        <w:pStyle w:val="TextBody"/>
        <w:bidi w:val="0"/>
        <w:spacing w:before="240" w:after="120"/>
        <w:jc w:val="both"/>
        <w:rPr>
          <w:rFonts w:ascii="Times New Roman" w:hAnsi="Times New Roman"/>
          <w:sz w:val="20"/>
        </w:rPr>
      </w:pPr>
      <w:bookmarkStart w:id="19" w:name="item_5_other_information"/>
      <w:bookmarkEnd w:id="19"/>
      <w:r>
        <w:rPr>
          <w:rFonts w:ascii="Times New Roman" w:hAnsi="Times New Roman"/>
          <w:b/>
          <w:color w:val="000000"/>
          <w:sz w:val="16"/>
        </w:rPr>
        <w:t>Item 5. Other</w:t>
      </w:r>
      <w:r>
        <w:rPr>
          <w:rFonts w:ascii="Times New Roman" w:hAnsi="Times New Roman"/>
          <w:color w:val="000000"/>
          <w:sz w:val="20"/>
        </w:rPr>
        <w:t xml:space="preserve"> </w:t>
      </w:r>
      <w:r>
        <w:rPr>
          <w:rFonts w:ascii="Times New Roman" w:hAnsi="Times New Roman"/>
          <w:b/>
          <w:color w:val="000000"/>
          <w:sz w:val="16"/>
        </w:rPr>
        <w:t>Information</w:t>
      </w:r>
    </w:p>
    <w:p>
      <w:pPr>
        <w:pStyle w:val="TextBody"/>
        <w:bidi w:val="0"/>
        <w:jc w:val="both"/>
        <w:rPr>
          <w:rFonts w:ascii="Times New Roman" w:hAnsi="Times New Roman"/>
          <w:sz w:val="20"/>
        </w:rPr>
      </w:pPr>
      <w:r>
        <w:rPr>
          <w:rFonts w:ascii="Times New Roman" w:hAnsi="Times New Roman"/>
          <w:b w:val="false"/>
          <w:color w:val="000000"/>
          <w:sz w:val="16"/>
        </w:rPr>
        <w:t>None.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sz w:val="20"/>
        </w:rPr>
      </w:pPr>
      <w:bookmarkStart w:id="20" w:name="item_6_exhibits"/>
      <w:bookmarkEnd w:id="20"/>
      <w:r>
        <w:rPr>
          <w:rFonts w:ascii="Times New Roman" w:hAnsi="Times New Roman"/>
          <w:b/>
          <w:color w:val="000000"/>
          <w:sz w:val="16"/>
        </w:rPr>
        <w:t>Item 6. Exhibits</w:t>
      </w:r>
      <w:r>
        <w:rPr>
          <w:rFonts w:ascii="Times New Roman" w:hAnsi="Times New Roman"/>
          <w:color w:val="000000"/>
          <w:sz w:val="20"/>
        </w:rPr>
        <w:t xml:space="preserve"> </w:t>
      </w:r>
    </w:p>
    <w:p>
      <w:pPr>
        <w:pStyle w:val="TextBody"/>
        <w:bidi w:val="0"/>
        <w:spacing w:before="0" w:after="120"/>
        <w:jc w:val="both"/>
        <w:rPr>
          <w:rFonts w:ascii="Times New Roman" w:hAnsi="Times New Roman"/>
          <w:b w:val="false"/>
          <w:color w:val="000000"/>
          <w:sz w:val="16"/>
        </w:rPr>
      </w:pPr>
      <w:r>
        <w:rPr>
          <w:rFonts w:ascii="Times New Roman" w:hAnsi="Times New Roman"/>
          <w:b w:val="false"/>
          <w:color w:val="000000"/>
          <w:sz w:val="16"/>
        </w:rPr>
        <w:t>The following exhibits are filed as part of this report or hereby incorporated by reference to exhibits previously filed with the SEC:</w:t>
      </w:r>
    </w:p>
    <w:tbl>
      <w:tblPr>
        <w:tblW w:w="10205" w:type="dxa"/>
        <w:jc w:val="left"/>
        <w:tblInd w:w="0" w:type="dxa"/>
        <w:tblLayout w:type="fixed"/>
        <w:tblCellMar>
          <w:top w:w="28" w:type="dxa"/>
          <w:left w:w="28" w:type="dxa"/>
          <w:bottom w:w="28" w:type="dxa"/>
          <w:right w:w="28" w:type="dxa"/>
        </w:tblCellMar>
      </w:tblPr>
      <w:tblGrid>
        <w:gridCol w:w="745"/>
        <w:gridCol w:w="146"/>
        <w:gridCol w:w="9314"/>
      </w:tblGrid>
      <w:tr>
        <w:trPr/>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4" w:type="dxa"/>
            <w:tcBorders/>
            <w:vAlign w:val="center"/>
          </w:tcPr>
          <w:p>
            <w:pPr>
              <w:pStyle w:val="TableContents"/>
              <w:bidi w:val="0"/>
              <w:spacing w:before="0" w:after="283"/>
              <w:jc w:val="left"/>
              <w:rPr>
                <w:sz w:val="4"/>
                <w:szCs w:val="4"/>
              </w:rPr>
            </w:pPr>
            <w:r>
              <w:rPr>
                <w:sz w:val="4"/>
                <w:szCs w:val="4"/>
              </w:rPr>
            </w:r>
          </w:p>
        </w:tc>
      </w:tr>
      <w:tr>
        <w:trPr/>
        <w:tc>
          <w:tcPr>
            <w:tcW w:w="745" w:type="dxa"/>
            <w:tcBorders/>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r>
          </w:p>
        </w:tc>
        <w:tc>
          <w:tcPr>
            <w:tcW w:w="146" w:type="dxa"/>
            <w:tcBorders/>
            <w:vAlign w:val="center"/>
          </w:tcPr>
          <w:p>
            <w:pPr>
              <w:pStyle w:val="TableContents"/>
              <w:bidi w:val="0"/>
              <w:spacing w:before="0" w:after="283"/>
              <w:jc w:val="left"/>
              <w:rPr>
                <w:sz w:val="4"/>
                <w:szCs w:val="4"/>
              </w:rPr>
            </w:pPr>
            <w:r>
              <w:rPr>
                <w:sz w:val="4"/>
                <w:szCs w:val="4"/>
              </w:rPr>
            </w:r>
          </w:p>
        </w:tc>
        <w:tc>
          <w:tcPr>
            <w:tcW w:w="9314" w:type="dxa"/>
            <w:tcBorders/>
            <w:vAlign w:val="center"/>
          </w:tcPr>
          <w:p>
            <w:pPr>
              <w:pStyle w:val="TableContents"/>
              <w:bidi w:val="0"/>
              <w:spacing w:before="0" w:after="283"/>
              <w:jc w:val="left"/>
              <w:rPr>
                <w:sz w:val="4"/>
                <w:szCs w:val="4"/>
              </w:rPr>
            </w:pPr>
            <w:r>
              <w:rPr>
                <w:sz w:val="4"/>
                <w:szCs w:val="4"/>
              </w:rPr>
            </w:r>
          </w:p>
        </w:tc>
      </w:tr>
      <w:tr>
        <w:trPr/>
        <w:tc>
          <w:tcPr>
            <w:tcW w:w="745"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4"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r>
      <w:tr>
        <w:trPr/>
        <w:tc>
          <w:tcPr>
            <w:tcW w:w="745" w:type="dxa"/>
            <w:tcBorders/>
            <w:vAlign w:val="center"/>
          </w:tcPr>
          <w:p>
            <w:pPr>
              <w:pStyle w:val="TableContents"/>
              <w:bidi w:val="0"/>
              <w:spacing w:before="0" w:after="283"/>
              <w:jc w:val="left"/>
              <w:rPr/>
            </w:pPr>
            <w:hyperlink r:id="rId2">
              <w:r>
                <w:rPr>
                  <w:rStyle w:val="InternetLink"/>
                  <w:rFonts w:ascii="Times New Roman" w:hAnsi="Times New Roman"/>
                  <w:b w:val="false"/>
                  <w:color w:val="0000FF"/>
                  <w:sz w:val="16"/>
                  <w:u w:val="single"/>
                </w:rPr>
                <w:t>3.1</w:t>
              </w:r>
            </w:hyperlink>
          </w:p>
        </w:tc>
        <w:tc>
          <w:tcPr>
            <w:tcW w:w="146" w:type="dxa"/>
            <w:tcBorders/>
            <w:vAlign w:val="center"/>
          </w:tcPr>
          <w:p>
            <w:pPr>
              <w:pStyle w:val="TableContents"/>
              <w:bidi w:val="0"/>
              <w:spacing w:before="0" w:after="283"/>
              <w:jc w:val="left"/>
              <w:rPr>
                <w:sz w:val="4"/>
                <w:szCs w:val="4"/>
              </w:rPr>
            </w:pPr>
            <w:r>
              <w:rPr>
                <w:sz w:val="4"/>
                <w:szCs w:val="4"/>
              </w:rPr>
            </w:r>
          </w:p>
        </w:tc>
        <w:tc>
          <w:tcPr>
            <w:tcW w:w="9314" w:type="dxa"/>
            <w:tcBorders/>
            <w:vAlign w:val="center"/>
          </w:tcPr>
          <w:p>
            <w:pPr>
              <w:pStyle w:val="TableContents"/>
              <w:bidi w:val="0"/>
              <w:spacing w:before="0" w:after="283"/>
              <w:jc w:val="both"/>
              <w:rPr/>
            </w:pPr>
            <w:hyperlink r:id="rId3">
              <w:r>
                <w:rPr>
                  <w:rStyle w:val="InternetLink"/>
                  <w:rFonts w:ascii="Times New Roman" w:hAnsi="Times New Roman"/>
                  <w:b w:val="false"/>
                  <w:color w:val="0000FF"/>
                  <w:sz w:val="16"/>
                  <w:u w:val="single"/>
                </w:rPr>
                <w:t>Articles of Amendment and Restatement</w:t>
              </w:r>
            </w:hyperlink>
            <w:hyperlink r:id="rId4">
              <w:r>
                <w:rPr>
                  <w:rStyle w:val="InternetLink"/>
                  <w:rFonts w:ascii="Times New Roman" w:hAnsi="Times New Roman"/>
                  <w:b w:val="false"/>
                  <w:color w:val="0000FF"/>
                  <w:sz w:val="11"/>
                  <w:u w:val="single"/>
                </w:rPr>
                <w:t>(1)</w:t>
              </w:r>
            </w:hyperlink>
          </w:p>
        </w:tc>
      </w:tr>
      <w:tr>
        <w:trPr/>
        <w:tc>
          <w:tcPr>
            <w:tcW w:w="745" w:type="dxa"/>
            <w:tcBorders/>
            <w:vAlign w:val="center"/>
          </w:tcPr>
          <w:p>
            <w:pPr>
              <w:pStyle w:val="TableContents"/>
              <w:bidi w:val="0"/>
              <w:spacing w:before="0" w:after="283"/>
              <w:jc w:val="left"/>
              <w:rPr/>
            </w:pPr>
            <w:hyperlink r:id="rId5">
              <w:r>
                <w:rPr>
                  <w:rStyle w:val="InternetLink"/>
                  <w:rFonts w:ascii="Times New Roman" w:hAnsi="Times New Roman"/>
                  <w:b w:val="false"/>
                  <w:color w:val="0000FF"/>
                  <w:sz w:val="16"/>
                  <w:u w:val="single"/>
                </w:rPr>
                <w:t>3.2</w:t>
              </w:r>
            </w:hyperlink>
          </w:p>
        </w:tc>
        <w:tc>
          <w:tcPr>
            <w:tcW w:w="146" w:type="dxa"/>
            <w:tcBorders/>
            <w:vAlign w:val="center"/>
          </w:tcPr>
          <w:p>
            <w:pPr>
              <w:pStyle w:val="TableContents"/>
              <w:bidi w:val="0"/>
              <w:spacing w:before="0" w:after="283"/>
              <w:jc w:val="left"/>
              <w:rPr>
                <w:sz w:val="4"/>
                <w:szCs w:val="4"/>
              </w:rPr>
            </w:pPr>
            <w:r>
              <w:rPr>
                <w:sz w:val="4"/>
                <w:szCs w:val="4"/>
              </w:rPr>
            </w:r>
          </w:p>
        </w:tc>
        <w:tc>
          <w:tcPr>
            <w:tcW w:w="9314" w:type="dxa"/>
            <w:tcBorders/>
            <w:vAlign w:val="center"/>
          </w:tcPr>
          <w:p>
            <w:pPr>
              <w:pStyle w:val="TableContents"/>
              <w:bidi w:val="0"/>
              <w:spacing w:before="0" w:after="283"/>
              <w:jc w:val="both"/>
              <w:rPr/>
            </w:pPr>
            <w:hyperlink r:id="rId6">
              <w:r>
                <w:rPr>
                  <w:rStyle w:val="InternetLink"/>
                  <w:rFonts w:ascii="Times New Roman" w:hAnsi="Times New Roman"/>
                  <w:b w:val="false"/>
                  <w:color w:val="0000FF"/>
                  <w:sz w:val="16"/>
                  <w:u w:val="single"/>
                </w:rPr>
                <w:t>Articles of Amendment</w:t>
              </w:r>
            </w:hyperlink>
            <w:hyperlink r:id="rId7">
              <w:r>
                <w:rPr>
                  <w:rStyle w:val="InternetLink"/>
                  <w:rFonts w:ascii="Times New Roman" w:hAnsi="Times New Roman"/>
                  <w:b w:val="false"/>
                  <w:color w:val="0000FF"/>
                  <w:sz w:val="11"/>
                  <w:u w:val="single"/>
                </w:rPr>
                <w:t>(4)</w:t>
              </w:r>
            </w:hyperlink>
          </w:p>
        </w:tc>
      </w:tr>
      <w:tr>
        <w:trPr/>
        <w:tc>
          <w:tcPr>
            <w:tcW w:w="745" w:type="dxa"/>
            <w:tcBorders/>
            <w:vAlign w:val="center"/>
          </w:tcPr>
          <w:p>
            <w:pPr>
              <w:pStyle w:val="TableContents"/>
              <w:bidi w:val="0"/>
              <w:spacing w:before="0" w:after="283"/>
              <w:jc w:val="left"/>
              <w:rPr/>
            </w:pPr>
            <w:hyperlink r:id="rId8">
              <w:r>
                <w:rPr>
                  <w:rStyle w:val="InternetLink"/>
                  <w:rFonts w:ascii="Times New Roman" w:hAnsi="Times New Roman"/>
                  <w:b w:val="false"/>
                  <w:color w:val="0000FF"/>
                  <w:sz w:val="16"/>
                  <w:u w:val="single"/>
                </w:rPr>
                <w:t>3.3</w:t>
              </w:r>
            </w:hyperlink>
          </w:p>
        </w:tc>
        <w:tc>
          <w:tcPr>
            <w:tcW w:w="146" w:type="dxa"/>
            <w:tcBorders/>
            <w:vAlign w:val="center"/>
          </w:tcPr>
          <w:p>
            <w:pPr>
              <w:pStyle w:val="TableContents"/>
              <w:bidi w:val="0"/>
              <w:spacing w:before="0" w:after="283"/>
              <w:jc w:val="left"/>
              <w:rPr>
                <w:sz w:val="4"/>
                <w:szCs w:val="4"/>
              </w:rPr>
            </w:pPr>
            <w:r>
              <w:rPr>
                <w:sz w:val="4"/>
                <w:szCs w:val="4"/>
              </w:rPr>
            </w:r>
          </w:p>
        </w:tc>
        <w:tc>
          <w:tcPr>
            <w:tcW w:w="9314" w:type="dxa"/>
            <w:tcBorders/>
            <w:vAlign w:val="center"/>
          </w:tcPr>
          <w:p>
            <w:pPr>
              <w:pStyle w:val="TableContents"/>
              <w:bidi w:val="0"/>
              <w:spacing w:before="0" w:after="283"/>
              <w:jc w:val="both"/>
              <w:rPr/>
            </w:pPr>
            <w:hyperlink r:id="rId9">
              <w:r>
                <w:rPr>
                  <w:rStyle w:val="InternetLink"/>
                  <w:rFonts w:ascii="Times New Roman" w:hAnsi="Times New Roman"/>
                  <w:b w:val="false"/>
                  <w:color w:val="0000FF"/>
                  <w:sz w:val="16"/>
                  <w:u w:val="single"/>
                </w:rPr>
                <w:t>Certificate of Limited Partnership of CapitalSouth Partners Fund II Limited Partnership</w:t>
              </w:r>
            </w:hyperlink>
            <w:hyperlink r:id="rId10">
              <w:r>
                <w:rPr>
                  <w:rStyle w:val="InternetLink"/>
                  <w:rFonts w:ascii="Times New Roman" w:hAnsi="Times New Roman"/>
                  <w:b w:val="false"/>
                  <w:color w:val="0000FF"/>
                  <w:sz w:val="11"/>
                  <w:u w:val="single"/>
                </w:rPr>
                <w:t>(2)</w:t>
              </w:r>
            </w:hyperlink>
          </w:p>
        </w:tc>
      </w:tr>
      <w:tr>
        <w:trPr/>
        <w:tc>
          <w:tcPr>
            <w:tcW w:w="745" w:type="dxa"/>
            <w:tcBorders/>
            <w:vAlign w:val="center"/>
          </w:tcPr>
          <w:p>
            <w:pPr>
              <w:pStyle w:val="TableContents"/>
              <w:bidi w:val="0"/>
              <w:spacing w:before="0" w:after="283"/>
              <w:jc w:val="left"/>
              <w:rPr/>
            </w:pPr>
            <w:hyperlink r:id="rId11">
              <w:r>
                <w:rPr>
                  <w:rStyle w:val="InternetLink"/>
                  <w:rFonts w:ascii="Times New Roman" w:hAnsi="Times New Roman"/>
                  <w:b w:val="false"/>
                  <w:color w:val="0000FF"/>
                  <w:sz w:val="16"/>
                  <w:u w:val="single"/>
                </w:rPr>
                <w:t>3.4</w:t>
              </w:r>
            </w:hyperlink>
          </w:p>
        </w:tc>
        <w:tc>
          <w:tcPr>
            <w:tcW w:w="146" w:type="dxa"/>
            <w:tcBorders/>
            <w:vAlign w:val="center"/>
          </w:tcPr>
          <w:p>
            <w:pPr>
              <w:pStyle w:val="TableContents"/>
              <w:bidi w:val="0"/>
              <w:spacing w:before="0" w:after="283"/>
              <w:jc w:val="left"/>
              <w:rPr>
                <w:sz w:val="4"/>
                <w:szCs w:val="4"/>
              </w:rPr>
            </w:pPr>
            <w:r>
              <w:rPr>
                <w:sz w:val="4"/>
                <w:szCs w:val="4"/>
              </w:rPr>
            </w:r>
          </w:p>
        </w:tc>
        <w:tc>
          <w:tcPr>
            <w:tcW w:w="9314" w:type="dxa"/>
            <w:tcBorders/>
            <w:vAlign w:val="center"/>
          </w:tcPr>
          <w:p>
            <w:pPr>
              <w:pStyle w:val="TableContents"/>
              <w:bidi w:val="0"/>
              <w:spacing w:before="0" w:after="283"/>
              <w:jc w:val="both"/>
              <w:rPr/>
            </w:pPr>
            <w:hyperlink r:id="rId12">
              <w:r>
                <w:rPr>
                  <w:rStyle w:val="InternetLink"/>
                  <w:rFonts w:ascii="Times New Roman" w:hAnsi="Times New Roman"/>
                  <w:b w:val="false"/>
                  <w:color w:val="0000FF"/>
                  <w:sz w:val="16"/>
                  <w:u w:val="single"/>
                </w:rPr>
                <w:t>Certificate of Limited Partnership of CapitalSouth Fund III, L.P. (f/k/a CapitalSouth Partners SBIC Fund III, L.P.)</w:t>
              </w:r>
            </w:hyperlink>
            <w:hyperlink r:id="rId13">
              <w:r>
                <w:rPr>
                  <w:rStyle w:val="InternetLink"/>
                  <w:rFonts w:ascii="Times New Roman" w:hAnsi="Times New Roman"/>
                  <w:b w:val="false"/>
                  <w:color w:val="0000FF"/>
                  <w:sz w:val="11"/>
                  <w:u w:val="single"/>
                </w:rPr>
                <w:t>(2)</w:t>
              </w:r>
            </w:hyperlink>
          </w:p>
        </w:tc>
      </w:tr>
      <w:tr>
        <w:trPr/>
        <w:tc>
          <w:tcPr>
            <w:tcW w:w="745" w:type="dxa"/>
            <w:tcBorders/>
            <w:vAlign w:val="center"/>
          </w:tcPr>
          <w:p>
            <w:pPr>
              <w:pStyle w:val="TableContents"/>
              <w:bidi w:val="0"/>
              <w:spacing w:before="0" w:after="283"/>
              <w:jc w:val="left"/>
              <w:rPr/>
            </w:pPr>
            <w:hyperlink r:id="rId14">
              <w:r>
                <w:rPr>
                  <w:rStyle w:val="InternetLink"/>
                  <w:rFonts w:ascii="Times New Roman" w:hAnsi="Times New Roman"/>
                  <w:b w:val="false"/>
                  <w:color w:val="0000FF"/>
                  <w:sz w:val="16"/>
                  <w:u w:val="single"/>
                </w:rPr>
                <w:t>3.5</w:t>
              </w:r>
            </w:hyperlink>
          </w:p>
        </w:tc>
        <w:tc>
          <w:tcPr>
            <w:tcW w:w="146" w:type="dxa"/>
            <w:tcBorders/>
            <w:vAlign w:val="center"/>
          </w:tcPr>
          <w:p>
            <w:pPr>
              <w:pStyle w:val="TableContents"/>
              <w:bidi w:val="0"/>
              <w:spacing w:before="0" w:after="283"/>
              <w:jc w:val="left"/>
              <w:rPr>
                <w:sz w:val="4"/>
                <w:szCs w:val="4"/>
              </w:rPr>
            </w:pPr>
            <w:r>
              <w:rPr>
                <w:sz w:val="4"/>
                <w:szCs w:val="4"/>
              </w:rPr>
            </w:r>
          </w:p>
        </w:tc>
        <w:tc>
          <w:tcPr>
            <w:tcW w:w="9314" w:type="dxa"/>
            <w:tcBorders/>
            <w:vAlign w:val="center"/>
          </w:tcPr>
          <w:p>
            <w:pPr>
              <w:pStyle w:val="TableContents"/>
              <w:bidi w:val="0"/>
              <w:spacing w:before="0" w:after="283"/>
              <w:jc w:val="both"/>
              <w:rPr/>
            </w:pPr>
            <w:hyperlink r:id="rId15">
              <w:r>
                <w:rPr>
                  <w:rStyle w:val="InternetLink"/>
                  <w:rFonts w:ascii="Times New Roman" w:hAnsi="Times New Roman"/>
                  <w:b w:val="false"/>
                  <w:color w:val="0000FF"/>
                  <w:sz w:val="16"/>
                  <w:u w:val="single"/>
                </w:rPr>
                <w:t>Bylaws</w:t>
              </w:r>
            </w:hyperlink>
            <w:hyperlink r:id="rId16">
              <w:r>
                <w:rPr>
                  <w:rStyle w:val="InternetLink"/>
                  <w:rFonts w:ascii="Times New Roman" w:hAnsi="Times New Roman"/>
                  <w:b w:val="false"/>
                  <w:color w:val="0000FF"/>
                  <w:sz w:val="11"/>
                  <w:u w:val="single"/>
                </w:rPr>
                <w:t>(1)</w:t>
              </w:r>
            </w:hyperlink>
          </w:p>
        </w:tc>
      </w:tr>
      <w:tr>
        <w:trPr/>
        <w:tc>
          <w:tcPr>
            <w:tcW w:w="745" w:type="dxa"/>
            <w:tcBorders/>
            <w:vAlign w:val="center"/>
          </w:tcPr>
          <w:p>
            <w:pPr>
              <w:pStyle w:val="TableContents"/>
              <w:bidi w:val="0"/>
              <w:spacing w:before="0" w:after="283"/>
              <w:jc w:val="left"/>
              <w:rPr/>
            </w:pPr>
            <w:hyperlink r:id="rId17">
              <w:r>
                <w:rPr>
                  <w:rStyle w:val="InternetLink"/>
                  <w:rFonts w:ascii="Times New Roman" w:hAnsi="Times New Roman"/>
                  <w:b w:val="false"/>
                  <w:color w:val="0000FF"/>
                  <w:sz w:val="16"/>
                  <w:u w:val="single"/>
                </w:rPr>
                <w:t>3.6</w:t>
              </w:r>
            </w:hyperlink>
          </w:p>
        </w:tc>
        <w:tc>
          <w:tcPr>
            <w:tcW w:w="146" w:type="dxa"/>
            <w:tcBorders/>
            <w:vAlign w:val="center"/>
          </w:tcPr>
          <w:p>
            <w:pPr>
              <w:pStyle w:val="TableContents"/>
              <w:bidi w:val="0"/>
              <w:spacing w:before="0" w:after="283"/>
              <w:jc w:val="left"/>
              <w:rPr>
                <w:sz w:val="4"/>
                <w:szCs w:val="4"/>
              </w:rPr>
            </w:pPr>
            <w:r>
              <w:rPr>
                <w:sz w:val="4"/>
                <w:szCs w:val="4"/>
              </w:rPr>
            </w:r>
          </w:p>
        </w:tc>
        <w:tc>
          <w:tcPr>
            <w:tcW w:w="9314" w:type="dxa"/>
            <w:tcBorders/>
            <w:vAlign w:val="center"/>
          </w:tcPr>
          <w:p>
            <w:pPr>
              <w:pStyle w:val="TableContents"/>
              <w:bidi w:val="0"/>
              <w:spacing w:before="0" w:after="283"/>
              <w:jc w:val="both"/>
              <w:rPr/>
            </w:pPr>
            <w:hyperlink r:id="rId18">
              <w:r>
                <w:rPr>
                  <w:rStyle w:val="InternetLink"/>
                  <w:rFonts w:ascii="Times New Roman" w:hAnsi="Times New Roman"/>
                  <w:b w:val="false"/>
                  <w:color w:val="0000FF"/>
                  <w:sz w:val="16"/>
                  <w:u w:val="single"/>
                </w:rPr>
                <w:t>Form of Amended and Restated Limited Partnership Agreement of CapitalSouth Partners Fund II Limited Partnership</w:t>
              </w:r>
            </w:hyperlink>
            <w:hyperlink r:id="rId19">
              <w:r>
                <w:rPr>
                  <w:rStyle w:val="InternetLink"/>
                  <w:rFonts w:ascii="Times New Roman" w:hAnsi="Times New Roman"/>
                  <w:b w:val="false"/>
                  <w:color w:val="0000FF"/>
                  <w:sz w:val="11"/>
                  <w:u w:val="single"/>
                </w:rPr>
                <w:t>(3)</w:t>
              </w:r>
            </w:hyperlink>
          </w:p>
        </w:tc>
      </w:tr>
      <w:tr>
        <w:trPr/>
        <w:tc>
          <w:tcPr>
            <w:tcW w:w="745" w:type="dxa"/>
            <w:tcBorders/>
            <w:vAlign w:val="center"/>
          </w:tcPr>
          <w:p>
            <w:pPr>
              <w:pStyle w:val="TableContents"/>
              <w:bidi w:val="0"/>
              <w:spacing w:before="0" w:after="283"/>
              <w:jc w:val="left"/>
              <w:rPr/>
            </w:pPr>
            <w:hyperlink r:id="rId20">
              <w:r>
                <w:rPr>
                  <w:rStyle w:val="InternetLink"/>
                  <w:rFonts w:ascii="Times New Roman" w:hAnsi="Times New Roman"/>
                  <w:b w:val="false"/>
                  <w:color w:val="0000FF"/>
                  <w:sz w:val="16"/>
                  <w:u w:val="single"/>
                </w:rPr>
                <w:t>3.7</w:t>
              </w:r>
            </w:hyperlink>
          </w:p>
        </w:tc>
        <w:tc>
          <w:tcPr>
            <w:tcW w:w="146" w:type="dxa"/>
            <w:tcBorders/>
            <w:vAlign w:val="center"/>
          </w:tcPr>
          <w:p>
            <w:pPr>
              <w:pStyle w:val="TableContents"/>
              <w:bidi w:val="0"/>
              <w:spacing w:before="0" w:after="283"/>
              <w:jc w:val="left"/>
              <w:rPr>
                <w:sz w:val="4"/>
                <w:szCs w:val="4"/>
              </w:rPr>
            </w:pPr>
            <w:r>
              <w:rPr>
                <w:sz w:val="4"/>
                <w:szCs w:val="4"/>
              </w:rPr>
            </w:r>
          </w:p>
        </w:tc>
        <w:tc>
          <w:tcPr>
            <w:tcW w:w="9314" w:type="dxa"/>
            <w:tcBorders/>
            <w:vAlign w:val="center"/>
          </w:tcPr>
          <w:p>
            <w:pPr>
              <w:pStyle w:val="TableContents"/>
              <w:bidi w:val="0"/>
              <w:spacing w:before="0" w:after="283"/>
              <w:jc w:val="both"/>
              <w:rPr/>
            </w:pPr>
            <w:hyperlink r:id="rId21">
              <w:r>
                <w:rPr>
                  <w:rStyle w:val="InternetLink"/>
                  <w:rFonts w:ascii="Times New Roman" w:hAnsi="Times New Roman"/>
                  <w:b w:val="false"/>
                  <w:color w:val="0000FF"/>
                  <w:sz w:val="16"/>
                  <w:u w:val="single"/>
                </w:rPr>
                <w:t>Form of Amended and Restated Agreement of Limited Partnership of Certificate of Limited Partnership of CapitalSouth Fund III, L.P. (f/k/a CapitalSouth Partners SBIC Fund III, L.P.)</w:t>
              </w:r>
            </w:hyperlink>
            <w:hyperlink r:id="rId22">
              <w:r>
                <w:rPr>
                  <w:rStyle w:val="InternetLink"/>
                  <w:rFonts w:ascii="Times New Roman" w:hAnsi="Times New Roman"/>
                  <w:b w:val="false"/>
                  <w:color w:val="0000FF"/>
                  <w:sz w:val="11"/>
                  <w:u w:val="single"/>
                </w:rPr>
                <w:t>(3)</w:t>
              </w:r>
            </w:hyperlink>
          </w:p>
        </w:tc>
      </w:tr>
      <w:tr>
        <w:trPr/>
        <w:tc>
          <w:tcPr>
            <w:tcW w:w="745" w:type="dxa"/>
            <w:tcBorders/>
            <w:vAlign w:val="center"/>
          </w:tcPr>
          <w:p>
            <w:pPr>
              <w:pStyle w:val="TableContents"/>
              <w:bidi w:val="0"/>
              <w:spacing w:before="0" w:after="283"/>
              <w:jc w:val="left"/>
              <w:rPr/>
            </w:pPr>
            <w:hyperlink w:anchor="lrfc-ex31_1.htm">
              <w:r>
                <w:rPr>
                  <w:rStyle w:val="InternetLink"/>
                  <w:rFonts w:ascii="Times New Roman" w:hAnsi="Times New Roman"/>
                  <w:b w:val="false"/>
                  <w:color w:val="0000FF"/>
                  <w:sz w:val="16"/>
                  <w:u w:val="single"/>
                </w:rPr>
                <w:t>31.1</w:t>
              </w:r>
            </w:hyperlink>
          </w:p>
        </w:tc>
        <w:tc>
          <w:tcPr>
            <w:tcW w:w="146" w:type="dxa"/>
            <w:tcBorders/>
            <w:vAlign w:val="center"/>
          </w:tcPr>
          <w:p>
            <w:pPr>
              <w:pStyle w:val="TableContents"/>
              <w:bidi w:val="0"/>
              <w:spacing w:before="0" w:after="283"/>
              <w:jc w:val="left"/>
              <w:rPr>
                <w:sz w:val="4"/>
                <w:szCs w:val="4"/>
              </w:rPr>
            </w:pPr>
            <w:r>
              <w:rPr>
                <w:sz w:val="4"/>
                <w:szCs w:val="4"/>
              </w:rPr>
            </w:r>
          </w:p>
        </w:tc>
        <w:tc>
          <w:tcPr>
            <w:tcW w:w="9314" w:type="dxa"/>
            <w:tcBorders/>
            <w:vAlign w:val="center"/>
          </w:tcPr>
          <w:p>
            <w:pPr>
              <w:pStyle w:val="TableContents"/>
              <w:bidi w:val="0"/>
              <w:spacing w:before="0" w:after="283"/>
              <w:jc w:val="both"/>
              <w:rPr/>
            </w:pPr>
            <w:hyperlink w:anchor="lrfc-ex31_1.htm">
              <w:r>
                <w:rPr>
                  <w:rStyle w:val="InternetLink"/>
                  <w:rFonts w:ascii="Times New Roman" w:hAnsi="Times New Roman"/>
                  <w:b w:val="false"/>
                  <w:color w:val="0000FF"/>
                  <w:sz w:val="16"/>
                  <w:u w:val="single"/>
                </w:rPr>
                <w:t>Certification of Chief Executive Officer pursuant to Rule 13a-14 of the Securities Exchange Act of 1934, as adopted pursuant to Section 302 of the Sarbanes-Oxley Act of 2002 (filed herewith)</w:t>
              </w:r>
            </w:hyperlink>
          </w:p>
        </w:tc>
      </w:tr>
      <w:tr>
        <w:trPr/>
        <w:tc>
          <w:tcPr>
            <w:tcW w:w="745" w:type="dxa"/>
            <w:tcBorders/>
            <w:vAlign w:val="center"/>
          </w:tcPr>
          <w:p>
            <w:pPr>
              <w:pStyle w:val="TableContents"/>
              <w:bidi w:val="0"/>
              <w:spacing w:before="0" w:after="283"/>
              <w:jc w:val="left"/>
              <w:rPr/>
            </w:pPr>
            <w:hyperlink w:anchor="lrfc-ex31_2.htm">
              <w:r>
                <w:rPr>
                  <w:rStyle w:val="InternetLink"/>
                  <w:rFonts w:ascii="Times New Roman" w:hAnsi="Times New Roman"/>
                  <w:b w:val="false"/>
                  <w:color w:val="0000FF"/>
                  <w:sz w:val="16"/>
                  <w:u w:val="single"/>
                </w:rPr>
                <w:t>31.2</w:t>
              </w:r>
            </w:hyperlink>
          </w:p>
        </w:tc>
        <w:tc>
          <w:tcPr>
            <w:tcW w:w="146" w:type="dxa"/>
            <w:tcBorders/>
            <w:vAlign w:val="center"/>
          </w:tcPr>
          <w:p>
            <w:pPr>
              <w:pStyle w:val="TableContents"/>
              <w:bidi w:val="0"/>
              <w:spacing w:before="0" w:after="283"/>
              <w:jc w:val="left"/>
              <w:rPr>
                <w:sz w:val="4"/>
                <w:szCs w:val="4"/>
              </w:rPr>
            </w:pPr>
            <w:r>
              <w:rPr>
                <w:sz w:val="4"/>
                <w:szCs w:val="4"/>
              </w:rPr>
            </w:r>
          </w:p>
        </w:tc>
        <w:tc>
          <w:tcPr>
            <w:tcW w:w="9314" w:type="dxa"/>
            <w:tcBorders/>
            <w:vAlign w:val="center"/>
          </w:tcPr>
          <w:p>
            <w:pPr>
              <w:pStyle w:val="TableContents"/>
              <w:bidi w:val="0"/>
              <w:spacing w:before="0" w:after="283"/>
              <w:jc w:val="both"/>
              <w:rPr/>
            </w:pPr>
            <w:hyperlink w:anchor="lrfc-ex31_2.htm">
              <w:r>
                <w:rPr>
                  <w:rStyle w:val="InternetLink"/>
                  <w:rFonts w:ascii="Times New Roman" w:hAnsi="Times New Roman"/>
                  <w:b w:val="false"/>
                  <w:color w:val="0000FF"/>
                  <w:sz w:val="16"/>
                  <w:u w:val="single"/>
                </w:rPr>
                <w:t>Certification of Chief Financial Officer pursuant to Rule 13a-14 of the Securities Exchange Act of 1934, as adopted pursuant to Section 302 of the Sarbanes-Oxley Act of 2002 (filed herewith)</w:t>
              </w:r>
            </w:hyperlink>
          </w:p>
        </w:tc>
      </w:tr>
      <w:tr>
        <w:trPr/>
        <w:tc>
          <w:tcPr>
            <w:tcW w:w="745" w:type="dxa"/>
            <w:tcBorders/>
            <w:vAlign w:val="center"/>
          </w:tcPr>
          <w:p>
            <w:pPr>
              <w:pStyle w:val="TableContents"/>
              <w:bidi w:val="0"/>
              <w:spacing w:before="0" w:after="283"/>
              <w:jc w:val="left"/>
              <w:rPr/>
            </w:pPr>
            <w:hyperlink w:anchor="lrfc-ex32_1.htm">
              <w:r>
                <w:rPr>
                  <w:rStyle w:val="InternetLink"/>
                  <w:rFonts w:ascii="Times New Roman" w:hAnsi="Times New Roman"/>
                  <w:b w:val="false"/>
                  <w:color w:val="0000FF"/>
                  <w:sz w:val="16"/>
                  <w:u w:val="single"/>
                </w:rPr>
                <w:t>32.1</w:t>
              </w:r>
            </w:hyperlink>
          </w:p>
        </w:tc>
        <w:tc>
          <w:tcPr>
            <w:tcW w:w="146" w:type="dxa"/>
            <w:tcBorders/>
            <w:vAlign w:val="center"/>
          </w:tcPr>
          <w:p>
            <w:pPr>
              <w:pStyle w:val="TableContents"/>
              <w:bidi w:val="0"/>
              <w:spacing w:before="0" w:after="283"/>
              <w:jc w:val="left"/>
              <w:rPr>
                <w:sz w:val="4"/>
                <w:szCs w:val="4"/>
              </w:rPr>
            </w:pPr>
            <w:r>
              <w:rPr>
                <w:sz w:val="4"/>
                <w:szCs w:val="4"/>
              </w:rPr>
            </w:r>
          </w:p>
        </w:tc>
        <w:tc>
          <w:tcPr>
            <w:tcW w:w="9314" w:type="dxa"/>
            <w:tcBorders/>
            <w:vAlign w:val="center"/>
          </w:tcPr>
          <w:p>
            <w:pPr>
              <w:pStyle w:val="TableContents"/>
              <w:bidi w:val="0"/>
              <w:spacing w:before="0" w:after="283"/>
              <w:jc w:val="both"/>
              <w:rPr/>
            </w:pPr>
            <w:hyperlink w:anchor="lrfc-ex32_1.htm">
              <w:r>
                <w:rPr>
                  <w:rStyle w:val="InternetLink"/>
                  <w:rFonts w:ascii="Times New Roman" w:hAnsi="Times New Roman"/>
                  <w:b w:val="false"/>
                  <w:color w:val="0000FF"/>
                  <w:sz w:val="16"/>
                  <w:u w:val="single"/>
                </w:rPr>
                <w:t>Certification of Chief Executive Officer pursuant to 18 U.S.C. Section 1350, as adopted pursuant to section 906 of the Sarbanes-Oxley Act of 2002 (filed herewith)</w:t>
              </w:r>
            </w:hyperlink>
          </w:p>
        </w:tc>
      </w:tr>
      <w:tr>
        <w:trPr/>
        <w:tc>
          <w:tcPr>
            <w:tcW w:w="745" w:type="dxa"/>
            <w:tcBorders/>
            <w:vAlign w:val="center"/>
          </w:tcPr>
          <w:p>
            <w:pPr>
              <w:pStyle w:val="TableContents"/>
              <w:bidi w:val="0"/>
              <w:spacing w:before="0" w:after="283"/>
              <w:jc w:val="left"/>
              <w:rPr/>
            </w:pPr>
            <w:hyperlink w:anchor="lrfc-ex32_2.htm">
              <w:r>
                <w:rPr>
                  <w:rStyle w:val="InternetLink"/>
                  <w:rFonts w:ascii="Times New Roman" w:hAnsi="Times New Roman"/>
                  <w:b w:val="false"/>
                  <w:color w:val="0000FF"/>
                  <w:sz w:val="16"/>
                  <w:u w:val="single"/>
                </w:rPr>
                <w:t>32.2</w:t>
              </w:r>
            </w:hyperlink>
          </w:p>
        </w:tc>
        <w:tc>
          <w:tcPr>
            <w:tcW w:w="146" w:type="dxa"/>
            <w:tcBorders/>
            <w:vAlign w:val="center"/>
          </w:tcPr>
          <w:p>
            <w:pPr>
              <w:pStyle w:val="TableContents"/>
              <w:bidi w:val="0"/>
              <w:spacing w:before="0" w:after="283"/>
              <w:jc w:val="left"/>
              <w:rPr>
                <w:sz w:val="4"/>
                <w:szCs w:val="4"/>
              </w:rPr>
            </w:pPr>
            <w:r>
              <w:rPr>
                <w:sz w:val="4"/>
                <w:szCs w:val="4"/>
              </w:rPr>
            </w:r>
          </w:p>
        </w:tc>
        <w:tc>
          <w:tcPr>
            <w:tcW w:w="9314" w:type="dxa"/>
            <w:tcBorders/>
            <w:vAlign w:val="center"/>
          </w:tcPr>
          <w:p>
            <w:pPr>
              <w:pStyle w:val="TableContents"/>
              <w:bidi w:val="0"/>
              <w:spacing w:before="0" w:after="283"/>
              <w:jc w:val="both"/>
              <w:rPr/>
            </w:pPr>
            <w:hyperlink w:anchor="lrfc-ex32_2.htm">
              <w:r>
                <w:rPr>
                  <w:rStyle w:val="InternetLink"/>
                  <w:rFonts w:ascii="Times New Roman" w:hAnsi="Times New Roman"/>
                  <w:b w:val="false"/>
                  <w:color w:val="0000FF"/>
                  <w:sz w:val="16"/>
                  <w:u w:val="single"/>
                </w:rPr>
                <w:t>Certification of Chief Financial Officer pursuant to 18 U.S.C. Section 1350, as adopted pursuant to section 906 of the Sarbanes-Oxley Act of 2002 (filed herewith)</w:t>
              </w:r>
            </w:hyperlink>
          </w:p>
        </w:tc>
      </w:tr>
      <w:tr>
        <w:trPr/>
        <w:tc>
          <w:tcPr>
            <w:tcW w:w="745"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101.INS</w:t>
            </w:r>
          </w:p>
        </w:tc>
        <w:tc>
          <w:tcPr>
            <w:tcW w:w="146" w:type="dxa"/>
            <w:tcBorders/>
            <w:vAlign w:val="center"/>
          </w:tcPr>
          <w:p>
            <w:pPr>
              <w:pStyle w:val="TableContents"/>
              <w:bidi w:val="0"/>
              <w:spacing w:before="0" w:after="283"/>
              <w:jc w:val="left"/>
              <w:rPr/>
            </w:pPr>
            <w:r>
              <w:rPr/>
              <w:t> </w:t>
            </w:r>
          </w:p>
        </w:tc>
        <w:tc>
          <w:tcPr>
            <w:tcW w:w="9314"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Inline XBRL Instance Document (filed herewith)</w:t>
            </w:r>
          </w:p>
        </w:tc>
      </w:tr>
      <w:tr>
        <w:trPr/>
        <w:tc>
          <w:tcPr>
            <w:tcW w:w="745"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101.SHC</w:t>
            </w:r>
          </w:p>
        </w:tc>
        <w:tc>
          <w:tcPr>
            <w:tcW w:w="146" w:type="dxa"/>
            <w:tcBorders/>
            <w:vAlign w:val="center"/>
          </w:tcPr>
          <w:p>
            <w:pPr>
              <w:pStyle w:val="TableContents"/>
              <w:bidi w:val="0"/>
              <w:spacing w:before="0" w:after="283"/>
              <w:jc w:val="left"/>
              <w:rPr/>
            </w:pPr>
            <w:r>
              <w:rPr/>
              <w:t> </w:t>
            </w:r>
          </w:p>
        </w:tc>
        <w:tc>
          <w:tcPr>
            <w:tcW w:w="9314"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Inline XBRL Taxonomy Extension Schema Document (filed herewith)</w:t>
            </w:r>
          </w:p>
        </w:tc>
      </w:tr>
      <w:tr>
        <w:trPr/>
        <w:tc>
          <w:tcPr>
            <w:tcW w:w="745"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101.CAL</w:t>
            </w:r>
          </w:p>
        </w:tc>
        <w:tc>
          <w:tcPr>
            <w:tcW w:w="146" w:type="dxa"/>
            <w:tcBorders/>
            <w:vAlign w:val="center"/>
          </w:tcPr>
          <w:p>
            <w:pPr>
              <w:pStyle w:val="TableContents"/>
              <w:bidi w:val="0"/>
              <w:spacing w:before="0" w:after="283"/>
              <w:jc w:val="left"/>
              <w:rPr/>
            </w:pPr>
            <w:r>
              <w:rPr/>
              <w:t> </w:t>
            </w:r>
          </w:p>
        </w:tc>
        <w:tc>
          <w:tcPr>
            <w:tcW w:w="9314"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Inline XBRL Taxonomy Extension Calculation Linkbase Document (filed herewith)</w:t>
            </w:r>
          </w:p>
        </w:tc>
      </w:tr>
      <w:tr>
        <w:trPr/>
        <w:tc>
          <w:tcPr>
            <w:tcW w:w="745"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101.DEF</w:t>
            </w:r>
          </w:p>
        </w:tc>
        <w:tc>
          <w:tcPr>
            <w:tcW w:w="146" w:type="dxa"/>
            <w:tcBorders/>
            <w:vAlign w:val="center"/>
          </w:tcPr>
          <w:p>
            <w:pPr>
              <w:pStyle w:val="TableContents"/>
              <w:bidi w:val="0"/>
              <w:spacing w:before="0" w:after="283"/>
              <w:jc w:val="left"/>
              <w:rPr/>
            </w:pPr>
            <w:r>
              <w:rPr/>
              <w:t> </w:t>
            </w:r>
          </w:p>
        </w:tc>
        <w:tc>
          <w:tcPr>
            <w:tcW w:w="9314"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Inline XBRL Taxonomy Extension Definition Linkbase Document (filed herewith)</w:t>
            </w:r>
          </w:p>
        </w:tc>
      </w:tr>
      <w:tr>
        <w:trPr/>
        <w:tc>
          <w:tcPr>
            <w:tcW w:w="745"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101.LAB</w:t>
            </w:r>
          </w:p>
        </w:tc>
        <w:tc>
          <w:tcPr>
            <w:tcW w:w="146" w:type="dxa"/>
            <w:tcBorders/>
            <w:vAlign w:val="center"/>
          </w:tcPr>
          <w:p>
            <w:pPr>
              <w:pStyle w:val="TableContents"/>
              <w:bidi w:val="0"/>
              <w:spacing w:before="0" w:after="283"/>
              <w:jc w:val="left"/>
              <w:rPr/>
            </w:pPr>
            <w:r>
              <w:rPr/>
              <w:t> </w:t>
            </w:r>
          </w:p>
        </w:tc>
        <w:tc>
          <w:tcPr>
            <w:tcW w:w="9314"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Inline XBRL Taxonomy Extension Label Linkbase Document (filed herewith)</w:t>
            </w:r>
          </w:p>
        </w:tc>
      </w:tr>
      <w:tr>
        <w:trPr/>
        <w:tc>
          <w:tcPr>
            <w:tcW w:w="745"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101.PRE</w:t>
            </w:r>
          </w:p>
        </w:tc>
        <w:tc>
          <w:tcPr>
            <w:tcW w:w="146" w:type="dxa"/>
            <w:tcBorders/>
            <w:vAlign w:val="center"/>
          </w:tcPr>
          <w:p>
            <w:pPr>
              <w:pStyle w:val="TableContents"/>
              <w:bidi w:val="0"/>
              <w:spacing w:before="0" w:after="283"/>
              <w:jc w:val="left"/>
              <w:rPr/>
            </w:pPr>
            <w:r>
              <w:rPr/>
              <w:t> </w:t>
            </w:r>
          </w:p>
        </w:tc>
        <w:tc>
          <w:tcPr>
            <w:tcW w:w="9314"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Inline XBRL Taxonomy Extension Presentation Linkbase Document (filed herewith)</w:t>
            </w:r>
          </w:p>
        </w:tc>
      </w:tr>
      <w:tr>
        <w:trPr/>
        <w:tc>
          <w:tcPr>
            <w:tcW w:w="745"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104</w:t>
            </w:r>
          </w:p>
        </w:tc>
        <w:tc>
          <w:tcPr>
            <w:tcW w:w="146" w:type="dxa"/>
            <w:tcBorders/>
            <w:vAlign w:val="center"/>
          </w:tcPr>
          <w:p>
            <w:pPr>
              <w:pStyle w:val="TableContents"/>
              <w:bidi w:val="0"/>
              <w:spacing w:before="0" w:after="283"/>
              <w:jc w:val="left"/>
              <w:rPr/>
            </w:pPr>
            <w:r>
              <w:rPr/>
              <w:t> </w:t>
            </w:r>
          </w:p>
        </w:tc>
        <w:tc>
          <w:tcPr>
            <w:tcW w:w="9314"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Cover Page Interactive Data File (embedded within the Inline XBRL Document (filed herewith)</w:t>
            </w:r>
          </w:p>
        </w:tc>
      </w:tr>
    </w:tbl>
    <w:p>
      <w:pPr>
        <w:pStyle w:val="TextBody"/>
        <w:pBdr>
          <w:bottom w:val="single" w:sz="6" w:space="1" w:color="000000"/>
        </w:pBdr>
        <w:bidi w:val="0"/>
        <w:jc w:val="both"/>
        <w:rPr/>
      </w:pPr>
      <w:r>
        <w:rPr/>
        <w:t> </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 xml:space="preserve">Previously filed in connection with the Pre-Effective Amendment No. 1 to Logan Ridge Finance Corporation’s registration statement on Form N-2 (File No. 333-188956) filed on September 9, 2013. </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(2)</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 xml:space="preserve">Previously filed in connection with Pre-Effective Amendment No. 2 to Logan Ridge Finance Corporation’s registration statement on Form N-2 (File No. 333-188956) filed on September 16, 2013. </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(3)</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 xml:space="preserve">Previously filed in connection with Pre-Effective Amendment No. 5 to Logan Ridge Finance Corporation’s registration statement on Form N-2 (File No. 333-188956) filed on September 24, 2013. </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(4)</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Previously filed in connection with Logan Ridge Finance Corporation’s report on Form 8-K filed on August 4, 2020.</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bookmarkStart w:id="21" w:name="signatures"/>
      <w:bookmarkEnd w:id="21"/>
      <w:r>
        <w:rPr>
          <w:rFonts w:ascii="Times New Roman" w:hAnsi="Times New Roman"/>
          <w:b/>
          <w:color w:val="000000"/>
          <w:sz w:val="16"/>
        </w:rPr>
        <w:t>SIGNATURES</w:t>
      </w:r>
    </w:p>
    <w:p>
      <w:pPr>
        <w:pStyle w:val="TextBody"/>
        <w:bidi w:val="0"/>
        <w:spacing w:before="160" w:after="283"/>
        <w:jc w:val="both"/>
        <w:rPr>
          <w:rFonts w:ascii="Times New Roman" w:hAnsi="Times New Roman"/>
          <w:b w:val="false"/>
          <w:color w:val="000000"/>
          <w:sz w:val="16"/>
        </w:rPr>
      </w:pPr>
      <w:r>
        <w:rPr>
          <w:rFonts w:ascii="Times New Roman" w:hAnsi="Times New Roman"/>
          <w:b w:val="false"/>
          <w:color w:val="000000"/>
          <w:sz w:val="16"/>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4968" w:type="dxa"/>
        <w:jc w:val="left"/>
        <w:tblInd w:w="0" w:type="dxa"/>
        <w:tblLayout w:type="fixed"/>
        <w:tblCellMar>
          <w:top w:w="28" w:type="dxa"/>
          <w:left w:w="28" w:type="dxa"/>
          <w:bottom w:w="28" w:type="dxa"/>
          <w:right w:w="28" w:type="dxa"/>
        </w:tblCellMar>
      </w:tblPr>
      <w:tblGrid>
        <w:gridCol w:w="1846"/>
        <w:gridCol w:w="346"/>
        <w:gridCol w:w="2776"/>
      </w:tblGrid>
      <w:tr>
        <w:trPr/>
        <w:tc>
          <w:tcPr>
            <w:tcW w:w="18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Date: November 8, 2023</w:t>
            </w:r>
          </w:p>
        </w:tc>
        <w:tc>
          <w:tcPr>
            <w:tcW w:w="346" w:type="dxa"/>
            <w:tcBorders/>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By</w:t>
            </w:r>
            <w:r>
              <w:rPr>
                <w:rFonts w:ascii="Times New Roman" w:hAnsi="Times New Roman"/>
                <w:color w:val="000000"/>
                <w:sz w:val="16"/>
              </w:rPr>
              <w:t xml:space="preserve"> </w:t>
            </w:r>
          </w:p>
        </w:tc>
        <w:tc>
          <w:tcPr>
            <w:tcW w:w="277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 Ted Goldthorpe</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Ted Goldthorpe</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Chief Executive Officer and President</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rFonts w:ascii="Times New Roman" w:hAnsi="Times New Roman"/>
                <w:b w:val="false"/>
                <w:i/>
                <w:color w:val="000000"/>
                <w:sz w:val="16"/>
              </w:rPr>
            </w:pPr>
            <w:r>
              <w:rPr>
                <w:rFonts w:ascii="Times New Roman" w:hAnsi="Times New Roman"/>
                <w:b w:val="false"/>
                <w:i/>
                <w:color w:val="000000"/>
                <w:sz w:val="16"/>
              </w:rPr>
              <w:t>(Principal Executive Officer)</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Logan Ridge Finance Corporation</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Date: November 8, 2023</w:t>
            </w:r>
          </w:p>
        </w:tc>
        <w:tc>
          <w:tcPr>
            <w:tcW w:w="346"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By</w:t>
            </w:r>
          </w:p>
        </w:tc>
        <w:tc>
          <w:tcPr>
            <w:tcW w:w="277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 Jason Roos</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Jason Roos</w:t>
            </w:r>
          </w:p>
        </w:tc>
      </w:tr>
      <w:tr>
        <w:trPr/>
        <w:tc>
          <w:tcPr>
            <w:tcW w:w="184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776"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Chief Financial Officer</w:t>
            </w:r>
          </w:p>
        </w:tc>
      </w:tr>
      <w:tr>
        <w:trPr/>
        <w:tc>
          <w:tcPr>
            <w:tcW w:w="184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776" w:type="dxa"/>
            <w:tcBorders/>
            <w:vAlign w:val="center"/>
          </w:tcPr>
          <w:p>
            <w:pPr>
              <w:pStyle w:val="TableContents"/>
              <w:bidi w:val="0"/>
              <w:spacing w:before="0" w:after="283"/>
              <w:jc w:val="left"/>
              <w:rPr>
                <w:rFonts w:ascii="Times New Roman" w:hAnsi="Times New Roman"/>
                <w:b w:val="false"/>
                <w:i/>
                <w:color w:val="000000"/>
                <w:sz w:val="16"/>
              </w:rPr>
            </w:pPr>
            <w:r>
              <w:rPr>
                <w:rFonts w:ascii="Times New Roman" w:hAnsi="Times New Roman"/>
                <w:b w:val="false"/>
                <w:i/>
                <w:color w:val="000000"/>
                <w:sz w:val="16"/>
              </w:rPr>
              <w:t>(Principal Financial Officer)</w:t>
            </w:r>
          </w:p>
        </w:tc>
      </w:tr>
      <w:tr>
        <w:trPr/>
        <w:tc>
          <w:tcPr>
            <w:tcW w:w="184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776"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Logan Ridge Finance Corporation</w:t>
            </w:r>
          </w:p>
        </w:tc>
      </w:tr>
    </w:tbl>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bookmarkStart w:id="22" w:name="lrfc-ex31_1.htm"/>
      <w:bookmarkStart w:id="23" w:name="kslrfcex31_1"/>
      <w:bookmarkEnd w:id="22"/>
      <w:bookmarkEnd w:id="23"/>
      <w:r>
        <w:rPr/>
        <w:t> </w:t>
      </w:r>
      <w:r>
        <w:br w:type="page"/>
      </w:r>
    </w:p>
    <w:p>
      <w:pPr>
        <w:pStyle w:val="TextBody"/>
        <w:bidi w:val="0"/>
        <w:jc w:val="right"/>
        <w:rPr>
          <w:rFonts w:ascii="Times New Roman" w:hAnsi="Times New Roman"/>
          <w:b/>
          <w:color w:val="000000"/>
          <w:sz w:val="16"/>
        </w:rPr>
      </w:pPr>
      <w:r>
        <w:rPr>
          <w:rFonts w:ascii="Times New Roman" w:hAnsi="Times New Roman"/>
          <w:b/>
          <w:color w:val="000000"/>
          <w:sz w:val="16"/>
        </w:rPr>
        <w:t>Exhibit 31.1</w:t>
      </w:r>
    </w:p>
    <w:p>
      <w:pPr>
        <w:pStyle w:val="TextBody"/>
        <w:bidi w:val="0"/>
        <w:jc w:val="center"/>
        <w:rPr>
          <w:rFonts w:ascii="Times New Roman" w:hAnsi="Times New Roman"/>
          <w:sz w:val="20"/>
        </w:rPr>
      </w:pPr>
      <w:r>
        <w:rPr>
          <w:rFonts w:ascii="Times New Roman" w:hAnsi="Times New Roman"/>
          <w:b/>
          <w:color w:val="000000"/>
          <w:sz w:val="16"/>
        </w:rPr>
        <w:t>CERTIFICATION OF CHIEF EXECUTIVE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PURSUANT TO RULE 13A-14 OF THE SECURITIES EXCHANGE ACT OF 1934, AS ADOPTED</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PURSUANT TO SECTION 302 OF THE SARBANES-OXLEY ACT OF 2002</w:t>
      </w:r>
    </w:p>
    <w:p>
      <w:pPr>
        <w:pStyle w:val="TextBody"/>
        <w:bidi w:val="0"/>
        <w:jc w:val="left"/>
        <w:rPr>
          <w:rFonts w:ascii="Times New Roman" w:hAnsi="Times New Roman"/>
          <w:b w:val="false"/>
          <w:color w:val="000000"/>
          <w:sz w:val="16"/>
        </w:rPr>
      </w:pPr>
      <w:r>
        <w:rPr>
          <w:rFonts w:ascii="Times New Roman" w:hAnsi="Times New Roman"/>
          <w:b w:val="false"/>
          <w:color w:val="000000"/>
          <w:sz w:val="16"/>
        </w:rPr>
        <w:t>I, Ted Goldthorpe, certify that:</w:t>
      </w:r>
    </w:p>
    <w:tbl>
      <w:tblPr>
        <w:tblW w:w="6831" w:type="dxa"/>
        <w:jc w:val="left"/>
        <w:tblInd w:w="0" w:type="dxa"/>
        <w:tblLayout w:type="fixed"/>
        <w:tblCellMar>
          <w:top w:w="28" w:type="dxa"/>
          <w:left w:w="28" w:type="dxa"/>
          <w:bottom w:w="28" w:type="dxa"/>
          <w:right w:w="28" w:type="dxa"/>
        </w:tblCellMar>
      </w:tblPr>
      <w:tblGrid>
        <w:gridCol w:w="124"/>
        <w:gridCol w:w="241"/>
        <w:gridCol w:w="6466"/>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4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w:t>
            </w:r>
          </w:p>
        </w:tc>
        <w:tc>
          <w:tcPr>
            <w:tcW w:w="6466"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I have reviewed this Quarterly Report on Form 10-Q of Logan Ridge Finance Corporation;</w:t>
            </w:r>
          </w:p>
        </w:tc>
      </w:tr>
    </w:tbl>
    <w:tbl>
      <w:tblPr>
        <w:tblW w:w="10205" w:type="dxa"/>
        <w:jc w:val="left"/>
        <w:tblInd w:w="0" w:type="dxa"/>
        <w:tblLayout w:type="fixed"/>
        <w:tblCellMar>
          <w:top w:w="28" w:type="dxa"/>
          <w:left w:w="28" w:type="dxa"/>
          <w:bottom w:w="28" w:type="dxa"/>
          <w:right w:w="28" w:type="dxa"/>
        </w:tblCellMar>
      </w:tblPr>
      <w:tblGrid>
        <w:gridCol w:w="124"/>
        <w:gridCol w:w="216"/>
        <w:gridCol w:w="9865"/>
      </w:tblGrid>
      <w:tr>
        <w:trPr/>
        <w:tc>
          <w:tcPr>
            <w:tcW w:w="12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8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2.</w:t>
            </w:r>
          </w:p>
        </w:tc>
        <w:tc>
          <w:tcPr>
            <w:tcW w:w="9865"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217"/>
        <w:gridCol w:w="9864"/>
      </w:tblGrid>
      <w:tr>
        <w:trPr/>
        <w:tc>
          <w:tcPr>
            <w:tcW w:w="12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8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3.</w:t>
            </w:r>
          </w:p>
        </w:tc>
        <w:tc>
          <w:tcPr>
            <w:tcW w:w="9864"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214"/>
        <w:gridCol w:w="9867"/>
      </w:tblGrid>
      <w:tr>
        <w:trPr/>
        <w:tc>
          <w:tcPr>
            <w:tcW w:w="1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86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4.</w:t>
            </w:r>
          </w:p>
        </w:tc>
        <w:tc>
          <w:tcPr>
            <w:tcW w:w="9867"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The registrant’s other certifying officer(s) and I are responsible for establishing and maintaining disclosure controls and procedures (as defined in the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265"/>
        <w:gridCol w:w="9816"/>
      </w:tblGrid>
      <w:tr>
        <w:trPr/>
        <w:tc>
          <w:tcPr>
            <w:tcW w:w="12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1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(a)</w:t>
            </w:r>
          </w:p>
        </w:tc>
        <w:tc>
          <w:tcPr>
            <w:tcW w:w="9816"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278"/>
        <w:gridCol w:w="9803"/>
      </w:tblGrid>
      <w:tr>
        <w:trPr/>
        <w:tc>
          <w:tcPr>
            <w:tcW w:w="1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80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(b)</w:t>
            </w:r>
          </w:p>
        </w:tc>
        <w:tc>
          <w:tcPr>
            <w:tcW w:w="980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270"/>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8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(c)</w:t>
            </w:r>
          </w:p>
        </w:tc>
        <w:tc>
          <w:tcPr>
            <w:tcW w:w="9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tc>
      </w:tr>
    </w:tbl>
    <w:tbl>
      <w:tblPr>
        <w:tblW w:w="10205" w:type="dxa"/>
        <w:jc w:val="left"/>
        <w:tblInd w:w="0" w:type="dxa"/>
        <w:tblLayout w:type="fixed"/>
        <w:tblCellMar>
          <w:top w:w="28" w:type="dxa"/>
          <w:left w:w="28" w:type="dxa"/>
          <w:bottom w:w="28" w:type="dxa"/>
          <w:right w:w="28" w:type="dxa"/>
        </w:tblCellMar>
      </w:tblPr>
      <w:tblGrid>
        <w:gridCol w:w="124"/>
        <w:gridCol w:w="278"/>
        <w:gridCol w:w="9803"/>
      </w:tblGrid>
      <w:tr>
        <w:trPr/>
        <w:tc>
          <w:tcPr>
            <w:tcW w:w="1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80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(d)</w:t>
            </w:r>
          </w:p>
        </w:tc>
        <w:tc>
          <w:tcPr>
            <w:tcW w:w="980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217"/>
        <w:gridCol w:w="9864"/>
      </w:tblGrid>
      <w:tr>
        <w:trPr/>
        <w:tc>
          <w:tcPr>
            <w:tcW w:w="12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8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5.</w:t>
            </w:r>
          </w:p>
        </w:tc>
        <w:tc>
          <w:tcPr>
            <w:tcW w:w="9864"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271"/>
        <w:gridCol w:w="9810"/>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10"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(a)</w:t>
            </w:r>
          </w:p>
        </w:tc>
        <w:tc>
          <w:tcPr>
            <w:tcW w:w="981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304"/>
        <w:gridCol w:w="9777"/>
      </w:tblGrid>
      <w:tr>
        <w:trPr/>
        <w:tc>
          <w:tcPr>
            <w:tcW w:w="12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7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(b)</w:t>
            </w:r>
          </w:p>
        </w:tc>
        <w:tc>
          <w:tcPr>
            <w:tcW w:w="977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Any fraud, whether or not material, that involves management or other employees who have a significant role in the registrant’s internal control over financial reporting.</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val="false"/>
          <w:color w:val="000000"/>
          <w:sz w:val="16"/>
        </w:rPr>
      </w:pPr>
      <w:r>
        <w:rPr>
          <w:rFonts w:ascii="Times New Roman" w:hAnsi="Times New Roman"/>
          <w:b w:val="false"/>
          <w:color w:val="000000"/>
          <w:sz w:val="16"/>
        </w:rPr>
        <w:t>Date: November 8, 2023</w:t>
      </w:r>
    </w:p>
    <w:tbl>
      <w:tblPr>
        <w:tblW w:w="2900" w:type="dxa"/>
        <w:jc w:val="left"/>
        <w:tblInd w:w="0" w:type="dxa"/>
        <w:tblLayout w:type="fixed"/>
        <w:tblCellMar>
          <w:top w:w="28" w:type="dxa"/>
          <w:left w:w="28" w:type="dxa"/>
          <w:bottom w:w="28" w:type="dxa"/>
          <w:right w:w="28" w:type="dxa"/>
        </w:tblCellMar>
      </w:tblPr>
      <w:tblGrid>
        <w:gridCol w:w="124"/>
        <w:gridCol w:w="2776"/>
      </w:tblGrid>
      <w:tr>
        <w:trPr/>
        <w:tc>
          <w:tcPr>
            <w:tcW w:w="12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 Ted Goldthorpe</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Ted Goldthorpe</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Chief Executive Officer and President</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i/>
                <w:color w:val="000000"/>
                <w:sz w:val="16"/>
              </w:rPr>
            </w:pPr>
            <w:r>
              <w:rPr>
                <w:rFonts w:ascii="Times New Roman" w:hAnsi="Times New Roman"/>
                <w:b w:val="false"/>
                <w:i/>
                <w:color w:val="000000"/>
                <w:sz w:val="16"/>
              </w:rPr>
              <w:t>(Principal Executive Officer)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Logan Ridge Finance Corporation</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lrfc-ex31_2.htm"/>
      <w:bookmarkStart w:id="25" w:name="kslrfcex31_2"/>
      <w:bookmarkEnd w:id="24"/>
      <w:bookmarkEnd w:id="25"/>
      <w:r>
        <w:rPr/>
        <w:t> </w:t>
      </w:r>
      <w:r>
        <w:br w:type="page"/>
      </w:r>
    </w:p>
    <w:p>
      <w:pPr>
        <w:pStyle w:val="TextBody"/>
        <w:bidi w:val="0"/>
        <w:jc w:val="right"/>
        <w:rPr>
          <w:rFonts w:ascii="Times New Roman" w:hAnsi="Times New Roman"/>
          <w:b/>
          <w:color w:val="000000"/>
          <w:sz w:val="16"/>
        </w:rPr>
      </w:pPr>
      <w:r>
        <w:rPr>
          <w:rFonts w:ascii="Times New Roman" w:hAnsi="Times New Roman"/>
          <w:b/>
          <w:color w:val="000000"/>
          <w:sz w:val="16"/>
        </w:rPr>
        <w:t>Exhibit 31.2</w:t>
      </w:r>
    </w:p>
    <w:p>
      <w:pPr>
        <w:pStyle w:val="TextBody"/>
        <w:bidi w:val="0"/>
        <w:jc w:val="center"/>
        <w:rPr>
          <w:rFonts w:ascii="Times New Roman" w:hAnsi="Times New Roman"/>
          <w:sz w:val="20"/>
        </w:rPr>
      </w:pPr>
      <w:r>
        <w:rPr>
          <w:rFonts w:ascii="Times New Roman" w:hAnsi="Times New Roman"/>
          <w:b/>
          <w:color w:val="000000"/>
          <w:sz w:val="16"/>
        </w:rPr>
        <w:t>CERTIFICATION OF CHIEF FINANCIAL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PURSUANT TO RULE 13A-14 OF THE SECURITIES EXCHANGE ACT OF 1934, AS ADOPTED</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PURSUANT TO SECTION 302 OF THE SARBANES-OXLEY ACT OF 2002</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I, Jason Roos, certify that:</w:t>
      </w:r>
    </w:p>
    <w:tbl>
      <w:tblPr>
        <w:tblW w:w="6722" w:type="dxa"/>
        <w:jc w:val="left"/>
        <w:tblInd w:w="0" w:type="dxa"/>
        <w:tblLayout w:type="fixed"/>
        <w:tblCellMar>
          <w:top w:w="28" w:type="dxa"/>
          <w:left w:w="28" w:type="dxa"/>
          <w:bottom w:w="28" w:type="dxa"/>
          <w:right w:w="28" w:type="dxa"/>
        </w:tblCellMar>
      </w:tblPr>
      <w:tblGrid>
        <w:gridCol w:w="256"/>
        <w:gridCol w:w="6466"/>
      </w:tblGrid>
      <w:tr>
        <w:trPr/>
        <w:tc>
          <w:tcPr>
            <w:tcW w:w="256" w:type="dxa"/>
            <w:tcBorders/>
            <w:vAlign w:val="center"/>
          </w:tcPr>
          <w:p>
            <w:pPr>
              <w:pStyle w:val="TableContents"/>
              <w:bidi w:val="0"/>
              <w:spacing w:before="0" w:after="283"/>
              <w:jc w:val="left"/>
              <w:rPr>
                <w:sz w:val="4"/>
                <w:szCs w:val="4"/>
              </w:rPr>
            </w:pPr>
            <w:r>
              <w:rPr>
                <w:sz w:val="4"/>
                <w:szCs w:val="4"/>
              </w:rPr>
            </w:r>
          </w:p>
        </w:tc>
        <w:tc>
          <w:tcPr>
            <w:tcW w:w="6466" w:type="dxa"/>
            <w:tcBorders/>
            <w:vAlign w:val="center"/>
          </w:tcPr>
          <w:p>
            <w:pPr>
              <w:pStyle w:val="TableContents"/>
              <w:bidi w:val="0"/>
              <w:spacing w:before="0" w:after="283"/>
              <w:jc w:val="left"/>
              <w:rPr>
                <w:sz w:val="4"/>
                <w:szCs w:val="4"/>
              </w:rPr>
            </w:pPr>
            <w:r>
              <w:rPr>
                <w:sz w:val="4"/>
                <w:szCs w:val="4"/>
              </w:rPr>
            </w:r>
          </w:p>
        </w:tc>
      </w:tr>
      <w:tr>
        <w:trPr/>
        <w:tc>
          <w:tcPr>
            <w:tcW w:w="256"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w:t>
            </w:r>
          </w:p>
        </w:tc>
        <w:tc>
          <w:tcPr>
            <w:tcW w:w="6466"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I have reviewed this Quarterly Report on Form 10-Q of Logan Ridge Finance Corporation;</w:t>
            </w:r>
          </w:p>
        </w:tc>
      </w:tr>
    </w:tbl>
    <w:tbl>
      <w:tblPr>
        <w:tblW w:w="10205" w:type="dxa"/>
        <w:jc w:val="left"/>
        <w:tblInd w:w="0" w:type="dxa"/>
        <w:tblLayout w:type="fixed"/>
        <w:tblCellMar>
          <w:top w:w="28" w:type="dxa"/>
          <w:left w:w="28" w:type="dxa"/>
          <w:bottom w:w="28" w:type="dxa"/>
          <w:right w:w="28" w:type="dxa"/>
        </w:tblCellMar>
      </w:tblPr>
      <w:tblGrid>
        <w:gridCol w:w="231"/>
        <w:gridCol w:w="9974"/>
      </w:tblGrid>
      <w:tr>
        <w:trPr/>
        <w:tc>
          <w:tcPr>
            <w:tcW w:w="231" w:type="dxa"/>
            <w:tcBorders/>
            <w:vAlign w:val="center"/>
          </w:tcPr>
          <w:p>
            <w:pPr>
              <w:pStyle w:val="TableContents"/>
              <w:bidi w:val="0"/>
              <w:spacing w:before="0" w:after="283"/>
              <w:jc w:val="left"/>
              <w:rPr>
                <w:sz w:val="4"/>
                <w:szCs w:val="4"/>
              </w:rPr>
            </w:pPr>
            <w:r>
              <w:rPr>
                <w:sz w:val="4"/>
                <w:szCs w:val="4"/>
              </w:rPr>
            </w:r>
          </w:p>
        </w:tc>
        <w:tc>
          <w:tcPr>
            <w:tcW w:w="9974" w:type="dxa"/>
            <w:tcBorders/>
            <w:vAlign w:val="center"/>
          </w:tcPr>
          <w:p>
            <w:pPr>
              <w:pStyle w:val="TableContents"/>
              <w:bidi w:val="0"/>
              <w:spacing w:before="0" w:after="283"/>
              <w:jc w:val="left"/>
              <w:rPr>
                <w:sz w:val="4"/>
                <w:szCs w:val="4"/>
              </w:rPr>
            </w:pPr>
            <w:r>
              <w:rPr>
                <w:sz w:val="4"/>
                <w:szCs w:val="4"/>
              </w:rPr>
            </w:r>
          </w:p>
        </w:tc>
      </w:tr>
      <w:tr>
        <w:trPr/>
        <w:tc>
          <w:tcPr>
            <w:tcW w:w="231"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2.</w:t>
            </w:r>
          </w:p>
        </w:tc>
        <w:tc>
          <w:tcPr>
            <w:tcW w:w="9974"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232"/>
        <w:gridCol w:w="9973"/>
      </w:tblGrid>
      <w:tr>
        <w:trPr/>
        <w:tc>
          <w:tcPr>
            <w:tcW w:w="232" w:type="dxa"/>
            <w:tcBorders/>
            <w:vAlign w:val="center"/>
          </w:tcPr>
          <w:p>
            <w:pPr>
              <w:pStyle w:val="TableContents"/>
              <w:bidi w:val="0"/>
              <w:spacing w:before="0" w:after="283"/>
              <w:jc w:val="left"/>
              <w:rPr>
                <w:sz w:val="4"/>
                <w:szCs w:val="4"/>
              </w:rPr>
            </w:pPr>
            <w:r>
              <w:rPr>
                <w:sz w:val="4"/>
                <w:szCs w:val="4"/>
              </w:rPr>
            </w:r>
          </w:p>
        </w:tc>
        <w:tc>
          <w:tcPr>
            <w:tcW w:w="9973" w:type="dxa"/>
            <w:tcBorders/>
            <w:vAlign w:val="center"/>
          </w:tcPr>
          <w:p>
            <w:pPr>
              <w:pStyle w:val="TableContents"/>
              <w:bidi w:val="0"/>
              <w:spacing w:before="0" w:after="283"/>
              <w:jc w:val="left"/>
              <w:rPr>
                <w:sz w:val="4"/>
                <w:szCs w:val="4"/>
              </w:rPr>
            </w:pPr>
            <w:r>
              <w:rPr>
                <w:sz w:val="4"/>
                <w:szCs w:val="4"/>
              </w:rPr>
            </w:r>
          </w:p>
        </w:tc>
      </w:tr>
      <w:tr>
        <w:trPr/>
        <w:tc>
          <w:tcPr>
            <w:tcW w:w="232"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3.</w:t>
            </w:r>
          </w:p>
        </w:tc>
        <w:tc>
          <w:tcPr>
            <w:tcW w:w="9973"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229"/>
        <w:gridCol w:w="9976"/>
      </w:tblGrid>
      <w:tr>
        <w:trPr/>
        <w:tc>
          <w:tcPr>
            <w:tcW w:w="229" w:type="dxa"/>
            <w:tcBorders/>
            <w:vAlign w:val="center"/>
          </w:tcPr>
          <w:p>
            <w:pPr>
              <w:pStyle w:val="TableContents"/>
              <w:bidi w:val="0"/>
              <w:spacing w:before="0" w:after="283"/>
              <w:jc w:val="left"/>
              <w:rPr>
                <w:sz w:val="4"/>
                <w:szCs w:val="4"/>
              </w:rPr>
            </w:pPr>
            <w:r>
              <w:rPr>
                <w:sz w:val="4"/>
                <w:szCs w:val="4"/>
              </w:rPr>
            </w:r>
          </w:p>
        </w:tc>
        <w:tc>
          <w:tcPr>
            <w:tcW w:w="9976" w:type="dxa"/>
            <w:tcBorders/>
            <w:vAlign w:val="center"/>
          </w:tcPr>
          <w:p>
            <w:pPr>
              <w:pStyle w:val="TableContents"/>
              <w:bidi w:val="0"/>
              <w:spacing w:before="0" w:after="283"/>
              <w:jc w:val="left"/>
              <w:rPr>
                <w:sz w:val="4"/>
                <w:szCs w:val="4"/>
              </w:rPr>
            </w:pPr>
            <w:r>
              <w:rPr>
                <w:sz w:val="4"/>
                <w:szCs w:val="4"/>
              </w:rPr>
            </w:r>
          </w:p>
        </w:tc>
      </w:tr>
      <w:tr>
        <w:trPr/>
        <w:tc>
          <w:tcPr>
            <w:tcW w:w="229"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4.</w:t>
            </w:r>
          </w:p>
        </w:tc>
        <w:tc>
          <w:tcPr>
            <w:tcW w:w="9976"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The registrant’s other certifying officer(s) and I are responsible for establishing and maintaining disclosure controls and procedures (as defined in the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265"/>
        <w:gridCol w:w="9816"/>
      </w:tblGrid>
      <w:tr>
        <w:trPr/>
        <w:tc>
          <w:tcPr>
            <w:tcW w:w="12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1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(a)</w:t>
            </w:r>
          </w:p>
        </w:tc>
        <w:tc>
          <w:tcPr>
            <w:tcW w:w="9816"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278"/>
        <w:gridCol w:w="9803"/>
      </w:tblGrid>
      <w:tr>
        <w:trPr/>
        <w:tc>
          <w:tcPr>
            <w:tcW w:w="1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80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(b)</w:t>
            </w:r>
          </w:p>
        </w:tc>
        <w:tc>
          <w:tcPr>
            <w:tcW w:w="980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270"/>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8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(c)</w:t>
            </w:r>
          </w:p>
        </w:tc>
        <w:tc>
          <w:tcPr>
            <w:tcW w:w="9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tc>
      </w:tr>
    </w:tbl>
    <w:tbl>
      <w:tblPr>
        <w:tblW w:w="10205" w:type="dxa"/>
        <w:jc w:val="left"/>
        <w:tblInd w:w="0" w:type="dxa"/>
        <w:tblLayout w:type="fixed"/>
        <w:tblCellMar>
          <w:top w:w="28" w:type="dxa"/>
          <w:left w:w="28" w:type="dxa"/>
          <w:bottom w:w="28" w:type="dxa"/>
          <w:right w:w="28" w:type="dxa"/>
        </w:tblCellMar>
      </w:tblPr>
      <w:tblGrid>
        <w:gridCol w:w="124"/>
        <w:gridCol w:w="278"/>
        <w:gridCol w:w="9803"/>
      </w:tblGrid>
      <w:tr>
        <w:trPr/>
        <w:tc>
          <w:tcPr>
            <w:tcW w:w="1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80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(d)</w:t>
            </w:r>
          </w:p>
        </w:tc>
        <w:tc>
          <w:tcPr>
            <w:tcW w:w="980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232"/>
        <w:gridCol w:w="9973"/>
      </w:tblGrid>
      <w:tr>
        <w:trPr/>
        <w:tc>
          <w:tcPr>
            <w:tcW w:w="232" w:type="dxa"/>
            <w:tcBorders/>
            <w:vAlign w:val="center"/>
          </w:tcPr>
          <w:p>
            <w:pPr>
              <w:pStyle w:val="TableContents"/>
              <w:bidi w:val="0"/>
              <w:spacing w:before="0" w:after="283"/>
              <w:jc w:val="left"/>
              <w:rPr>
                <w:sz w:val="4"/>
                <w:szCs w:val="4"/>
              </w:rPr>
            </w:pPr>
            <w:r>
              <w:rPr>
                <w:sz w:val="4"/>
                <w:szCs w:val="4"/>
              </w:rPr>
            </w:r>
          </w:p>
        </w:tc>
        <w:tc>
          <w:tcPr>
            <w:tcW w:w="9973" w:type="dxa"/>
            <w:tcBorders/>
            <w:vAlign w:val="center"/>
          </w:tcPr>
          <w:p>
            <w:pPr>
              <w:pStyle w:val="TableContents"/>
              <w:bidi w:val="0"/>
              <w:spacing w:before="0" w:after="283"/>
              <w:jc w:val="left"/>
              <w:rPr>
                <w:sz w:val="4"/>
                <w:szCs w:val="4"/>
              </w:rPr>
            </w:pPr>
            <w:r>
              <w:rPr>
                <w:sz w:val="4"/>
                <w:szCs w:val="4"/>
              </w:rPr>
            </w:r>
          </w:p>
        </w:tc>
      </w:tr>
      <w:tr>
        <w:trPr/>
        <w:tc>
          <w:tcPr>
            <w:tcW w:w="232"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5.</w:t>
            </w:r>
          </w:p>
        </w:tc>
        <w:tc>
          <w:tcPr>
            <w:tcW w:w="9973"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271"/>
        <w:gridCol w:w="9810"/>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10"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(a)</w:t>
            </w:r>
          </w:p>
        </w:tc>
        <w:tc>
          <w:tcPr>
            <w:tcW w:w="981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304"/>
        <w:gridCol w:w="9777"/>
      </w:tblGrid>
      <w:tr>
        <w:trPr/>
        <w:tc>
          <w:tcPr>
            <w:tcW w:w="12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7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(b)</w:t>
            </w:r>
          </w:p>
        </w:tc>
        <w:tc>
          <w:tcPr>
            <w:tcW w:w="977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Any fraud, whether or not material, that involves management or other employees who have a significant role in the registrant’s internal control over financial reporting.</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val="false"/>
          <w:color w:val="000000"/>
          <w:sz w:val="16"/>
        </w:rPr>
      </w:pPr>
      <w:r>
        <w:rPr>
          <w:rFonts w:ascii="Times New Roman" w:hAnsi="Times New Roman"/>
          <w:b w:val="false"/>
          <w:color w:val="000000"/>
          <w:sz w:val="16"/>
        </w:rPr>
        <w:t>Date: November 8, 2023</w:t>
      </w:r>
    </w:p>
    <w:tbl>
      <w:tblPr>
        <w:tblW w:w="2645" w:type="dxa"/>
        <w:jc w:val="left"/>
        <w:tblInd w:w="0" w:type="dxa"/>
        <w:tblLayout w:type="fixed"/>
        <w:tblCellMar>
          <w:top w:w="28" w:type="dxa"/>
          <w:left w:w="28" w:type="dxa"/>
          <w:bottom w:w="28" w:type="dxa"/>
          <w:right w:w="28" w:type="dxa"/>
        </w:tblCellMar>
      </w:tblPr>
      <w:tblGrid>
        <w:gridCol w:w="124"/>
        <w:gridCol w:w="2521"/>
      </w:tblGrid>
      <w:tr>
        <w:trPr/>
        <w:tc>
          <w:tcPr>
            <w:tcW w:w="124"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2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 Jason Roos</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Jason Roos</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Chief Financial Officer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i/>
                <w:color w:val="000000"/>
                <w:sz w:val="16"/>
              </w:rPr>
            </w:pPr>
            <w:r>
              <w:rPr>
                <w:rFonts w:ascii="Times New Roman" w:hAnsi="Times New Roman"/>
                <w:b w:val="false"/>
                <w:i/>
                <w:color w:val="000000"/>
                <w:sz w:val="16"/>
              </w:rPr>
              <w:t>(Principal Financial Officer)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Logan Ridge Finance Corporation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lrfc-ex32_1.htm"/>
      <w:bookmarkStart w:id="27" w:name="kslrfcex32_1"/>
      <w:bookmarkEnd w:id="26"/>
      <w:bookmarkEnd w:id="27"/>
      <w:r>
        <w:rPr/>
        <w:t> </w:t>
      </w:r>
      <w:r>
        <w:br w:type="page"/>
      </w:r>
    </w:p>
    <w:p>
      <w:pPr>
        <w:pStyle w:val="TextBody"/>
        <w:bidi w:val="0"/>
        <w:jc w:val="right"/>
        <w:rPr>
          <w:rFonts w:ascii="Times New Roman" w:hAnsi="Times New Roman"/>
          <w:b/>
          <w:color w:val="000000"/>
          <w:sz w:val="16"/>
        </w:rPr>
      </w:pPr>
      <w:r>
        <w:rPr>
          <w:rFonts w:ascii="Times New Roman" w:hAnsi="Times New Roman"/>
          <w:b/>
          <w:color w:val="000000"/>
          <w:sz w:val="16"/>
        </w:rPr>
        <w:t>Exhibit 32.1</w:t>
      </w:r>
    </w:p>
    <w:p>
      <w:pPr>
        <w:pStyle w:val="TextBody"/>
        <w:bidi w:val="0"/>
        <w:jc w:val="center"/>
        <w:rPr>
          <w:rFonts w:ascii="Times New Roman" w:hAnsi="Times New Roman"/>
          <w:sz w:val="20"/>
        </w:rPr>
      </w:pPr>
      <w:r>
        <w:rPr>
          <w:rFonts w:ascii="Times New Roman" w:hAnsi="Times New Roman"/>
          <w:b/>
          <w:color w:val="000000"/>
          <w:sz w:val="16"/>
        </w:rPr>
        <w:t>CERTIFICATION OF CHIEF EXECUTIVE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PURSUANT TO 18 U.S.C. SECTION 1350, AS ADOPTED</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PURSUANT TO SECTION 906 OF THE SARBANES-OXLEY ACT OF 2002</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I, Ted Goldthorpe, Chief Executive Officer and President, in connection with the Quarterly Report of Logan Ridge Finance Corporation (the “Company”) on Form 10-Q for the quarterly period ended September 30, 2023, as filed with the U.S. Securities and Exchange Commission on the date hereof (the “Quarterly Report”), certify, pursuant to Section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240"/>
        <w:gridCol w:w="9841"/>
      </w:tblGrid>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84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1.</w:t>
            </w:r>
          </w:p>
        </w:tc>
        <w:tc>
          <w:tcPr>
            <w:tcW w:w="9841"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The Quarterly Report fully complies with the requirements of Section 13(a) or 15(d) of the Securities Exchange Act 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236"/>
        <w:gridCol w:w="9845"/>
      </w:tblGrid>
      <w:tr>
        <w:trPr/>
        <w:tc>
          <w:tcPr>
            <w:tcW w:w="12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84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2.</w:t>
            </w:r>
          </w:p>
        </w:tc>
        <w:tc>
          <w:tcPr>
            <w:tcW w:w="9845"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The information contained in the Quarterly Report fairly presents, in all material respects, the financial condition and results of operations of the Company.</w:t>
            </w:r>
          </w:p>
        </w:tc>
      </w:tr>
    </w:tbl>
    <w:p>
      <w:pPr>
        <w:pStyle w:val="TextBody"/>
        <w:bidi w:val="0"/>
        <w:jc w:val="left"/>
        <w:rPr>
          <w:rFonts w:ascii="Times New Roman" w:hAnsi="Times New Roman"/>
          <w:b w:val="false"/>
          <w:color w:val="000000"/>
          <w:sz w:val="16"/>
        </w:rPr>
      </w:pPr>
      <w:r>
        <w:rPr>
          <w:rFonts w:ascii="Times New Roman" w:hAnsi="Times New Roman"/>
          <w:b w:val="false"/>
          <w:color w:val="000000"/>
          <w:sz w:val="16"/>
        </w:rPr>
        <w:t>Date: November 8, 2023</w:t>
      </w:r>
    </w:p>
    <w:tbl>
      <w:tblPr>
        <w:tblW w:w="2900" w:type="dxa"/>
        <w:jc w:val="left"/>
        <w:tblInd w:w="0" w:type="dxa"/>
        <w:tblLayout w:type="fixed"/>
        <w:tblCellMar>
          <w:top w:w="28" w:type="dxa"/>
          <w:left w:w="28" w:type="dxa"/>
          <w:bottom w:w="28" w:type="dxa"/>
          <w:right w:w="28" w:type="dxa"/>
        </w:tblCellMar>
      </w:tblPr>
      <w:tblGrid>
        <w:gridCol w:w="124"/>
        <w:gridCol w:w="2776"/>
      </w:tblGrid>
      <w:tr>
        <w:trPr/>
        <w:tc>
          <w:tcPr>
            <w:tcW w:w="12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7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 Ted Goldthorpe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Ted Goldthorpe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Chief Executive Officer and President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rFonts w:ascii="Times New Roman" w:hAnsi="Times New Roman"/>
                <w:b w:val="false"/>
                <w:i/>
                <w:color w:val="000000"/>
                <w:sz w:val="16"/>
              </w:rPr>
            </w:pPr>
            <w:r>
              <w:rPr>
                <w:rFonts w:ascii="Times New Roman" w:hAnsi="Times New Roman"/>
                <w:b w:val="false"/>
                <w:i/>
                <w:color w:val="000000"/>
                <w:sz w:val="16"/>
              </w:rPr>
              <w:t>(Principal Executive Officer)</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Logan Ridge Finance Corporation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lrfc-ex32_2.htm"/>
      <w:bookmarkStart w:id="29" w:name="kslrfcex32_2"/>
      <w:bookmarkEnd w:id="28"/>
      <w:bookmarkEnd w:id="29"/>
      <w:r>
        <w:rPr/>
        <w:t> </w:t>
      </w:r>
      <w:r>
        <w:br w:type="page"/>
      </w:r>
    </w:p>
    <w:p>
      <w:pPr>
        <w:pStyle w:val="TextBody"/>
        <w:bidi w:val="0"/>
        <w:jc w:val="right"/>
        <w:rPr>
          <w:rFonts w:ascii="Times New Roman" w:hAnsi="Times New Roman"/>
          <w:b/>
          <w:color w:val="000000"/>
          <w:sz w:val="16"/>
        </w:rPr>
      </w:pPr>
      <w:r>
        <w:rPr>
          <w:rFonts w:ascii="Times New Roman" w:hAnsi="Times New Roman"/>
          <w:b/>
          <w:color w:val="000000"/>
          <w:sz w:val="16"/>
        </w:rPr>
        <w:t>Exhibit 32.2</w:t>
      </w:r>
    </w:p>
    <w:p>
      <w:pPr>
        <w:pStyle w:val="TextBody"/>
        <w:bidi w:val="0"/>
        <w:jc w:val="center"/>
        <w:rPr>
          <w:rFonts w:ascii="Times New Roman" w:hAnsi="Times New Roman"/>
          <w:sz w:val="20"/>
        </w:rPr>
      </w:pPr>
      <w:r>
        <w:rPr>
          <w:rFonts w:ascii="Times New Roman" w:hAnsi="Times New Roman"/>
          <w:b/>
          <w:color w:val="000000"/>
          <w:sz w:val="16"/>
        </w:rPr>
        <w:t>CERTIFICATION OF CHIEF FINANCIAL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PURSUANT TO 18 U.S.C. SECTION 1350, AS ADOPTED</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PURSUANT TO SECTION 906 OF THE SARBANES-OXLEY ACT OF 2002</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I, Jason Roos, Chief Financial Officer, in connection with the Quarterly Report of Logan Ridge Finance Corporation (the “Company”) on Form 10-Q for the quarterly period ended September 30, 2023, as filed with the U.S. Securities and Exchange Commission on the date hereof (the “Quarterly Report”), certify, pursuant to Section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240"/>
        <w:gridCol w:w="9841"/>
      </w:tblGrid>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84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w:t>
            </w:r>
          </w:p>
        </w:tc>
        <w:tc>
          <w:tcPr>
            <w:tcW w:w="9841"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The Quarterly Report fully complies with the requirements of Section 13(a) or 15(d) of the Securities Exchange Act 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236"/>
        <w:gridCol w:w="9845"/>
      </w:tblGrid>
      <w:tr>
        <w:trPr/>
        <w:tc>
          <w:tcPr>
            <w:tcW w:w="12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84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2.</w:t>
            </w:r>
          </w:p>
        </w:tc>
        <w:tc>
          <w:tcPr>
            <w:tcW w:w="984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The information contained in the Quarterly Report fairly presents, in all material respects, the financial condition and results of operations of the Company.</w:t>
            </w:r>
          </w:p>
        </w:tc>
      </w:tr>
    </w:tbl>
    <w:p>
      <w:pPr>
        <w:pStyle w:val="TextBody"/>
        <w:bidi w:val="0"/>
        <w:jc w:val="left"/>
        <w:rPr>
          <w:rFonts w:ascii="Times New Roman" w:hAnsi="Times New Roman"/>
          <w:b w:val="false"/>
          <w:color w:val="000000"/>
          <w:sz w:val="16"/>
        </w:rPr>
      </w:pPr>
      <w:r>
        <w:rPr>
          <w:rFonts w:ascii="Times New Roman" w:hAnsi="Times New Roman"/>
          <w:b w:val="false"/>
          <w:color w:val="000000"/>
          <w:sz w:val="16"/>
        </w:rPr>
        <w:t>Date: November 8, 2023</w:t>
      </w:r>
    </w:p>
    <w:tbl>
      <w:tblPr>
        <w:tblW w:w="2645" w:type="dxa"/>
        <w:jc w:val="left"/>
        <w:tblInd w:w="0" w:type="dxa"/>
        <w:tblLayout w:type="fixed"/>
        <w:tblCellMar>
          <w:top w:w="28" w:type="dxa"/>
          <w:left w:w="28" w:type="dxa"/>
          <w:bottom w:w="28" w:type="dxa"/>
          <w:right w:w="28" w:type="dxa"/>
        </w:tblCellMar>
      </w:tblPr>
      <w:tblGrid>
        <w:gridCol w:w="124"/>
        <w:gridCol w:w="2521"/>
      </w:tblGrid>
      <w:tr>
        <w:trPr/>
        <w:tc>
          <w:tcPr>
            <w:tcW w:w="124"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2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 Jason Roos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Jason Roos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Chief Financial Officer</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rFonts w:ascii="Times New Roman" w:hAnsi="Times New Roman"/>
                <w:b w:val="false"/>
                <w:i/>
                <w:color w:val="000000"/>
                <w:sz w:val="16"/>
              </w:rPr>
            </w:pPr>
            <w:r>
              <w:rPr>
                <w:rFonts w:ascii="Times New Roman" w:hAnsi="Times New Roman"/>
                <w:b w:val="false"/>
                <w:i/>
                <w:color w:val="000000"/>
                <w:sz w:val="16"/>
              </w:rPr>
              <w:t>(Principal Financial Officer)</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Logan Ridge Finance Corporation</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21483/000119312513361263/d505298dex99a1.htm" TargetMode="External"/><Relationship Id="rId3" Type="http://schemas.openxmlformats.org/officeDocument/2006/relationships/hyperlink" Target="https://www.sec.gov/Archives/edgar/data/1221483/000119312513361263/d505298dex99a1.htm" TargetMode="External"/><Relationship Id="rId4" Type="http://schemas.openxmlformats.org/officeDocument/2006/relationships/hyperlink" Target="https://www.sec.gov/Archives/edgar/data/1221483/000119312513361263/d505298dex99a1.htm" TargetMode="External"/><Relationship Id="rId5" Type="http://schemas.openxmlformats.org/officeDocument/2006/relationships/hyperlink" Target="https://www.sec.gov/Archives/edgar/data/1571329/000110465920090336/tm2026478d1_ex3-1.htm" TargetMode="External"/><Relationship Id="rId6" Type="http://schemas.openxmlformats.org/officeDocument/2006/relationships/hyperlink" Target="https://www.sec.gov/Archives/edgar/data/1571329/000110465920090336/tm2026478d1_ex3-1.htm" TargetMode="External"/><Relationship Id="rId7" Type="http://schemas.openxmlformats.org/officeDocument/2006/relationships/hyperlink" Target="https://www.sec.gov/Archives/edgar/data/1571329/000110465920090336/tm2026478d1_ex3-1.htm" TargetMode="External"/><Relationship Id="rId8" Type="http://schemas.openxmlformats.org/officeDocument/2006/relationships/hyperlink" Target="https://www.sec.gov/Archives/edgar/data/1221483/000119312513368161/d505298dex99a2.htm" TargetMode="External"/><Relationship Id="rId9" Type="http://schemas.openxmlformats.org/officeDocument/2006/relationships/hyperlink" Target="https://www.sec.gov/Archives/edgar/data/1221483/000119312513368161/d505298dex99a2.htm" TargetMode="External"/><Relationship Id="rId10" Type="http://schemas.openxmlformats.org/officeDocument/2006/relationships/hyperlink" Target="https://www.sec.gov/Archives/edgar/data/1221483/000119312513368161/d505298dex99a2.htm" TargetMode="External"/><Relationship Id="rId11" Type="http://schemas.openxmlformats.org/officeDocument/2006/relationships/hyperlink" Target="https://www.sec.gov/Archives/edgar/data/1221483/000119312513368161/d505298dex99a3.htm" TargetMode="External"/><Relationship Id="rId12" Type="http://schemas.openxmlformats.org/officeDocument/2006/relationships/hyperlink" Target="https://www.sec.gov/Archives/edgar/data/1221483/000119312513368161/d505298dex99a3.htm" TargetMode="External"/><Relationship Id="rId13" Type="http://schemas.openxmlformats.org/officeDocument/2006/relationships/hyperlink" Target="https://www.sec.gov/Archives/edgar/data/1221483/000119312513368161/d505298dex99a3.htm" TargetMode="External"/><Relationship Id="rId14" Type="http://schemas.openxmlformats.org/officeDocument/2006/relationships/hyperlink" Target="https://www.sec.gov/Archives/edgar/data/1221483/000119312513361263/d505298dex99b1.htm" TargetMode="External"/><Relationship Id="rId15" Type="http://schemas.openxmlformats.org/officeDocument/2006/relationships/hyperlink" Target="https://www.sec.gov/Archives/edgar/data/1221483/000119312513361263/d505298dex99b1.htm" TargetMode="External"/><Relationship Id="rId16" Type="http://schemas.openxmlformats.org/officeDocument/2006/relationships/hyperlink" Target="https://www.sec.gov/Archives/edgar/data/1221483/000119312513361263/d505298dex99b1.htm" TargetMode="External"/><Relationship Id="rId17" Type="http://schemas.openxmlformats.org/officeDocument/2006/relationships/hyperlink" Target="https://www.sec.gov/Archives/edgar/data/1571329/000119312513376445/d505298dex99b2.htm" TargetMode="External"/><Relationship Id="rId18" Type="http://schemas.openxmlformats.org/officeDocument/2006/relationships/hyperlink" Target="https://www.sec.gov/Archives/edgar/data/1571329/000119312513376445/d505298dex99b2.htm" TargetMode="External"/><Relationship Id="rId19" Type="http://schemas.openxmlformats.org/officeDocument/2006/relationships/hyperlink" Target="https://www.sec.gov/Archives/edgar/data/1571329/000119312513376445/d505298dex99b2.htm" TargetMode="External"/><Relationship Id="rId20" Type="http://schemas.openxmlformats.org/officeDocument/2006/relationships/hyperlink" Target="https://www.sec.gov/Archives/edgar/data/1571329/000119312513376445/d505298dex99b3.htm" TargetMode="External"/><Relationship Id="rId21" Type="http://schemas.openxmlformats.org/officeDocument/2006/relationships/hyperlink" Target="https://www.sec.gov/Archives/edgar/data/1571329/000119312513376445/d505298dex99b3.htm" TargetMode="External"/><Relationship Id="rId22" Type="http://schemas.openxmlformats.org/officeDocument/2006/relationships/hyperlink" Target="https://www.sec.gov/Archives/edgar/data/1571329/000119312513376445/d505298dex99b3.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38839</Words>
  <Characters>212991</Characters>
  <CharactersWithSpaces>255943</CharactersWithSpaces>
  <Paragraphs>15251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