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63" w:right="239" w:bottom="0" w:gutter="0" w:footer="0" w:header="0"/>
        </w:sectPr>
      </w:pPr>
    </w:p>
    <w:p>
      <w:pPr>
        <w:spacing w:after="0" w:line="200" w:lineRule="exact"/>
        <w:rPr>
          <w:sz w:val="24"/>
          <w:szCs w:val="24"/>
          <w:color w:val="auto"/>
        </w:rPr>
      </w:pPr>
    </w:p>
    <w:p>
      <w:pPr>
        <w:spacing w:after="0" w:line="38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Quarter Ended March 31, 2014</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300"/>
        <w:spacing w:after="0"/>
        <w:tabs>
          <w:tab w:leader="none" w:pos="2980" w:val="left"/>
        </w:tabs>
        <w:rPr>
          <w:sz w:val="20"/>
          <w:szCs w:val="20"/>
          <w:color w:val="auto"/>
        </w:rPr>
      </w:pPr>
      <w:r>
        <w:rPr>
          <w:rFonts w:ascii="Arial" w:cs="Arial" w:eastAsia="Arial" w:hAnsi="Arial"/>
          <w:sz w:val="14"/>
          <w:szCs w:val="14"/>
          <w:b w:val="1"/>
          <w:bCs w:val="1"/>
          <w:color w:val="auto"/>
        </w:rPr>
        <w:t>Commission</w:t>
      </w:r>
      <w:r>
        <w:rPr>
          <w:sz w:val="20"/>
          <w:szCs w:val="20"/>
          <w:color w:val="auto"/>
        </w:rPr>
        <w:tab/>
      </w:r>
      <w:r>
        <w:rPr>
          <w:rFonts w:ascii="Arial" w:cs="Arial" w:eastAsia="Arial" w:hAnsi="Arial"/>
          <w:sz w:val="14"/>
          <w:szCs w:val="14"/>
          <w:b w:val="1"/>
          <w:bCs w:val="1"/>
          <w:color w:val="auto"/>
        </w:rPr>
        <w:t>Exact name of registrants as specified in their charters, addresses of principal executive</w:t>
      </w:r>
    </w:p>
    <w:p>
      <w:pPr>
        <w:ind w:left="280"/>
        <w:spacing w:after="0"/>
        <w:tabs>
          <w:tab w:leader="none" w:pos="2840" w:val="left"/>
        </w:tabs>
        <w:rPr>
          <w:sz w:val="20"/>
          <w:szCs w:val="20"/>
          <w:color w:val="auto"/>
        </w:rPr>
      </w:pP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2"/>
          <w:szCs w:val="12"/>
          <w:b w:val="1"/>
          <w:bCs w:val="1"/>
          <w:color w:val="auto"/>
        </w:rPr>
        <w:t>offices, telephone numbers and states or other jurisdictions of incorporation or organization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13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rPr>
              <w:t>814-01022</w:t>
            </w:r>
          </w:p>
        </w:tc>
        <w:tc>
          <w:tcPr>
            <w:tcW w:w="120" w:type="dxa"/>
            <w:vAlign w:val="bottom"/>
          </w:tcPr>
          <w:p>
            <w:pPr>
              <w:spacing w:after="0"/>
              <w:rPr>
                <w:sz w:val="12"/>
                <w:szCs w:val="12"/>
                <w:color w:val="auto"/>
              </w:rPr>
            </w:pPr>
          </w:p>
        </w:tc>
        <w:tc>
          <w:tcPr>
            <w:tcW w:w="8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Capitala Finance Corp.</w:t>
            </w: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4"/>
              </w:rPr>
              <w:t>Charlotte, North Carolina</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(704) 376-5502</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State of Incorporation: Maryland</w:t>
            </w:r>
          </w:p>
        </w:tc>
        <w:tc>
          <w:tcPr>
            <w:tcW w:w="0" w:type="dxa"/>
            <w:vAlign w:val="bottom"/>
          </w:tcPr>
          <w:p>
            <w:pPr>
              <w:spacing w:after="0"/>
              <w:rPr>
                <w:sz w:val="1"/>
                <w:szCs w:val="1"/>
                <w:color w:val="auto"/>
              </w:rPr>
            </w:pPr>
          </w:p>
        </w:tc>
      </w:tr>
      <w:tr>
        <w:trPr>
          <w:trHeight w:val="190"/>
        </w:trPr>
        <w:tc>
          <w:tcPr>
            <w:tcW w:w="13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814-01021</w:t>
            </w:r>
          </w:p>
        </w:tc>
        <w:tc>
          <w:tcPr>
            <w:tcW w:w="120" w:type="dxa"/>
            <w:vAlign w:val="bottom"/>
          </w:tcPr>
          <w:p>
            <w:pPr>
              <w:spacing w:after="0"/>
              <w:rPr>
                <w:sz w:val="16"/>
                <w:szCs w:val="16"/>
                <w:color w:val="auto"/>
              </w:rPr>
            </w:pPr>
          </w:p>
        </w:tc>
        <w:tc>
          <w:tcPr>
            <w:tcW w:w="8340" w:type="dxa"/>
            <w:vAlign w:val="bottom"/>
          </w:tcPr>
          <w:p>
            <w:pPr>
              <w:ind w:left="1980"/>
              <w:spacing w:after="0" w:line="190" w:lineRule="exact"/>
              <w:rPr>
                <w:sz w:val="20"/>
                <w:szCs w:val="20"/>
                <w:color w:val="auto"/>
              </w:rPr>
            </w:pPr>
            <w:r>
              <w:rPr>
                <w:rFonts w:ascii="Arial" w:cs="Arial" w:eastAsia="Arial" w:hAnsi="Arial"/>
                <w:sz w:val="22"/>
                <w:szCs w:val="22"/>
                <w:b w:val="1"/>
                <w:bCs w:val="1"/>
                <w:color w:val="auto"/>
              </w:rPr>
              <w:t>CapitalSouth Partners Fund II</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4"/>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Arial" w:cs="Arial" w:eastAsia="Arial" w:hAnsi="Arial"/>
                <w:sz w:val="32"/>
                <w:szCs w:val="32"/>
                <w:b w:val="1"/>
                <w:bCs w:val="1"/>
                <w:color w:val="auto"/>
                <w:w w:val="94"/>
              </w:rPr>
              <w:t>Limited Partnership</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4"/>
              </w:rPr>
              <w:t>Charlotte, North Carolina</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(704) 376-5502</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2"/>
              </w:rPr>
              <w:t>State of Formation: North Carolina</w:t>
            </w:r>
          </w:p>
        </w:tc>
        <w:tc>
          <w:tcPr>
            <w:tcW w:w="0" w:type="dxa"/>
            <w:vAlign w:val="bottom"/>
          </w:tcPr>
          <w:p>
            <w:pPr>
              <w:spacing w:after="0"/>
              <w:rPr>
                <w:sz w:val="1"/>
                <w:szCs w:val="1"/>
                <w:color w:val="auto"/>
              </w:rPr>
            </w:pPr>
          </w:p>
        </w:tc>
      </w:tr>
      <w:tr>
        <w:trPr>
          <w:trHeight w:val="190"/>
        </w:trPr>
        <w:tc>
          <w:tcPr>
            <w:tcW w:w="13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814-01023</w:t>
            </w:r>
          </w:p>
        </w:tc>
        <w:tc>
          <w:tcPr>
            <w:tcW w:w="120" w:type="dxa"/>
            <w:vAlign w:val="bottom"/>
          </w:tcPr>
          <w:p>
            <w:pPr>
              <w:spacing w:after="0"/>
              <w:rPr>
                <w:sz w:val="16"/>
                <w:szCs w:val="16"/>
                <w:color w:val="auto"/>
              </w:rPr>
            </w:pPr>
          </w:p>
        </w:tc>
        <w:tc>
          <w:tcPr>
            <w:tcW w:w="8340" w:type="dxa"/>
            <w:vAlign w:val="bottom"/>
          </w:tcPr>
          <w:p>
            <w:pPr>
              <w:jc w:val="center"/>
              <w:spacing w:after="0" w:line="190" w:lineRule="exact"/>
              <w:rPr>
                <w:sz w:val="20"/>
                <w:szCs w:val="20"/>
                <w:color w:val="auto"/>
              </w:rPr>
            </w:pPr>
            <w:r>
              <w:rPr>
                <w:rFonts w:ascii="Arial" w:cs="Arial" w:eastAsia="Arial" w:hAnsi="Arial"/>
                <w:sz w:val="22"/>
                <w:szCs w:val="22"/>
                <w:b w:val="1"/>
                <w:bCs w:val="1"/>
                <w:color w:val="auto"/>
              </w:rPr>
              <w:t>CapitalSouth Partners SBIC</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4"/>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Arial" w:cs="Arial" w:eastAsia="Arial" w:hAnsi="Arial"/>
                <w:sz w:val="32"/>
                <w:szCs w:val="32"/>
                <w:b w:val="1"/>
                <w:bCs w:val="1"/>
                <w:color w:val="auto"/>
                <w:w w:val="99"/>
              </w:rPr>
              <w:t>Fund III, L.P.</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4"/>
              </w:rPr>
              <w:t>Charlotte, North Carolina</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(704) 376-5502</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1"/>
              </w:rPr>
              <w:t>State of Formation: Delaware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line="268" w:lineRule="auto"/>
        <w:rPr>
          <w:sz w:val="20"/>
          <w:szCs w:val="20"/>
          <w:color w:val="auto"/>
        </w:rPr>
      </w:pPr>
      <w:r>
        <w:rPr>
          <w:rFonts w:ascii="Arial" w:cs="Arial" w:eastAsia="Arial" w:hAnsi="Arial"/>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0</wp:posOffset>
            </wp:positionV>
            <wp:extent cx="960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90-0945675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55-0793325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20-8426667</w:t>
      </w:r>
    </w:p>
    <w:p>
      <w:pPr>
        <w:spacing w:after="0" w:line="1604" w:lineRule="exact"/>
        <w:rPr>
          <w:sz w:val="24"/>
          <w:szCs w:val="24"/>
          <w:color w:val="auto"/>
        </w:rPr>
      </w:pPr>
    </w:p>
    <w:p>
      <w:pPr>
        <w:sectPr>
          <w:pgSz w:w="11900" w:h="16838" w:orient="portrait"/>
          <w:cols w:equalWidth="0" w:num="2">
            <w:col w:w="9800" w:space="240"/>
            <w:col w:w="1380"/>
          </w:cols>
          <w:pgMar w:left="240" w:top="463" w:right="239" w:bottom="0" w:gutter="0" w:footer="0" w:header="0"/>
          <w:type w:val="continuous"/>
        </w:sectPr>
      </w:pPr>
    </w:p>
    <w:p>
      <w:pPr>
        <w:spacing w:after="0" w:line="366" w:lineRule="exact"/>
        <w:rPr>
          <w:sz w:val="24"/>
          <w:szCs w:val="24"/>
          <w:color w:val="auto"/>
        </w:rPr>
      </w:pPr>
    </w:p>
    <w:p>
      <w:pPr>
        <w:ind w:right="80" w:firstLine="88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Capitala Finance Corp.</w:t>
            </w:r>
          </w:p>
        </w:tc>
        <w:tc>
          <w:tcPr>
            <w:tcW w:w="1700" w:type="dxa"/>
            <w:vAlign w:val="bottom"/>
            <w:gridSpan w:val="2"/>
          </w:tcPr>
          <w:p>
            <w:pPr>
              <w:ind w:left="9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gridSpan w:val="2"/>
          </w:tcPr>
          <w:p>
            <w:pPr>
              <w:ind w:left="2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CapitalSouth Partners Fund II Limited Partnership</w:t>
            </w:r>
          </w:p>
        </w:tc>
        <w:tc>
          <w:tcPr>
            <w:tcW w:w="1220" w:type="dxa"/>
            <w:vAlign w:val="bottom"/>
          </w:tcPr>
          <w:p>
            <w:pPr>
              <w:ind w:left="920"/>
              <w:spacing w:after="0"/>
              <w:rPr>
                <w:sz w:val="20"/>
                <w:szCs w:val="20"/>
                <w:color w:val="auto"/>
              </w:rPr>
            </w:pPr>
            <w:r>
              <w:rPr>
                <w:rFonts w:ascii="Arial" w:cs="Arial" w:eastAsia="Arial" w:hAnsi="Arial"/>
                <w:sz w:val="18"/>
                <w:szCs w:val="18"/>
                <w:color w:val="auto"/>
                <w:w w:val="90"/>
              </w:rPr>
              <w:t>Yes</w:t>
            </w:r>
          </w:p>
        </w:tc>
        <w:tc>
          <w:tcPr>
            <w:tcW w:w="4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No</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CapitalSouth Partners SBIC Fund III, L.P.</w:t>
            </w:r>
          </w:p>
        </w:tc>
        <w:tc>
          <w:tcPr>
            <w:tcW w:w="1220" w:type="dxa"/>
            <w:vAlign w:val="bottom"/>
          </w:tcPr>
          <w:p>
            <w:pPr>
              <w:ind w:left="920"/>
              <w:spacing w:after="0"/>
              <w:rPr>
                <w:sz w:val="20"/>
                <w:szCs w:val="20"/>
                <w:color w:val="auto"/>
              </w:rPr>
            </w:pPr>
            <w:r>
              <w:rPr>
                <w:rFonts w:ascii="Arial" w:cs="Arial" w:eastAsia="Arial" w:hAnsi="Arial"/>
                <w:sz w:val="18"/>
                <w:szCs w:val="18"/>
                <w:color w:val="auto"/>
                <w:w w:val="90"/>
              </w:rPr>
              <w:t>Yes</w:t>
            </w:r>
          </w:p>
        </w:tc>
        <w:tc>
          <w:tcPr>
            <w:tcW w:w="4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No</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Capitala Finance Corp.</w:t>
            </w:r>
          </w:p>
        </w:tc>
        <w:tc>
          <w:tcPr>
            <w:tcW w:w="1700" w:type="dxa"/>
            <w:vAlign w:val="bottom"/>
            <w:gridSpan w:val="2"/>
          </w:tcPr>
          <w:p>
            <w:pPr>
              <w:ind w:left="9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CapitalSouth Partners Fund II Limited Partnership</w:t>
            </w: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Yes</w:t>
            </w:r>
          </w:p>
        </w:tc>
        <w:tc>
          <w:tcPr>
            <w:tcW w:w="4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CapitalSouth Partners SBIC Fund III, L.P.</w:t>
            </w: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Yes</w:t>
            </w:r>
          </w:p>
        </w:tc>
        <w:tc>
          <w:tcPr>
            <w:tcW w:w="4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400" w:firstLine="88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Capitala Finance Corp.</w:t>
            </w:r>
          </w:p>
        </w:tc>
        <w:tc>
          <w:tcPr>
            <w:tcW w:w="2380" w:type="dxa"/>
            <w:vAlign w:val="bottom"/>
          </w:tcPr>
          <w:p>
            <w:pPr>
              <w:ind w:left="160"/>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620"/>
              <w:spacing w:after="0"/>
              <w:rPr>
                <w:sz w:val="20"/>
                <w:szCs w:val="20"/>
                <w:color w:val="auto"/>
              </w:rPr>
            </w:pPr>
            <w:r>
              <w:rPr>
                <w:rFonts w:ascii="Arial" w:cs="Arial" w:eastAsia="Arial" w:hAnsi="Arial"/>
                <w:sz w:val="18"/>
                <w:szCs w:val="18"/>
                <w:color w:val="auto"/>
              </w:rPr>
              <w:t>x</w:t>
            </w:r>
          </w:p>
        </w:tc>
        <w:tc>
          <w:tcPr>
            <w:tcW w:w="320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8"/>
        </w:trPr>
        <w:tc>
          <w:tcPr>
            <w:tcW w:w="3180" w:type="dxa"/>
            <w:vAlign w:val="bottom"/>
          </w:tcPr>
          <w:p>
            <w:pPr>
              <w:spacing w:after="0"/>
              <w:rPr>
                <w:sz w:val="20"/>
                <w:szCs w:val="20"/>
                <w:color w:val="auto"/>
              </w:rPr>
            </w:pPr>
            <w:r>
              <w:rPr>
                <w:rFonts w:ascii="Arial" w:cs="Arial" w:eastAsia="Arial" w:hAnsi="Arial"/>
                <w:sz w:val="18"/>
                <w:szCs w:val="18"/>
                <w:color w:val="auto"/>
              </w:rPr>
              <w:t>CapitalSouth Partners Fund II Limited</w:t>
            </w:r>
          </w:p>
        </w:tc>
        <w:tc>
          <w:tcPr>
            <w:tcW w:w="2380" w:type="dxa"/>
            <w:vAlign w:val="bottom"/>
          </w:tcPr>
          <w:p>
            <w:pPr>
              <w:spacing w:after="0"/>
              <w:rPr>
                <w:sz w:val="24"/>
                <w:szCs w:val="24"/>
                <w:color w:val="auto"/>
              </w:rPr>
            </w:pPr>
          </w:p>
        </w:tc>
        <w:tc>
          <w:tcPr>
            <w:tcW w:w="104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spacing w:after="0"/>
              <w:rPr>
                <w:sz w:val="24"/>
                <w:szCs w:val="24"/>
                <w:color w:val="auto"/>
              </w:rPr>
            </w:pPr>
          </w:p>
        </w:tc>
        <w:tc>
          <w:tcPr>
            <w:tcW w:w="1100" w:type="dxa"/>
            <w:vAlign w:val="bottom"/>
            <w:vMerge w:val="restart"/>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3180" w:type="dxa"/>
            <w:vAlign w:val="bottom"/>
          </w:tcPr>
          <w:p>
            <w:pPr>
              <w:ind w:left="220"/>
              <w:spacing w:after="0"/>
              <w:rPr>
                <w:sz w:val="20"/>
                <w:szCs w:val="20"/>
                <w:color w:val="auto"/>
              </w:rPr>
            </w:pPr>
            <w:r>
              <w:rPr>
                <w:rFonts w:ascii="Arial" w:cs="Arial" w:eastAsia="Arial" w:hAnsi="Arial"/>
                <w:sz w:val="18"/>
                <w:szCs w:val="18"/>
                <w:color w:val="auto"/>
              </w:rPr>
              <w:t>Partnership</w:t>
            </w:r>
          </w:p>
        </w:tc>
        <w:tc>
          <w:tcPr>
            <w:tcW w:w="2380" w:type="dxa"/>
            <w:vAlign w:val="bottom"/>
          </w:tcPr>
          <w:p>
            <w:pPr>
              <w:ind w:left="160"/>
              <w:spacing w:after="0"/>
              <w:rPr>
                <w:sz w:val="20"/>
                <w:szCs w:val="20"/>
                <w:color w:val="auto"/>
              </w:rPr>
            </w:pPr>
            <w:r>
              <w:rPr>
                <w:rFonts w:ascii="Arial" w:cs="Arial" w:eastAsia="Arial" w:hAnsi="Arial"/>
                <w:sz w:val="18"/>
                <w:szCs w:val="18"/>
                <w:color w:val="auto"/>
              </w:rPr>
              <w:t>Large accelerated filer</w:t>
            </w:r>
          </w:p>
        </w:tc>
        <w:tc>
          <w:tcPr>
            <w:tcW w:w="1040" w:type="dxa"/>
            <w:vAlign w:val="bottom"/>
            <w:vMerge w:val="continue"/>
          </w:tcPr>
          <w:p>
            <w:pPr>
              <w:spacing w:after="0"/>
              <w:rPr>
                <w:sz w:val="21"/>
                <w:szCs w:val="21"/>
                <w:color w:val="auto"/>
              </w:rPr>
            </w:pPr>
          </w:p>
        </w:tc>
        <w:tc>
          <w:tcPr>
            <w:tcW w:w="320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620"/>
              <w:spacing w:after="0"/>
              <w:rPr>
                <w:sz w:val="20"/>
                <w:szCs w:val="20"/>
                <w:color w:val="auto"/>
              </w:rPr>
            </w:pPr>
            <w:r>
              <w:rPr>
                <w:rFonts w:ascii="Arial" w:cs="Arial" w:eastAsia="Arial" w:hAnsi="Arial"/>
                <w:sz w:val="18"/>
                <w:szCs w:val="18"/>
                <w:color w:val="auto"/>
              </w:rPr>
              <w:t>x</w:t>
            </w:r>
          </w:p>
        </w:tc>
        <w:tc>
          <w:tcPr>
            <w:tcW w:w="320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w w:val="95"/>
              </w:rPr>
              <w:t>CapitalSouth Partners SBIC Fund III, L.P.</w:t>
            </w:r>
          </w:p>
        </w:tc>
        <w:tc>
          <w:tcPr>
            <w:tcW w:w="2380" w:type="dxa"/>
            <w:vAlign w:val="bottom"/>
          </w:tcPr>
          <w:p>
            <w:pPr>
              <w:ind w:left="160"/>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0" w:gutter="0" w:footer="0" w:header="0"/>
          <w:type w:val="continuous"/>
        </w:sectPr>
      </w:pPr>
    </w:p>
    <w:bookmarkStart w:id="1" w:name="page2"/>
    <w:bookmarkEnd w:id="1"/>
    <w:p>
      <w:pPr>
        <w:jc w:val="right"/>
        <w:spacing w:after="0" w:line="207" w:lineRule="exact"/>
        <w:tabs>
          <w:tab w:leader="none" w:pos="4700" w:val="left"/>
          <w:tab w:leader="none" w:pos="4020" w:val="left"/>
          <w:tab w:leader="none" w:pos="1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Capitala Finance Corp.</w:t>
            </w:r>
          </w:p>
        </w:tc>
        <w:tc>
          <w:tcPr>
            <w:tcW w:w="1700" w:type="dxa"/>
            <w:vAlign w:val="bottom"/>
            <w:gridSpan w:val="2"/>
          </w:tcPr>
          <w:p>
            <w:pPr>
              <w:ind w:left="9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CapitalSouth Partners Fund II Limited Partnership</w:t>
            </w: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Yes</w:t>
            </w:r>
          </w:p>
        </w:tc>
        <w:tc>
          <w:tcPr>
            <w:tcW w:w="4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CapitalSouth Partners SBIC Fund III, L.P.</w:t>
            </w: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Yes</w:t>
            </w:r>
          </w:p>
        </w:tc>
        <w:tc>
          <w:tcPr>
            <w:tcW w:w="4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Capitala Finance Corp.’s common stock, $0.01 par value, outstanding as of May 12, 2014 was 12,974,420.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596900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20"/>
          </w:cols>
          <w:pgMar w:left="1120" w:top="91"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60" w:type="dxa"/>
            <w:vAlign w:val="bottom"/>
            <w:gridSpan w:val="11"/>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PART I</w:t>
            </w:r>
          </w:p>
        </w:tc>
        <w:tc>
          <w:tcPr>
            <w:tcW w:w="9580" w:type="dxa"/>
            <w:vAlign w:val="bottom"/>
            <w:gridSpan w:val="21"/>
            <w:shd w:val="clear" w:color="auto" w:fill="CCFFCC"/>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Assets and Liabilities as of March 31, 2014 (unaudited) and December 31, 2013</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2014 and 2013 (unaudited)</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Net Assets for the three months ended March 31, 2014 and 2013 (unaudited)</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three months ended March 31, 2014 and 2013 (unaudited)</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as of March 31, 2014 (unaudited) and December 31, 2013</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Notes to Consolidated Financial Statements as of March 31, 2014 (unaudited)</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580" w:type="dxa"/>
            <w:vAlign w:val="bottom"/>
            <w:gridSpan w:val="21"/>
            <w:shd w:val="clear" w:color="auto" w:fill="CCFFCC"/>
          </w:tcPr>
          <w:p>
            <w:pPr>
              <w:spacing w:after="0" w:line="17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OTHER INFORMATION</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gridSpan w:val="2"/>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21"/>
            <w:shd w:val="clear" w:color="auto" w:fill="CCFFCC"/>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480" w:type="dxa"/>
            <w:vAlign w:val="bottom"/>
            <w:tcBorders>
              <w:top w:val="single" w:sz="8" w:color="CCFFCC"/>
            </w:tcBorders>
          </w:tcPr>
          <w:p>
            <w:pPr>
              <w:spacing w:after="0"/>
              <w:rPr>
                <w:sz w:val="18"/>
                <w:szCs w:val="18"/>
                <w:color w:val="auto"/>
              </w:rPr>
            </w:pPr>
          </w:p>
        </w:tc>
        <w:tc>
          <w:tcPr>
            <w:tcW w:w="5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6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5600" w:type="dxa"/>
            <w:vAlign w:val="bottom"/>
            <w:tcBorders>
              <w:top w:val="single" w:sz="8" w:color="CCFFCC"/>
              <w:bottom w:val="single" w:sz="8" w:color="auto"/>
            </w:tcBorders>
            <w:gridSpan w:val="13"/>
          </w:tcPr>
          <w:p>
            <w:pPr>
              <w:ind w:left="4500"/>
              <w:spacing w:after="0"/>
              <w:rPr>
                <w:sz w:val="20"/>
                <w:szCs w:val="20"/>
                <w:color w:val="auto"/>
              </w:rPr>
            </w:pPr>
            <w:r>
              <w:rPr>
                <w:rFonts w:ascii="Arial" w:cs="Arial" w:eastAsia="Arial" w:hAnsi="Arial"/>
                <w:sz w:val="18"/>
                <w:szCs w:val="18"/>
                <w:color w:val="auto"/>
              </w:rPr>
              <w:t>2</w:t>
            </w:r>
          </w:p>
        </w:tc>
        <w:tc>
          <w:tcPr>
            <w:tcW w:w="380" w:type="dxa"/>
            <w:vAlign w:val="bottom"/>
            <w:tcBorders>
              <w:top w:val="single" w:sz="8" w:color="CCFFCC"/>
              <w:bottom w:val="single" w:sz="8" w:color="auto"/>
            </w:tcBorders>
          </w:tcPr>
          <w:p>
            <w:pPr>
              <w:spacing w:after="0"/>
              <w:rPr>
                <w:sz w:val="24"/>
                <w:szCs w:val="24"/>
                <w:color w:val="auto"/>
              </w:rPr>
            </w:pPr>
          </w:p>
        </w:tc>
        <w:tc>
          <w:tcPr>
            <w:tcW w:w="480" w:type="dxa"/>
            <w:vAlign w:val="bottom"/>
            <w:tcBorders>
              <w:top w:val="single" w:sz="8" w:color="CCFFCC"/>
              <w:bottom w:val="single" w:sz="8" w:color="auto"/>
            </w:tcBorders>
          </w:tcPr>
          <w:p>
            <w:pPr>
              <w:spacing w:after="0"/>
              <w:rPr>
                <w:sz w:val="24"/>
                <w:szCs w:val="24"/>
                <w:color w:val="auto"/>
              </w:rPr>
            </w:pPr>
          </w:p>
        </w:tc>
        <w:tc>
          <w:tcPr>
            <w:tcW w:w="580" w:type="dxa"/>
            <w:vAlign w:val="bottom"/>
            <w:tcBorders>
              <w:top w:val="single" w:sz="8" w:color="CCFFCC"/>
              <w:bottom w:val="single" w:sz="8" w:color="auto"/>
            </w:tcBorders>
          </w:tcPr>
          <w:p>
            <w:pPr>
              <w:spacing w:after="0"/>
              <w:rPr>
                <w:sz w:val="24"/>
                <w:szCs w:val="24"/>
                <w:color w:val="auto"/>
              </w:rPr>
            </w:pPr>
          </w:p>
        </w:tc>
        <w:tc>
          <w:tcPr>
            <w:tcW w:w="52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620" w:type="dxa"/>
            <w:vAlign w:val="bottom"/>
            <w:tcBorders>
              <w:top w:val="single" w:sz="8" w:color="CCFFCC"/>
              <w:bottom w:val="single" w:sz="8" w:color="auto"/>
            </w:tcBorders>
          </w:tcPr>
          <w:p>
            <w:pPr>
              <w:spacing w:after="0"/>
              <w:rPr>
                <w:sz w:val="24"/>
                <w:szCs w:val="24"/>
                <w:color w:val="auto"/>
              </w:rPr>
            </w:pPr>
          </w:p>
        </w:tc>
        <w:tc>
          <w:tcPr>
            <w:tcW w:w="1180" w:type="dxa"/>
            <w:vAlign w:val="bottom"/>
            <w:tcBorders>
              <w:top w:val="single" w:sz="8" w:color="CCFFCC"/>
              <w:bottom w:val="single" w:sz="8" w:color="auto"/>
            </w:tcBorders>
          </w:tcPr>
          <w:p>
            <w:pPr>
              <w:spacing w:after="0"/>
              <w:rPr>
                <w:sz w:val="24"/>
                <w:szCs w:val="24"/>
                <w:color w:val="auto"/>
              </w:rPr>
            </w:pPr>
          </w:p>
        </w:tc>
        <w:tc>
          <w:tcPr>
            <w:tcW w:w="680" w:type="dxa"/>
            <w:vAlign w:val="bottom"/>
            <w:tcBorders>
              <w:top w:val="single" w:sz="8" w:color="CCFF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0" w:type="dxa"/>
            <w:vAlign w:val="bottom"/>
          </w:tcPr>
          <w:p>
            <w:pPr>
              <w:jc w:val="center"/>
              <w:ind w:left="309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0" w:type="dxa"/>
            <w:vAlign w:val="bottom"/>
          </w:tcPr>
          <w:p>
            <w:pPr>
              <w:jc w:val="center"/>
              <w:ind w:left="3110"/>
              <w:spacing w:after="0"/>
              <w:rPr>
                <w:sz w:val="20"/>
                <w:szCs w:val="20"/>
                <w:color w:val="auto"/>
              </w:rPr>
            </w:pPr>
            <w:r>
              <w:rPr>
                <w:rFonts w:ascii="Arial" w:cs="Arial" w:eastAsia="Arial" w:hAnsi="Arial"/>
                <w:sz w:val="18"/>
                <w:szCs w:val="18"/>
                <w:b w:val="1"/>
                <w:bCs w:val="1"/>
                <w:color w:val="auto"/>
                <w:w w:val="92"/>
              </w:rPr>
              <w:t>Capitala Finance Corp.</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0" w:type="dxa"/>
            <w:vAlign w:val="bottom"/>
          </w:tcPr>
          <w:p>
            <w:pPr>
              <w:jc w:val="center"/>
              <w:ind w:left="309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tcPr>
          <w:p>
            <w:pPr>
              <w:jc w:val="center"/>
              <w:ind w:left="30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84"/>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March 31, 2014   December 31,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Non-control/non-affiliate investments (amortized cost of $110,973 and $84,138,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125,499</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Affiliate investments (amortized cost of $159,398 and $159,104, respectively)</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188,307</w:t>
            </w: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189,098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Control investments (amortized cost of $63,113 and $58,057, respectively)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77,375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investments at fair value (amortized cost of $333,484 and $301,299, respectively)</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391,181</w:t>
            </w:r>
          </w:p>
        </w:tc>
        <w:tc>
          <w:tcPr>
            <w:tcW w:w="20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57,566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receivable</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3,605</w:t>
            </w: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Deferred financing fees (net of accumulated amortization of $2,407 and $2,216, respectively)</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4,680</w:t>
            </w: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0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458,709</w:t>
            </w:r>
          </w:p>
        </w:tc>
        <w:tc>
          <w:tcPr>
            <w:tcW w:w="200" w:type="dxa"/>
            <w:vAlign w:val="bottom"/>
            <w:tcBorders>
              <w:bottom w:val="single" w:sz="8" w:color="CCFFC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476,428</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SBA debentures payable</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192,200</w:t>
            </w:r>
          </w:p>
        </w:tc>
        <w:tc>
          <w:tcPr>
            <w:tcW w:w="74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Incentive fee payable</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1,430</w:t>
            </w: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194,919</w:t>
            </w:r>
          </w:p>
        </w:tc>
        <w:tc>
          <w:tcPr>
            <w:tcW w:w="200" w:type="dxa"/>
            <w:vAlign w:val="bottom"/>
            <w:tcBorders>
              <w:bottom w:val="single" w:sz="8" w:color="CCFFC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207,758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0"/>
              </w:rPr>
              <w:t>Common stock, par value $.01, 100,000,000 common shares authorized, 12,974,420 common shares issued and</w:t>
            </w: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outstanding</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74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188,408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Accumulated undistributed net investment income</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16,383</w:t>
            </w: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Accumulated undistributed net realized gain (loss) from 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appreciation on investments</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57,697</w:t>
            </w:r>
          </w:p>
        </w:tc>
        <w:tc>
          <w:tcPr>
            <w:tcW w:w="2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net assets</w:t>
            </w:r>
          </w:p>
        </w:tc>
        <w:tc>
          <w:tcPr>
            <w:tcW w:w="1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263,790</w:t>
            </w:r>
          </w:p>
        </w:tc>
        <w:tc>
          <w:tcPr>
            <w:tcW w:w="200" w:type="dxa"/>
            <w:vAlign w:val="bottom"/>
            <w:tcBorders>
              <w:bottom w:val="single" w:sz="8" w:color="CCFFC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268,670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458,709</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476,428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20.33</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00" w:type="dxa"/>
            <w:vAlign w:val="bottom"/>
          </w:tcPr>
          <w:p>
            <w:pPr>
              <w:jc w:val="center"/>
              <w:ind w:left="31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00" w:type="dxa"/>
            <w:vAlign w:val="bottom"/>
            <w:tcBorders>
              <w:bottom w:val="single" w:sz="8" w:color="auto"/>
            </w:tcBorders>
          </w:tcPr>
          <w:p>
            <w:pPr>
              <w:jc w:val="center"/>
              <w:ind w:left="3090"/>
              <w:spacing w:after="0"/>
              <w:rPr>
                <w:sz w:val="20"/>
                <w:szCs w:val="20"/>
                <w:color w:val="auto"/>
              </w:rPr>
            </w:pPr>
            <w:r>
              <w:rPr>
                <w:rFonts w:ascii="Arial" w:cs="Arial" w:eastAsia="Arial" w:hAnsi="Arial"/>
                <w:sz w:val="18"/>
                <w:szCs w:val="18"/>
                <w:color w:val="auto"/>
                <w:w w:val="99"/>
              </w:rPr>
              <w:t>3</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80" w:type="dxa"/>
            <w:vAlign w:val="bottom"/>
          </w:tcPr>
          <w:p>
            <w:pPr>
              <w:jc w:val="center"/>
              <w:ind w:left="2930"/>
              <w:spacing w:after="0"/>
              <w:rPr>
                <w:sz w:val="20"/>
                <w:szCs w:val="20"/>
                <w:color w:val="auto"/>
              </w:rPr>
            </w:pPr>
            <w:r>
              <w:rPr>
                <w:rFonts w:ascii="Arial" w:cs="Arial" w:eastAsia="Arial" w:hAnsi="Arial"/>
                <w:sz w:val="18"/>
                <w:szCs w:val="18"/>
                <w:b w:val="1"/>
                <w:bCs w:val="1"/>
                <w:color w:val="auto"/>
                <w:w w:val="92"/>
              </w:rPr>
              <w:t>Capitala Finance Corp.</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8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jc w:val="center"/>
              <w:ind w:left="29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jc w:val="center"/>
              <w:ind w:left="29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(combined)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Non-control/Non-affiliate investments</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2,940</w:t>
            </w:r>
          </w:p>
        </w:tc>
        <w:tc>
          <w:tcPr>
            <w:tcW w:w="14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Control investments</w:t>
            </w:r>
          </w:p>
        </w:tc>
        <w:tc>
          <w:tcPr>
            <w:tcW w:w="2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Payment-in-kind interest and dividend income:</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Affiliate investments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Dividend income: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Non-control/Non-affiliate investments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Control investments</w:t>
            </w:r>
          </w:p>
        </w:tc>
        <w:tc>
          <w:tcPr>
            <w:tcW w:w="2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dividend income</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Interest income from cash and cash equivalents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investment income</w:t>
            </w:r>
          </w:p>
        </w:tc>
        <w:tc>
          <w:tcPr>
            <w:tcW w:w="28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12,374</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 and amortization of deferred financing fees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Management fees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Incentive fees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Expenses before management fee waiver</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Management fee waiver (See Note 5)</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expenses net of management fee waiver</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Net realized gain from investments: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Affiliate investments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realized gain from investments</w:t>
            </w:r>
          </w:p>
        </w:tc>
        <w:tc>
          <w:tcPr>
            <w:tcW w:w="2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loss on investments</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(4,503</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FFCC"/>
          </w:tcPr>
          <w:p>
            <w:pPr>
              <w:spacing w:after="0"/>
              <w:rPr>
                <w:sz w:val="21"/>
                <w:szCs w:val="21"/>
                <w:color w:val="auto"/>
              </w:rPr>
            </w:pP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INCREASE IN NET ASSETS PER SHARE RESULTING FROM OPERATIONS – BASIC AND</w:t>
            </w:r>
          </w:p>
        </w:tc>
        <w:tc>
          <w:tcPr>
            <w:tcW w:w="2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DIVIDENDS DECLARED PER SHARE</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12,974,420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tcPr>
          <w:p>
            <w:pPr>
              <w:jc w:val="center"/>
              <w:ind w:left="29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rPr>
              <w:t>N/A – Not Applicable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8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9"/>
              </w:rPr>
              <w:t>4</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089"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6"/>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160"/>
              <w:spacing w:after="0" w:line="133" w:lineRule="exact"/>
              <w:rPr>
                <w:sz w:val="20"/>
                <w:szCs w:val="20"/>
                <w:color w:val="auto"/>
              </w:rPr>
            </w:pPr>
            <w:r>
              <w:rPr>
                <w:rFonts w:ascii="Arial" w:cs="Arial" w:eastAsia="Arial" w:hAnsi="Arial"/>
                <w:sz w:val="14"/>
                <w:szCs w:val="14"/>
                <w:b w:val="1"/>
                <w:bCs w:val="1"/>
                <w:color w:val="auto"/>
              </w:rPr>
              <w:t>General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2"/>
              </w:rPr>
              <w:t>Limited</w:t>
            </w:r>
          </w:p>
        </w:tc>
        <w:tc>
          <w:tcPr>
            <w:tcW w:w="84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28"/>
              <w:spacing w:after="0" w:line="133" w:lineRule="exact"/>
              <w:rPr>
                <w:sz w:val="20"/>
                <w:szCs w:val="20"/>
                <w:color w:val="auto"/>
              </w:rPr>
            </w:pPr>
            <w:r>
              <w:rPr>
                <w:rFonts w:ascii="Arial" w:cs="Arial" w:eastAsia="Arial" w:hAnsi="Arial"/>
                <w:sz w:val="14"/>
                <w:szCs w:val="14"/>
                <w:b w:val="1"/>
                <w:bCs w:val="1"/>
                <w:color w:val="auto"/>
                <w:w w:val="97"/>
              </w:rPr>
              <w:t>Par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Paid in</w:t>
            </w:r>
          </w:p>
        </w:tc>
        <w:tc>
          <w:tcPr>
            <w:tcW w:w="1300" w:type="dxa"/>
            <w:vAlign w:val="bottom"/>
            <w:gridSpan w:val="3"/>
          </w:tcPr>
          <w:p>
            <w:pPr>
              <w:jc w:val="right"/>
              <w:ind w:right="140"/>
              <w:spacing w:after="0" w:line="133" w:lineRule="exact"/>
              <w:rPr>
                <w:sz w:val="20"/>
                <w:szCs w:val="20"/>
                <w:color w:val="auto"/>
              </w:rPr>
            </w:pPr>
            <w:r>
              <w:rPr>
                <w:rFonts w:ascii="Arial" w:cs="Arial" w:eastAsia="Arial" w:hAnsi="Arial"/>
                <w:sz w:val="14"/>
                <w:szCs w:val="14"/>
                <w:b w:val="1"/>
                <w:bCs w:val="1"/>
                <w:color w:val="auto"/>
                <w:w w:val="97"/>
              </w:rPr>
              <w:t>Undistributed Net</w:t>
            </w:r>
          </w:p>
        </w:tc>
        <w:tc>
          <w:tcPr>
            <w:tcW w:w="1360" w:type="dxa"/>
            <w:vAlign w:val="bottom"/>
            <w:gridSpan w:val="4"/>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Undistributed Net</w:t>
            </w:r>
          </w:p>
        </w:tc>
        <w:tc>
          <w:tcPr>
            <w:tcW w:w="11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Appreciation 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Partner</w:t>
            </w:r>
          </w:p>
        </w:tc>
        <w:tc>
          <w:tcPr>
            <w:tcW w:w="1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Partners</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Realized Gains</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December 31, 2012</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282</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77,358</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8,560</w:t>
            </w:r>
          </w:p>
        </w:tc>
        <w:tc>
          <w:tcPr>
            <w:tcW w:w="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56,233</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142,433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6"/>
              </w:rPr>
              <w:t>Net change in unrealized appreciation</w:t>
            </w: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on portfolio investments</w:t>
            </w:r>
          </w:p>
        </w:tc>
        <w:tc>
          <w:tcPr>
            <w:tcW w:w="1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(721)</w:t>
            </w:r>
          </w:p>
        </w:tc>
        <w:tc>
          <w:tcPr>
            <w:tcW w:w="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bottom w:val="single" w:sz="8" w:color="CCFFCC"/>
            </w:tcBorders>
          </w:tcPr>
          <w:p>
            <w:pPr>
              <w:spacing w:after="0" w:line="155" w:lineRule="exact"/>
              <w:rPr>
                <w:sz w:val="20"/>
                <w:szCs w:val="20"/>
                <w:color w:val="auto"/>
              </w:rPr>
            </w:pPr>
            <w:r>
              <w:rPr>
                <w:rFonts w:ascii="Arial" w:cs="Arial" w:eastAsia="Arial" w:hAnsi="Arial"/>
                <w:sz w:val="14"/>
                <w:szCs w:val="14"/>
                <w:color w:val="auto"/>
              </w:rPr>
              <w:t>BALANCE, March 31, 2013</w:t>
            </w:r>
          </w:p>
        </w:tc>
        <w:tc>
          <w:tcPr>
            <w:tcW w:w="120" w:type="dxa"/>
            <w:vAlign w:val="bottom"/>
            <w:tcBorders>
              <w:bottom w:val="single" w:sz="8" w:color="CCFFCC"/>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77,358</w:t>
            </w:r>
          </w:p>
        </w:tc>
        <w:tc>
          <w:tcPr>
            <w:tcW w:w="200" w:type="dxa"/>
            <w:vAlign w:val="bottom"/>
            <w:tcBorders>
              <w:bottom w:val="single" w:sz="8" w:color="CCFFC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11,849</w:t>
            </w:r>
          </w:p>
        </w:tc>
        <w:tc>
          <w:tcPr>
            <w:tcW w:w="12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55,512</w:t>
            </w:r>
          </w:p>
        </w:tc>
        <w:tc>
          <w:tcPr>
            <w:tcW w:w="12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145,001</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BALANCE, December 31, 2013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12,974,420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188,408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63,420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5,721</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ind w:left="160"/>
              <w:spacing w:after="0" w:line="130" w:lineRule="exact"/>
              <w:rPr>
                <w:sz w:val="20"/>
                <w:szCs w:val="20"/>
                <w:color w:val="auto"/>
              </w:rPr>
            </w:pPr>
            <w:r>
              <w:rPr>
                <w:rFonts w:ascii="Arial" w:cs="Arial" w:eastAsia="Arial" w:hAnsi="Arial"/>
                <w:sz w:val="14"/>
                <w:szCs w:val="14"/>
                <w:color w:val="auto"/>
              </w:rPr>
              <w:t>Net realized gain on portfolio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6"/>
              </w:rPr>
              <w:t>Net change in unrealized appreciation</w:t>
            </w: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on portfolio investments</w:t>
            </w: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(5,723)</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(5,723)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ind w:left="160"/>
              <w:spacing w:after="0"/>
              <w:rPr>
                <w:sz w:val="20"/>
                <w:szCs w:val="20"/>
                <w:color w:val="auto"/>
              </w:rPr>
            </w:pPr>
            <w:r>
              <w:rPr>
                <w:rFonts w:ascii="Arial" w:cs="Arial" w:eastAsia="Arial" w:hAnsi="Arial"/>
                <w:sz w:val="14"/>
                <w:szCs w:val="14"/>
                <w:color w:val="auto"/>
              </w:rPr>
              <w:t>Dividends declared and paid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(6,098)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top w:val="single" w:sz="8" w:color="CCFFCC"/>
              <w:bottom w:val="single" w:sz="8" w:color="CCFFCC"/>
            </w:tcBorders>
            <w:shd w:val="clear" w:color="auto" w:fill="CCFFCC"/>
          </w:tcPr>
          <w:p>
            <w:pPr>
              <w:spacing w:after="0" w:line="155" w:lineRule="exact"/>
              <w:rPr>
                <w:sz w:val="20"/>
                <w:szCs w:val="20"/>
                <w:color w:val="auto"/>
              </w:rPr>
            </w:pPr>
            <w:r>
              <w:rPr>
                <w:rFonts w:ascii="Arial" w:cs="Arial" w:eastAsia="Arial" w:hAnsi="Arial"/>
                <w:sz w:val="14"/>
                <w:szCs w:val="14"/>
                <w:color w:val="auto"/>
              </w:rPr>
              <w:t>BALANCE, March 31, 2014</w:t>
            </w:r>
          </w:p>
        </w:tc>
        <w:tc>
          <w:tcPr>
            <w:tcW w:w="120" w:type="dxa"/>
            <w:vAlign w:val="bottom"/>
            <w:tcBorders>
              <w:top w:val="single" w:sz="8" w:color="CCFFCC"/>
              <w:bottom w:val="single" w:sz="8" w:color="CCFFCC"/>
            </w:tcBorders>
            <w:shd w:val="clear" w:color="auto" w:fill="CCFFCC"/>
          </w:tcPr>
          <w:p>
            <w:pPr>
              <w:spacing w:after="0"/>
              <w:rPr>
                <w:sz w:val="13"/>
                <w:szCs w:val="13"/>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FFCC"/>
              <w:bottom w:val="single" w:sz="8" w:color="CCFFCC"/>
            </w:tcBorders>
            <w:shd w:val="clear" w:color="auto" w:fill="CCFFCC"/>
          </w:tcPr>
          <w:p>
            <w:pPr>
              <w:spacing w:after="0"/>
              <w:rPr>
                <w:sz w:val="13"/>
                <w:szCs w:val="13"/>
                <w:color w:val="auto"/>
              </w:rPr>
            </w:pPr>
          </w:p>
        </w:tc>
        <w:tc>
          <w:tcPr>
            <w:tcW w:w="7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12,974,420</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130</w:t>
            </w:r>
          </w:p>
        </w:tc>
        <w:tc>
          <w:tcPr>
            <w:tcW w:w="8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188,408</w:t>
            </w: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16,383</w:t>
            </w:r>
          </w:p>
        </w:tc>
        <w:tc>
          <w:tcPr>
            <w:tcW w:w="12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1,172</w:t>
            </w: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57,697</w:t>
            </w:r>
          </w:p>
        </w:tc>
        <w:tc>
          <w:tcPr>
            <w:tcW w:w="120" w:type="dxa"/>
            <w:vAlign w:val="bottom"/>
            <w:tcBorders>
              <w:top w:val="single" w:sz="8" w:color="CCFFCC"/>
              <w:bottom w:val="single" w:sz="8" w:color="CCFFCC"/>
            </w:tcBorders>
            <w:shd w:val="clear" w:color="auto" w:fill="CCFFCC"/>
          </w:tcPr>
          <w:p>
            <w:pPr>
              <w:spacing w:after="0"/>
              <w:rPr>
                <w:sz w:val="13"/>
                <w:szCs w:val="13"/>
                <w:color w:val="auto"/>
              </w:rPr>
            </w:pPr>
          </w:p>
        </w:tc>
        <w:tc>
          <w:tcPr>
            <w:tcW w:w="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263,790</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80" w:type="dxa"/>
            <w:vAlign w:val="bottom"/>
          </w:tcPr>
          <w:p>
            <w:pPr>
              <w:ind w:left="4800"/>
              <w:spacing w:after="0"/>
              <w:rPr>
                <w:sz w:val="20"/>
                <w:szCs w:val="20"/>
                <w:color w:val="auto"/>
              </w:rPr>
            </w:pPr>
            <w:r>
              <w:rPr>
                <w:rFonts w:ascii="Arial" w:cs="Arial" w:eastAsia="Arial" w:hAnsi="Arial"/>
                <w:sz w:val="18"/>
                <w:szCs w:val="18"/>
                <w:b w:val="1"/>
                <w:bCs w:val="1"/>
                <w:color w:val="auto"/>
              </w:rPr>
              <w:t>Capitala Finance Corp.</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8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jc w:val="center"/>
              <w:ind w:left="299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jc w:val="center"/>
              <w:ind w:left="29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(combined)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7"/>
              </w:rPr>
              <w:t>Adjustments to reconcile net increase in net assets resulting from operations to net cash used in operating</w:t>
            </w:r>
          </w:p>
        </w:tc>
        <w:tc>
          <w:tcPr>
            <w:tcW w:w="2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Purchase of portfolio investments</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Repayments of portfolio investments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10,728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realized gain on portfolio investments</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Decrease in net unrealized appreciation on portfolio investments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Payment-in-kind interest and dividends accrued, net of payments received</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Accretion of original issue discount on portfolio investments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Interest and dividend receivable</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Due from related parties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Incentive fee payable</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Interest payable</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(27,958</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issuance of SBA-guaranteed debentures</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Paydowns on SBA-guaranteed debentures</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Dividends declared and paid</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Deferred financing fees paid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(16,098</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24,394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ind w:right="2320"/>
        <w:spacing w:after="0" w:line="274" w:lineRule="auto"/>
        <w:rPr>
          <w:sz w:val="20"/>
          <w:szCs w:val="20"/>
          <w:color w:val="auto"/>
        </w:rPr>
      </w:pPr>
      <w:r>
        <w:rPr>
          <w:rFonts w:ascii="Arial" w:cs="Arial" w:eastAsia="Arial" w:hAnsi="Arial"/>
          <w:sz w:val="17"/>
          <w:szCs w:val="17"/>
          <w:color w:val="auto"/>
        </w:rPr>
        <w:t>NET INCREASE (DECREASE) IN CASH AND CASH EQUIVALENTS 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(44,056)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16,706</w:t>
            </w:r>
          </w:p>
        </w:tc>
      </w:tr>
      <w:tr>
        <w:trPr>
          <w:trHeight w:val="230"/>
        </w:trPr>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30,467</w:t>
            </w:r>
          </w:p>
        </w:tc>
      </w:tr>
      <w:tr>
        <w:trPr>
          <w:trHeight w:val="223"/>
        </w:trPr>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3020"/>
          </w:cols>
          <w:pgMar w:left="240" w:top="877"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2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4,075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7" w:name="page8"/>
    <w:bookmarkEnd w:id="7"/>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Interest Rate / Maturity</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8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Non-control/Non-affiliated investments -</w:t>
            </w:r>
          </w:p>
        </w:tc>
        <w:tc>
          <w:tcPr>
            <w:tcW w:w="17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47.8%</w:t>
            </w:r>
          </w:p>
        </w:tc>
        <w:tc>
          <w:tcPr>
            <w:tcW w:w="100" w:type="dxa"/>
            <w:vAlign w:val="bottom"/>
            <w:shd w:val="clear" w:color="auto" w:fill="CCFFCC"/>
          </w:tcPr>
          <w:p>
            <w:pPr>
              <w:spacing w:after="0"/>
              <w:rPr>
                <w:sz w:val="14"/>
                <w:szCs w:val="14"/>
                <w:color w:val="auto"/>
              </w:rPr>
            </w:pPr>
          </w:p>
        </w:tc>
        <w:tc>
          <w:tcPr>
            <w:tcW w:w="1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99" w:orient="portrait"/>
          <w:cols w:equalWidth="0" w:num="1">
            <w:col w:w="11420"/>
          </w:cols>
          <w:pgMar w:left="240" w:top="877" w:right="239" w:bottom="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AAE Acquisition,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AAE Acquisition,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American Exteriors, LLC </w:t>
      </w:r>
      <w:r>
        <w:rPr>
          <w:rFonts w:ascii="Arial" w:cs="Arial" w:eastAsia="Arial" w:hAnsi="Arial"/>
          <w:sz w:val="21"/>
          <w:szCs w:val="21"/>
          <w:color w:val="auto"/>
          <w:vertAlign w:val="superscript"/>
        </w:rPr>
        <w:t>(1)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American Exteriors, LLC </w:t>
      </w:r>
      <w:r>
        <w:rPr>
          <w:rFonts w:ascii="Arial" w:cs="Arial" w:eastAsia="Arial" w:hAnsi="Arial"/>
          <w:sz w:val="21"/>
          <w:szCs w:val="21"/>
          <w:color w:val="auto"/>
          <w:vertAlign w:val="superscript"/>
        </w:rPr>
        <w:t>(1)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American Exteriors, LLC </w:t>
      </w:r>
      <w:r>
        <w:rPr>
          <w:rFonts w:ascii="Arial" w:cs="Arial" w:eastAsia="Arial" w:hAnsi="Arial"/>
          <w:sz w:val="21"/>
          <w:szCs w:val="21"/>
          <w:color w:val="auto"/>
          <w:vertAlign w:val="superscript"/>
        </w:rPr>
        <w:t>(8)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color w:val="auto"/>
                <w:w w:val="99"/>
              </w:rPr>
              <w:t>Industrial Equipment Rental</w:t>
            </w:r>
          </w:p>
        </w:tc>
        <w:tc>
          <w:tcPr>
            <w:tcW w:w="2340" w:type="dxa"/>
            <w:vAlign w:val="bottom"/>
          </w:tcPr>
          <w:p>
            <w:pPr>
              <w:ind w:left="120"/>
              <w:spacing w:after="0"/>
              <w:rPr>
                <w:sz w:val="20"/>
                <w:szCs w:val="20"/>
                <w:color w:val="auto"/>
              </w:rPr>
            </w:pPr>
            <w:r>
              <w:rPr>
                <w:rFonts w:ascii="Arial" w:cs="Arial" w:eastAsia="Arial" w:hAnsi="Arial"/>
                <w:sz w:val="14"/>
                <w:szCs w:val="14"/>
                <w:color w:val="auto"/>
              </w:rPr>
              <w:t>Senior Secured Term Debt (12%</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1740" w:type="dxa"/>
            <w:vAlign w:val="bottom"/>
          </w:tcPr>
          <w:p>
            <w:pPr>
              <w:spacing w:after="0"/>
              <w:rPr>
                <w:sz w:val="15"/>
                <w:szCs w:val="15"/>
                <w:color w:val="auto"/>
              </w:rPr>
            </w:pPr>
          </w:p>
        </w:tc>
        <w:tc>
          <w:tcPr>
            <w:tcW w:w="2340" w:type="dxa"/>
            <w:vAlign w:val="bottom"/>
          </w:tcPr>
          <w:p>
            <w:pPr>
              <w:ind w:left="120"/>
              <w:spacing w:after="0"/>
              <w:rPr>
                <w:sz w:val="20"/>
                <w:szCs w:val="20"/>
                <w:color w:val="auto"/>
              </w:rPr>
            </w:pPr>
            <w:r>
              <w:rPr>
                <w:rFonts w:ascii="Arial" w:cs="Arial" w:eastAsia="Arial" w:hAnsi="Arial"/>
                <w:sz w:val="14"/>
                <w:szCs w:val="14"/>
                <w:color w:val="auto"/>
              </w:rPr>
              <w:t>Cash, Due 5/6/15)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19,000</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18,995</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19,000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w w:val="99"/>
              </w:rPr>
              <w:t>Industrial Equipment Rental</w:t>
            </w:r>
          </w:p>
        </w:tc>
        <w:tc>
          <w:tcPr>
            <w:tcW w:w="2340" w:type="dxa"/>
            <w:vAlign w:val="bottom"/>
          </w:tcPr>
          <w:p>
            <w:pPr>
              <w:ind w:left="120"/>
              <w:spacing w:after="0"/>
              <w:rPr>
                <w:sz w:val="20"/>
                <w:szCs w:val="20"/>
                <w:color w:val="auto"/>
              </w:rPr>
            </w:pPr>
            <w:r>
              <w:rPr>
                <w:rFonts w:ascii="Arial" w:cs="Arial" w:eastAsia="Arial" w:hAnsi="Arial"/>
                <w:sz w:val="14"/>
                <w:szCs w:val="14"/>
                <w:color w:val="auto"/>
              </w:rPr>
              <w:t>Membership Units (14% fully</w:t>
            </w: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1740" w:type="dxa"/>
            <w:vAlign w:val="bottom"/>
          </w:tcPr>
          <w:p>
            <w:pPr>
              <w:spacing w:after="0"/>
              <w:rPr>
                <w:sz w:val="15"/>
                <w:szCs w:val="15"/>
                <w:color w:val="auto"/>
              </w:rPr>
            </w:pPr>
          </w:p>
        </w:tc>
        <w:tc>
          <w:tcPr>
            <w:tcW w:w="23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2,333</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19,012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21,333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w:t>
            </w:r>
          </w:p>
        </w:tc>
      </w:tr>
      <w:tr>
        <w:trPr>
          <w:trHeight w:val="272"/>
        </w:trPr>
        <w:tc>
          <w:tcPr>
            <w:tcW w:w="1740" w:type="dxa"/>
            <w:vAlign w:val="bottom"/>
          </w:tcPr>
          <w:p>
            <w:pPr>
              <w:spacing w:after="0"/>
              <w:rPr>
                <w:sz w:val="20"/>
                <w:szCs w:val="20"/>
                <w:color w:val="auto"/>
              </w:rPr>
            </w:pPr>
            <w:r>
              <w:rPr>
                <w:rFonts w:ascii="Arial" w:cs="Arial" w:eastAsia="Arial" w:hAnsi="Arial"/>
                <w:sz w:val="14"/>
                <w:szCs w:val="14"/>
                <w:color w:val="auto"/>
              </w:rPr>
              <w:t>Replacement Window</w:t>
            </w:r>
          </w:p>
        </w:tc>
        <w:tc>
          <w:tcPr>
            <w:tcW w:w="2340" w:type="dxa"/>
            <w:vAlign w:val="bottom"/>
          </w:tcPr>
          <w:p>
            <w:pPr>
              <w:ind w:left="120"/>
              <w:spacing w:after="0"/>
              <w:rPr>
                <w:sz w:val="20"/>
                <w:szCs w:val="20"/>
                <w:color w:val="auto"/>
              </w:rPr>
            </w:pPr>
            <w:r>
              <w:rPr>
                <w:rFonts w:ascii="Arial" w:cs="Arial" w:eastAsia="Arial" w:hAnsi="Arial"/>
                <w:sz w:val="14"/>
                <w:szCs w:val="14"/>
                <w:color w:val="auto"/>
              </w:rPr>
              <w:t>Senior Secured Debt (14.0% Cash,</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Manufacturer</w:t>
            </w:r>
          </w:p>
        </w:tc>
        <w:tc>
          <w:tcPr>
            <w:tcW w:w="2340" w:type="dxa"/>
            <w:vAlign w:val="bottom"/>
          </w:tcPr>
          <w:p>
            <w:pPr>
              <w:ind w:left="120"/>
              <w:spacing w:after="0"/>
              <w:rPr>
                <w:sz w:val="20"/>
                <w:szCs w:val="20"/>
                <w:color w:val="auto"/>
              </w:rPr>
            </w:pPr>
            <w:r>
              <w:rPr>
                <w:rFonts w:ascii="Arial" w:cs="Arial" w:eastAsia="Arial" w:hAnsi="Arial"/>
                <w:sz w:val="14"/>
                <w:szCs w:val="14"/>
                <w:color w:val="auto"/>
              </w:rPr>
              <w:t>Due 6/30/14)</w:t>
            </w:r>
          </w:p>
        </w:tc>
        <w:tc>
          <w:tcPr>
            <w:tcW w:w="38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4,509</w:t>
            </w:r>
          </w:p>
        </w:tc>
        <w:tc>
          <w:tcPr>
            <w:tcW w:w="2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3,309</w:t>
            </w:r>
          </w:p>
        </w:tc>
        <w:tc>
          <w:tcPr>
            <w:tcW w:w="3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4,509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Replacement Window</w:t>
            </w:r>
          </w:p>
        </w:tc>
        <w:tc>
          <w:tcPr>
            <w:tcW w:w="2340" w:type="dxa"/>
            <w:vAlign w:val="bottom"/>
          </w:tcPr>
          <w:p>
            <w:pPr>
              <w:ind w:left="120"/>
              <w:spacing w:after="0"/>
              <w:rPr>
                <w:sz w:val="20"/>
                <w:szCs w:val="20"/>
                <w:color w:val="auto"/>
              </w:rPr>
            </w:pPr>
            <w:r>
              <w:rPr>
                <w:rFonts w:ascii="Arial" w:cs="Arial" w:eastAsia="Arial" w:hAnsi="Arial"/>
                <w:sz w:val="14"/>
                <w:szCs w:val="14"/>
                <w:color w:val="auto"/>
              </w:rPr>
              <w:t>Jr. Convertible Note (10.0% Cash,</w:t>
            </w: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Manufacturer</w:t>
            </w:r>
          </w:p>
        </w:tc>
        <w:tc>
          <w:tcPr>
            <w:tcW w:w="2340" w:type="dxa"/>
            <w:vAlign w:val="bottom"/>
          </w:tcPr>
          <w:p>
            <w:pPr>
              <w:ind w:left="120"/>
              <w:spacing w:after="0"/>
              <w:rPr>
                <w:sz w:val="20"/>
                <w:szCs w:val="20"/>
                <w:color w:val="auto"/>
              </w:rPr>
            </w:pPr>
            <w:r>
              <w:rPr>
                <w:rFonts w:ascii="Arial" w:cs="Arial" w:eastAsia="Arial" w:hAnsi="Arial"/>
                <w:sz w:val="14"/>
                <w:szCs w:val="14"/>
                <w:color w:val="auto"/>
              </w:rPr>
              <w:t>Due 6/30/15)</w:t>
            </w:r>
          </w:p>
        </w:tc>
        <w:tc>
          <w:tcPr>
            <w:tcW w:w="38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Replacement Window</w:t>
            </w:r>
          </w:p>
        </w:tc>
        <w:tc>
          <w:tcPr>
            <w:tcW w:w="2340" w:type="dxa"/>
            <w:vAlign w:val="bottom"/>
          </w:tcPr>
          <w:p>
            <w:pPr>
              <w:ind w:left="120"/>
              <w:spacing w:after="0"/>
              <w:rPr>
                <w:sz w:val="20"/>
                <w:szCs w:val="20"/>
                <w:color w:val="auto"/>
              </w:rPr>
            </w:pPr>
            <w:r>
              <w:rPr>
                <w:rFonts w:ascii="Arial" w:cs="Arial" w:eastAsia="Arial" w:hAnsi="Arial"/>
                <w:sz w:val="14"/>
                <w:szCs w:val="14"/>
                <w:color w:val="auto"/>
                <w:w w:val="99"/>
              </w:rPr>
              <w:t>Common Stock Warrants (15% fully</w:t>
            </w: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6"/>
        </w:trPr>
        <w:tc>
          <w:tcPr>
            <w:tcW w:w="1740" w:type="dxa"/>
            <w:vAlign w:val="bottom"/>
          </w:tcPr>
          <w:p>
            <w:pPr>
              <w:spacing w:after="0"/>
              <w:rPr>
                <w:sz w:val="20"/>
                <w:szCs w:val="20"/>
                <w:color w:val="auto"/>
              </w:rPr>
            </w:pPr>
            <w:r>
              <w:rPr>
                <w:rFonts w:ascii="Arial" w:cs="Arial" w:eastAsia="Arial" w:hAnsi="Arial"/>
                <w:sz w:val="14"/>
                <w:szCs w:val="14"/>
                <w:color w:val="auto"/>
              </w:rPr>
              <w:t>Manufacturer</w:t>
            </w:r>
          </w:p>
        </w:tc>
        <w:tc>
          <w:tcPr>
            <w:tcW w:w="23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394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-1554480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-1271905</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-971550</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-765810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-482600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-199390</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1" w:lineRule="exact"/>
        <w:rPr>
          <w:sz w:val="20"/>
          <w:szCs w:val="20"/>
          <w:color w:val="auto"/>
        </w:rPr>
      </w:pPr>
    </w:p>
    <w:p>
      <w:pPr>
        <w:sectPr>
          <w:pgSz w:w="11900" w:h="16899" w:orient="portrait"/>
          <w:cols w:equalWidth="0" w:num="2">
            <w:col w:w="2180" w:space="720"/>
            <w:col w:w="8520"/>
          </w:cols>
          <w:pgMar w:left="240" w:top="877" w:right="239" w:bottom="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280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3,724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5,528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FFCC"/>
          </w:tcPr>
          <w:p>
            <w:pPr>
              <w:spacing w:after="0"/>
              <w:rPr>
                <w:sz w:val="20"/>
                <w:szCs w:val="20"/>
                <w:color w:val="auto"/>
              </w:rPr>
            </w:pPr>
            <w:r>
              <w:rPr>
                <w:rFonts w:ascii="Arial" w:cs="Arial" w:eastAsia="Arial" w:hAnsi="Arial"/>
                <w:sz w:val="14"/>
                <w:szCs w:val="14"/>
                <w:color w:val="auto"/>
              </w:rPr>
              <w:t>Boot Barn Holding Corporation</w:t>
            </w:r>
          </w:p>
        </w:tc>
        <w:tc>
          <w:tcPr>
            <w:tcW w:w="2040" w:type="dxa"/>
            <w:vAlign w:val="bottom"/>
            <w:shd w:val="clear" w:color="auto" w:fill="CCFFCC"/>
          </w:tcPr>
          <w:p>
            <w:pPr>
              <w:ind w:left="520"/>
              <w:spacing w:after="0"/>
              <w:rPr>
                <w:sz w:val="20"/>
                <w:szCs w:val="20"/>
                <w:color w:val="auto"/>
              </w:rPr>
            </w:pPr>
            <w:r>
              <w:rPr>
                <w:rFonts w:ascii="Arial" w:cs="Arial" w:eastAsia="Arial" w:hAnsi="Arial"/>
                <w:sz w:val="14"/>
                <w:szCs w:val="14"/>
                <w:color w:val="auto"/>
              </w:rPr>
              <w:t>Western Wear Retail</w:t>
            </w:r>
          </w:p>
        </w:tc>
        <w:tc>
          <w:tcPr>
            <w:tcW w:w="2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Common Stock (2,400 shares)</w:t>
            </w:r>
          </w:p>
        </w:tc>
        <w:tc>
          <w:tcPr>
            <w:tcW w:w="96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2,400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6,288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280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2,400</w:t>
            </w: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6,288</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99" w:orient="portrait"/>
          <w:cols w:equalWidth="0" w:num="1">
            <w:col w:w="11420"/>
          </w:cols>
          <w:pgMar w:left="240" w:top="877" w:right="239" w:bottom="0" w:gutter="0" w:footer="0" w:header="0"/>
          <w:type w:val="continuous"/>
        </w:sectPr>
      </w:pPr>
    </w:p>
    <w:p>
      <w:pPr>
        <w:ind w:right="1080"/>
        <w:spacing w:after="0" w:line="529" w:lineRule="auto"/>
        <w:rPr>
          <w:sz w:val="20"/>
          <w:szCs w:val="20"/>
          <w:color w:val="auto"/>
        </w:rPr>
      </w:pPr>
      <w:r>
        <w:rPr>
          <w:rFonts w:ascii="Arial" w:cs="Arial" w:eastAsia="Arial" w:hAnsi="Arial"/>
          <w:sz w:val="12"/>
          <w:szCs w:val="12"/>
          <w:color w:val="auto"/>
        </w:rPr>
        <w:t xml:space="preserve">Caregiver Services, Inc. Caregiver Services, Inc. </w:t>
      </w:r>
      <w:r>
        <w:rPr>
          <w:rFonts w:ascii="Arial" w:cs="Arial" w:eastAsia="Arial" w:hAnsi="Arial"/>
          <w:sz w:val="19"/>
          <w:szCs w:val="19"/>
          <w:color w:val="auto"/>
          <w:vertAlign w:val="superscript"/>
        </w:rPr>
        <w:t>(8)</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Crowley Holdings, Inc. </w:t>
      </w:r>
      <w:r>
        <w:rPr>
          <w:rFonts w:ascii="Arial" w:cs="Arial" w:eastAsia="Arial" w:hAnsi="Arial"/>
          <w:sz w:val="23"/>
          <w:szCs w:val="23"/>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Immersive Media Tactical Solutions,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Immersive Media Tactical Solutions,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Kelle's Transport Service, LLC </w:t>
      </w:r>
      <w:r>
        <w:rPr>
          <w:rFonts w:ascii="Arial" w:cs="Arial" w:eastAsia="Arial" w:hAnsi="Arial"/>
          <w:sz w:val="23"/>
          <w:szCs w:val="23"/>
          <w:color w:val="auto"/>
          <w:vertAlign w:val="superscript"/>
        </w:rPr>
        <w:t>(6)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Naples Lumber &amp; Supply Co </w:t>
      </w:r>
      <w:r>
        <w:rPr>
          <w:rFonts w:ascii="Arial" w:cs="Arial" w:eastAsia="Arial" w:hAnsi="Arial"/>
          <w:sz w:val="23"/>
          <w:szCs w:val="23"/>
          <w:color w:val="auto"/>
          <w:vertAlign w:val="superscript"/>
        </w:rPr>
        <w:t>(1)</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Naples Lumber &amp; Supply Co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Pickaway Plains Ambulance Services, Inc. </w:t>
      </w:r>
      <w:r>
        <w:rPr>
          <w:rFonts w:ascii="Arial" w:cs="Arial" w:eastAsia="Arial" w:hAnsi="Arial"/>
          <w:sz w:val="19"/>
          <w:szCs w:val="19"/>
          <w:color w:val="auto"/>
          <w:vertAlign w:val="superscript"/>
        </w:rPr>
        <w:t>(1)</w:t>
      </w:r>
    </w:p>
    <w:p>
      <w:pPr>
        <w:spacing w:after="0"/>
        <w:rPr>
          <w:sz w:val="20"/>
          <w:szCs w:val="20"/>
          <w:color w:val="auto"/>
        </w:rPr>
      </w:pPr>
      <w:r>
        <w:rPr>
          <w:rFonts w:ascii="Arial" w:cs="Arial" w:eastAsia="Arial" w:hAnsi="Arial"/>
          <w:sz w:val="12"/>
          <w:szCs w:val="12"/>
          <w:color w:val="auto"/>
        </w:rPr>
        <w:t>(2)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Pickaway Plains Ambulance Services,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Precision Manufacturing, LLC </w:t>
      </w:r>
      <w:r>
        <w:rPr>
          <w:rFonts w:ascii="Arial" w:cs="Arial" w:eastAsia="Arial" w:hAnsi="Arial"/>
          <w:sz w:val="23"/>
          <w:szCs w:val="23"/>
          <w:color w:val="auto"/>
          <w:vertAlign w:val="superscript"/>
        </w:rPr>
        <w:t>(3)</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20"/>
                <w:szCs w:val="20"/>
                <w:color w:val="auto"/>
              </w:rPr>
            </w:pPr>
            <w:r>
              <w:rPr>
                <w:rFonts w:ascii="Arial" w:cs="Arial" w:eastAsia="Arial" w:hAnsi="Arial"/>
                <w:sz w:val="14"/>
                <w:szCs w:val="14"/>
                <w:color w:val="auto"/>
                <w:w w:val="96"/>
              </w:rPr>
              <w:t>In-Home Healthcare Services</w:t>
            </w:r>
          </w:p>
        </w:tc>
        <w:tc>
          <w:tcPr>
            <w:tcW w:w="2580" w:type="dxa"/>
            <w:vAlign w:val="bottom"/>
          </w:tcPr>
          <w:p>
            <w:pPr>
              <w:ind w:left="80"/>
              <w:spacing w:after="0"/>
              <w:rPr>
                <w:sz w:val="20"/>
                <w:szCs w:val="20"/>
                <w:color w:val="auto"/>
              </w:rPr>
            </w:pPr>
            <w:r>
              <w:rPr>
                <w:rFonts w:ascii="Arial" w:cs="Arial" w:eastAsia="Arial" w:hAnsi="Arial"/>
                <w:sz w:val="14"/>
                <w:szCs w:val="14"/>
                <w:color w:val="auto"/>
              </w:rPr>
              <w:t>Common Stock (293,186 shares)</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w w:val="96"/>
              </w:rPr>
              <w:t>In-Home Healthcare Services</w:t>
            </w:r>
          </w:p>
        </w:tc>
        <w:tc>
          <w:tcPr>
            <w:tcW w:w="2580" w:type="dxa"/>
            <w:vAlign w:val="bottom"/>
          </w:tcPr>
          <w:p>
            <w:pPr>
              <w:ind w:left="80"/>
              <w:spacing w:after="0"/>
              <w:rPr>
                <w:sz w:val="20"/>
                <w:szCs w:val="20"/>
                <w:color w:val="auto"/>
              </w:rPr>
            </w:pPr>
            <w:r>
              <w:rPr>
                <w:rFonts w:ascii="Arial" w:cs="Arial" w:eastAsia="Arial" w:hAnsi="Arial"/>
                <w:sz w:val="14"/>
                <w:szCs w:val="14"/>
                <w:color w:val="auto"/>
              </w:rPr>
              <w:t>Common Stock Warrants (655,908</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units)</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444</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522</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Transportation</w:t>
            </w:r>
          </w:p>
        </w:tc>
        <w:tc>
          <w:tcPr>
            <w:tcW w:w="2580" w:type="dxa"/>
            <w:vAlign w:val="bottom"/>
          </w:tcPr>
          <w:p>
            <w:pPr>
              <w:ind w:left="80"/>
              <w:spacing w:after="0"/>
              <w:rPr>
                <w:sz w:val="20"/>
                <w:szCs w:val="20"/>
                <w:color w:val="auto"/>
              </w:rPr>
            </w:pPr>
            <w:r>
              <w:rPr>
                <w:rFonts w:ascii="Arial" w:cs="Arial" w:eastAsia="Arial" w:hAnsi="Arial"/>
                <w:sz w:val="14"/>
                <w:szCs w:val="14"/>
                <w:color w:val="auto"/>
              </w:rPr>
              <w:t>Series A Income Preferred Shares</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580" w:type="dxa"/>
            <w:vAlign w:val="bottom"/>
          </w:tcPr>
          <w:p>
            <w:pPr>
              <w:ind w:left="80"/>
              <w:spacing w:after="0" w:line="149" w:lineRule="exact"/>
              <w:rPr>
                <w:sz w:val="20"/>
                <w:szCs w:val="20"/>
                <w:color w:val="auto"/>
              </w:rPr>
            </w:pPr>
            <w:r>
              <w:rPr>
                <w:rFonts w:ascii="Arial" w:cs="Arial" w:eastAsia="Arial" w:hAnsi="Arial"/>
                <w:sz w:val="14"/>
                <w:szCs w:val="14"/>
                <w:color w:val="auto"/>
              </w:rPr>
              <w:t>(6,000 shares, 10% cash, 2% PIK</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dividend)</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6,051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6,051</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6,051</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6,051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w w:val="96"/>
              </w:rPr>
              <w:t>Specialty Defense Contractor</w:t>
            </w:r>
          </w:p>
        </w:tc>
        <w:tc>
          <w:tcPr>
            <w:tcW w:w="2580" w:type="dxa"/>
            <w:vAlign w:val="bottom"/>
          </w:tcPr>
          <w:p>
            <w:pPr>
              <w:ind w:left="80"/>
              <w:spacing w:after="0"/>
              <w:rPr>
                <w:sz w:val="20"/>
                <w:szCs w:val="20"/>
                <w:color w:val="auto"/>
              </w:rPr>
            </w:pPr>
            <w:r>
              <w:rPr>
                <w:rFonts w:ascii="Arial" w:cs="Arial" w:eastAsia="Arial" w:hAnsi="Arial"/>
                <w:sz w:val="14"/>
                <w:szCs w:val="14"/>
                <w:color w:val="auto"/>
              </w:rPr>
              <w:t>Senior Secured Term Debt (13%</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Cash, Due 10/6/16)</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2,000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w w:val="96"/>
              </w:rPr>
              <w:t>Specialty Defense Contractor</w:t>
            </w:r>
          </w:p>
        </w:tc>
        <w:tc>
          <w:tcPr>
            <w:tcW w:w="2580" w:type="dxa"/>
            <w:vAlign w:val="bottom"/>
          </w:tcPr>
          <w:p>
            <w:pPr>
              <w:ind w:left="80"/>
              <w:spacing w:after="0"/>
              <w:rPr>
                <w:sz w:val="20"/>
                <w:szCs w:val="20"/>
                <w:color w:val="auto"/>
              </w:rPr>
            </w:pPr>
            <w:r>
              <w:rPr>
                <w:rFonts w:ascii="Arial" w:cs="Arial" w:eastAsia="Arial" w:hAnsi="Arial"/>
                <w:sz w:val="14"/>
                <w:szCs w:val="14"/>
                <w:color w:val="auto"/>
              </w:rPr>
              <w:t>Common Unit Warrants (12% fully</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diluted)</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780</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Transportation</w:t>
            </w:r>
          </w:p>
        </w:tc>
        <w:tc>
          <w:tcPr>
            <w:tcW w:w="2580" w:type="dxa"/>
            <w:vAlign w:val="bottom"/>
          </w:tcPr>
          <w:p>
            <w:pPr>
              <w:ind w:left="80"/>
              <w:spacing w:after="0"/>
              <w:rPr>
                <w:sz w:val="20"/>
                <w:szCs w:val="20"/>
                <w:color w:val="auto"/>
              </w:rPr>
            </w:pPr>
            <w:r>
              <w:rPr>
                <w:rFonts w:ascii="Arial" w:cs="Arial" w:eastAsia="Arial" w:hAnsi="Arial"/>
                <w:sz w:val="14"/>
                <w:szCs w:val="14"/>
                <w:color w:val="auto"/>
              </w:rPr>
              <w:t>Preferred Units (1,000 units, 10%</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PIK Dividend)</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2,596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rPr>
              <w:t>Transportation</w:t>
            </w:r>
          </w:p>
        </w:tc>
        <w:tc>
          <w:tcPr>
            <w:tcW w:w="2580" w:type="dxa"/>
            <w:vAlign w:val="bottom"/>
          </w:tcPr>
          <w:p>
            <w:pPr>
              <w:ind w:left="80"/>
              <w:spacing w:after="0"/>
              <w:rPr>
                <w:sz w:val="20"/>
                <w:szCs w:val="20"/>
                <w:color w:val="auto"/>
              </w:rPr>
            </w:pPr>
            <w:r>
              <w:rPr>
                <w:rFonts w:ascii="Arial" w:cs="Arial" w:eastAsia="Arial" w:hAnsi="Arial"/>
                <w:sz w:val="14"/>
                <w:szCs w:val="14"/>
                <w:color w:val="auto"/>
              </w:rPr>
              <w:t>Senior Secured Debt (14% Cash, Due</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3/31/19)</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16,000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15,982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rPr>
              <w:t>Transportation</w:t>
            </w:r>
          </w:p>
        </w:tc>
        <w:tc>
          <w:tcPr>
            <w:tcW w:w="2580" w:type="dxa"/>
            <w:vAlign w:val="bottom"/>
          </w:tcPr>
          <w:p>
            <w:pPr>
              <w:ind w:left="80"/>
              <w:spacing w:after="0"/>
              <w:rPr>
                <w:sz w:val="20"/>
                <w:szCs w:val="20"/>
                <w:color w:val="auto"/>
              </w:rPr>
            </w:pPr>
            <w:r>
              <w:rPr>
                <w:rFonts w:ascii="Arial" w:cs="Arial" w:eastAsia="Arial" w:hAnsi="Arial"/>
                <w:sz w:val="14"/>
                <w:szCs w:val="14"/>
                <w:color w:val="auto"/>
              </w:rPr>
              <w:t>Common Stock Warrants (15% fully</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diluted)</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18,600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Medical Device Distributor</w:t>
            </w:r>
          </w:p>
        </w:tc>
        <w:tc>
          <w:tcPr>
            <w:tcW w:w="2580" w:type="dxa"/>
            <w:vAlign w:val="bottom"/>
          </w:tcPr>
          <w:p>
            <w:pPr>
              <w:ind w:left="80"/>
              <w:spacing w:after="0"/>
              <w:rPr>
                <w:sz w:val="20"/>
                <w:szCs w:val="20"/>
                <w:color w:val="auto"/>
              </w:rPr>
            </w:pPr>
            <w:r>
              <w:rPr>
                <w:rFonts w:ascii="Arial" w:cs="Arial" w:eastAsia="Arial" w:hAnsi="Arial"/>
                <w:sz w:val="14"/>
                <w:szCs w:val="14"/>
                <w:color w:val="auto"/>
              </w:rPr>
              <w:t>Subordinated Debt (14% Cash, Due</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9/27/20)</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4,667</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4,667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rPr>
              <w:t>Medical Device Distributor</w:t>
            </w:r>
          </w:p>
        </w:tc>
        <w:tc>
          <w:tcPr>
            <w:tcW w:w="2580" w:type="dxa"/>
            <w:vAlign w:val="bottom"/>
          </w:tcPr>
          <w:p>
            <w:pPr>
              <w:ind w:left="80"/>
              <w:spacing w:after="0"/>
              <w:rPr>
                <w:sz w:val="20"/>
                <w:szCs w:val="20"/>
                <w:color w:val="auto"/>
              </w:rPr>
            </w:pPr>
            <w:r>
              <w:rPr>
                <w:rFonts w:ascii="Arial" w:cs="Arial" w:eastAsia="Arial" w:hAnsi="Arial"/>
                <w:sz w:val="14"/>
                <w:szCs w:val="14"/>
                <w:color w:val="auto"/>
              </w:rPr>
              <w:t>Series C Convertible Preferred Stock</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(740 shares)</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1,333</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2,374</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Building Supplies</w:t>
            </w:r>
          </w:p>
        </w:tc>
        <w:tc>
          <w:tcPr>
            <w:tcW w:w="2580" w:type="dxa"/>
            <w:vAlign w:val="bottom"/>
          </w:tcPr>
          <w:p>
            <w:pPr>
              <w:ind w:left="80"/>
              <w:spacing w:after="0"/>
              <w:rPr>
                <w:sz w:val="20"/>
                <w:szCs w:val="20"/>
                <w:color w:val="auto"/>
              </w:rPr>
            </w:pPr>
            <w:r>
              <w:rPr>
                <w:rFonts w:ascii="Arial" w:cs="Arial" w:eastAsia="Arial" w:hAnsi="Arial"/>
                <w:sz w:val="14"/>
                <w:szCs w:val="14"/>
                <w:color w:val="auto"/>
              </w:rPr>
              <w:t>Subordinated Debt (7% Cash, Due</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6/30/15)</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2,109</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1,309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rPr>
              <w:t>Building Supplies</w:t>
            </w:r>
          </w:p>
        </w:tc>
        <w:tc>
          <w:tcPr>
            <w:tcW w:w="2580" w:type="dxa"/>
            <w:vAlign w:val="bottom"/>
          </w:tcPr>
          <w:p>
            <w:pPr>
              <w:ind w:left="80"/>
              <w:spacing w:after="0"/>
              <w:rPr>
                <w:sz w:val="20"/>
                <w:szCs w:val="20"/>
                <w:color w:val="auto"/>
              </w:rPr>
            </w:pPr>
            <w:r>
              <w:rPr>
                <w:rFonts w:ascii="Arial" w:cs="Arial" w:eastAsia="Arial" w:hAnsi="Arial"/>
                <w:sz w:val="14"/>
                <w:szCs w:val="14"/>
                <w:color w:val="auto"/>
              </w:rPr>
              <w:t>Common Stock Warrants (10% fully</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4"/>
                <w:szCs w:val="14"/>
                <w:color w:val="auto"/>
              </w:rPr>
              <w:t>diluted)</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1,309</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2,609</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Medical Transportation</w:t>
            </w:r>
          </w:p>
        </w:tc>
        <w:tc>
          <w:tcPr>
            <w:tcW w:w="2580" w:type="dxa"/>
            <w:vAlign w:val="bottom"/>
          </w:tcPr>
          <w:p>
            <w:pPr>
              <w:ind w:left="80"/>
              <w:spacing w:after="0"/>
              <w:rPr>
                <w:sz w:val="20"/>
                <w:szCs w:val="20"/>
                <w:color w:val="auto"/>
              </w:rPr>
            </w:pPr>
            <w:r>
              <w:rPr>
                <w:rFonts w:ascii="Arial" w:cs="Arial" w:eastAsia="Arial" w:hAnsi="Arial"/>
                <w:sz w:val="14"/>
                <w:szCs w:val="14"/>
                <w:color w:val="auto"/>
              </w:rPr>
              <w:t>Senior Secured Term Debt (13%</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Services</w:t>
            </w:r>
          </w:p>
        </w:tc>
        <w:tc>
          <w:tcPr>
            <w:tcW w:w="2580" w:type="dxa"/>
            <w:vAlign w:val="bottom"/>
          </w:tcPr>
          <w:p>
            <w:pPr>
              <w:ind w:left="80"/>
              <w:spacing w:after="0"/>
              <w:rPr>
                <w:sz w:val="20"/>
                <w:szCs w:val="20"/>
                <w:color w:val="auto"/>
              </w:rPr>
            </w:pPr>
            <w:r>
              <w:rPr>
                <w:rFonts w:ascii="Arial" w:cs="Arial" w:eastAsia="Arial" w:hAnsi="Arial"/>
                <w:sz w:val="14"/>
                <w:szCs w:val="14"/>
                <w:color w:val="auto"/>
              </w:rPr>
              <w:t>Cash, Due 12/31/15)</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color w:val="auto"/>
              </w:rPr>
              <w:t>1,548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5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rPr>
              <w:t>Medical Transportation</w:t>
            </w:r>
          </w:p>
        </w:tc>
        <w:tc>
          <w:tcPr>
            <w:tcW w:w="2580" w:type="dxa"/>
            <w:vAlign w:val="bottom"/>
          </w:tcPr>
          <w:p>
            <w:pPr>
              <w:ind w:left="80"/>
              <w:spacing w:after="0"/>
              <w:rPr>
                <w:sz w:val="20"/>
                <w:szCs w:val="20"/>
                <w:color w:val="auto"/>
              </w:rPr>
            </w:pPr>
            <w:r>
              <w:rPr>
                <w:rFonts w:ascii="Arial" w:cs="Arial" w:eastAsia="Arial" w:hAnsi="Arial"/>
                <w:sz w:val="14"/>
                <w:szCs w:val="14"/>
                <w:color w:val="auto"/>
              </w:rPr>
              <w:t>Common Stock Warrants (5% fully</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rPr>
                <w:sz w:val="20"/>
                <w:szCs w:val="20"/>
                <w:color w:val="auto"/>
              </w:rPr>
            </w:pPr>
            <w:r>
              <w:rPr>
                <w:rFonts w:ascii="Arial" w:cs="Arial" w:eastAsia="Arial" w:hAnsi="Arial"/>
                <w:sz w:val="14"/>
                <w:szCs w:val="14"/>
                <w:color w:val="auto"/>
              </w:rPr>
              <w:t>Services</w:t>
            </w:r>
          </w:p>
        </w:tc>
        <w:tc>
          <w:tcPr>
            <w:tcW w:w="2580" w:type="dxa"/>
            <w:vAlign w:val="bottom"/>
          </w:tcPr>
          <w:p>
            <w:pPr>
              <w:ind w:left="80"/>
              <w:spacing w:after="0"/>
              <w:rPr>
                <w:sz w:val="20"/>
                <w:szCs w:val="20"/>
                <w:color w:val="auto"/>
              </w:rPr>
            </w:pPr>
            <w:r>
              <w:rPr>
                <w:rFonts w:ascii="Arial" w:cs="Arial" w:eastAsia="Arial" w:hAnsi="Arial"/>
                <w:sz w:val="14"/>
                <w:szCs w:val="14"/>
                <w:color w:val="auto"/>
              </w:rPr>
              <w:t>diluted)</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Industrial Boiler</w:t>
            </w:r>
          </w:p>
        </w:tc>
        <w:tc>
          <w:tcPr>
            <w:tcW w:w="2580" w:type="dxa"/>
            <w:vAlign w:val="bottom"/>
          </w:tcPr>
          <w:p>
            <w:pPr>
              <w:ind w:left="80"/>
              <w:spacing w:after="0"/>
              <w:rPr>
                <w:sz w:val="20"/>
                <w:szCs w:val="20"/>
                <w:color w:val="auto"/>
              </w:rPr>
            </w:pPr>
            <w:r>
              <w:rPr>
                <w:rFonts w:ascii="Arial" w:cs="Arial" w:eastAsia="Arial" w:hAnsi="Arial"/>
                <w:sz w:val="14"/>
                <w:szCs w:val="14"/>
                <w:color w:val="auto"/>
              </w:rPr>
              <w:t>Senior Secured Term Debt (14% PIK,</w:t>
            </w:r>
          </w:p>
        </w:tc>
        <w:tc>
          <w:tcPr>
            <w:tcW w:w="9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Manufacturer</w:t>
            </w:r>
          </w:p>
        </w:tc>
        <w:tc>
          <w:tcPr>
            <w:tcW w:w="2580" w:type="dxa"/>
            <w:vAlign w:val="bottom"/>
          </w:tcPr>
          <w:p>
            <w:pPr>
              <w:ind w:left="80"/>
              <w:spacing w:after="0"/>
              <w:rPr>
                <w:sz w:val="20"/>
                <w:szCs w:val="20"/>
                <w:color w:val="auto"/>
              </w:rPr>
            </w:pPr>
            <w:r>
              <w:rPr>
                <w:rFonts w:ascii="Arial" w:cs="Arial" w:eastAsia="Arial" w:hAnsi="Arial"/>
                <w:sz w:val="14"/>
                <w:szCs w:val="14"/>
                <w:color w:val="auto"/>
              </w:rPr>
              <w:t>Due 2/13/15)</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200</w:t>
            </w:r>
          </w:p>
        </w:tc>
        <w:tc>
          <w:tcPr>
            <w:tcW w:w="900" w:type="dxa"/>
            <w:vAlign w:val="bottom"/>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0"/>
                <w:szCs w:val="20"/>
                <w:color w:val="auto"/>
              </w:rPr>
            </w:pPr>
            <w:r>
              <w:rPr>
                <w:rFonts w:ascii="Arial" w:cs="Arial" w:eastAsia="Arial" w:hAnsi="Arial"/>
                <w:sz w:val="14"/>
                <w:szCs w:val="14"/>
                <w:color w:val="auto"/>
              </w:rPr>
              <w:t>Industrial Boiler</w:t>
            </w:r>
          </w:p>
        </w:tc>
        <w:tc>
          <w:tcPr>
            <w:tcW w:w="2580" w:type="dxa"/>
            <w:vAlign w:val="bottom"/>
          </w:tcPr>
          <w:p>
            <w:pPr>
              <w:ind w:left="80"/>
              <w:spacing w:after="0"/>
              <w:rPr>
                <w:sz w:val="20"/>
                <w:szCs w:val="20"/>
                <w:color w:val="auto"/>
              </w:rPr>
            </w:pPr>
            <w:r>
              <w:rPr>
                <w:rFonts w:ascii="Arial" w:cs="Arial" w:eastAsia="Arial" w:hAnsi="Arial"/>
                <w:sz w:val="14"/>
                <w:szCs w:val="14"/>
                <w:color w:val="auto"/>
              </w:rPr>
              <w:t>Subordinated Debt (6.5% Cash, 6.5%</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Manufacturer</w:t>
            </w:r>
          </w:p>
        </w:tc>
        <w:tc>
          <w:tcPr>
            <w:tcW w:w="2580" w:type="dxa"/>
            <w:vAlign w:val="bottom"/>
          </w:tcPr>
          <w:p>
            <w:pPr>
              <w:ind w:left="80"/>
              <w:spacing w:after="0"/>
              <w:rPr>
                <w:sz w:val="20"/>
                <w:szCs w:val="20"/>
                <w:color w:val="auto"/>
              </w:rPr>
            </w:pPr>
            <w:r>
              <w:rPr>
                <w:rFonts w:ascii="Arial" w:cs="Arial" w:eastAsia="Arial" w:hAnsi="Arial"/>
                <w:sz w:val="14"/>
                <w:szCs w:val="14"/>
                <w:color w:val="auto"/>
              </w:rPr>
              <w:t>PIK, Due 2/10/17)</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2,500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2,500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14"/>
                <w:szCs w:val="14"/>
                <w:color w:val="auto"/>
              </w:rPr>
              <w:t>Industrial Boiler</w:t>
            </w:r>
          </w:p>
        </w:tc>
        <w:tc>
          <w:tcPr>
            <w:tcW w:w="2580" w:type="dxa"/>
            <w:vAlign w:val="bottom"/>
          </w:tcPr>
          <w:p>
            <w:pPr>
              <w:ind w:left="80"/>
              <w:spacing w:after="0"/>
              <w:rPr>
                <w:sz w:val="20"/>
                <w:szCs w:val="20"/>
                <w:color w:val="auto"/>
              </w:rPr>
            </w:pPr>
            <w:r>
              <w:rPr>
                <w:rFonts w:ascii="Arial" w:cs="Arial" w:eastAsia="Arial" w:hAnsi="Arial"/>
                <w:sz w:val="14"/>
                <w:szCs w:val="14"/>
                <w:color w:val="auto"/>
              </w:rPr>
              <w:t>Membership Unit Warrants (70,000</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-6226175</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-6037580</wp:posOffset>
            </wp:positionV>
            <wp:extent cx="724662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-5737225</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-5531485</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-5137150</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-4931410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-4648200</wp:posOffset>
            </wp:positionV>
            <wp:extent cx="72466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-4348480</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-4142740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-3859530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-3576320</wp:posOffset>
            </wp:positionV>
            <wp:extent cx="72466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-3275965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-3070225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-2787650</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-2487295</wp:posOffset>
            </wp:positionV>
            <wp:extent cx="72466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-2281555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-1998345</wp:posOffset>
            </wp:positionV>
            <wp:extent cx="724662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-1698625</wp:posOffset>
            </wp:positionV>
            <wp:extent cx="72466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-1492250</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-1175385</wp:posOffset>
            </wp:positionV>
            <wp:extent cx="72466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-875030</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-669290</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-386080</wp:posOffset>
            </wp:positionV>
            <wp:extent cx="72466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-103505</wp:posOffset>
            </wp:positionV>
            <wp:extent cx="7246620" cy="104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99" w:orient="portrait"/>
          <w:cols w:equalWidth="0" w:num="2">
            <w:col w:w="2640" w:space="260"/>
            <w:col w:w="8520"/>
          </w:cols>
          <w:pgMar w:left="240" w:top="877"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shd w:val="clear" w:color="auto" w:fill="CCFFCC"/>
          </w:tcPr>
          <w:p>
            <w:pPr>
              <w:spacing w:after="0"/>
              <w:rPr>
                <w:sz w:val="14"/>
                <w:szCs w:val="14"/>
                <w:color w:val="auto"/>
              </w:rPr>
            </w:pPr>
          </w:p>
        </w:tc>
        <w:tc>
          <w:tcPr>
            <w:tcW w:w="2540" w:type="dxa"/>
            <w:vAlign w:val="bottom"/>
            <w:shd w:val="clear" w:color="auto" w:fill="CCFFCC"/>
          </w:tcPr>
          <w:p>
            <w:pPr>
              <w:ind w:left="820"/>
              <w:spacing w:after="0"/>
              <w:rPr>
                <w:sz w:val="20"/>
                <w:szCs w:val="20"/>
                <w:color w:val="auto"/>
              </w:rPr>
            </w:pPr>
            <w:r>
              <w:rPr>
                <w:rFonts w:ascii="Arial" w:cs="Arial" w:eastAsia="Arial" w:hAnsi="Arial"/>
                <w:sz w:val="14"/>
                <w:szCs w:val="14"/>
                <w:color w:val="auto"/>
              </w:rPr>
              <w:t>Manufacturer</w:t>
            </w:r>
          </w:p>
        </w:tc>
        <w:tc>
          <w:tcPr>
            <w:tcW w:w="25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units)</w:t>
            </w:r>
          </w:p>
        </w:tc>
        <w:tc>
          <w:tcPr>
            <w:tcW w:w="980" w:type="dxa"/>
            <w:vAlign w:val="bottom"/>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FFCC"/>
          </w:tcPr>
          <w:p>
            <w:pPr>
              <w:spacing w:after="0"/>
              <w:rPr>
                <w:sz w:val="14"/>
                <w:szCs w:val="14"/>
                <w:color w:val="auto"/>
              </w:rPr>
            </w:pPr>
          </w:p>
        </w:tc>
        <w:tc>
          <w:tcPr>
            <w:tcW w:w="2540" w:type="dxa"/>
            <w:vAlign w:val="bottom"/>
            <w:shd w:val="clear" w:color="auto" w:fill="CCFFCC"/>
          </w:tcPr>
          <w:p>
            <w:pPr>
              <w:spacing w:after="0"/>
              <w:rPr>
                <w:sz w:val="14"/>
                <w:szCs w:val="14"/>
                <w:color w:val="auto"/>
              </w:rPr>
            </w:pPr>
          </w:p>
        </w:tc>
        <w:tc>
          <w:tcPr>
            <w:tcW w:w="258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1,736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Sierra Hamilton, LLC</w:t>
            </w:r>
          </w:p>
        </w:tc>
        <w:tc>
          <w:tcPr>
            <w:tcW w:w="2540" w:type="dxa"/>
            <w:vAlign w:val="bottom"/>
            <w:shd w:val="clear" w:color="auto" w:fill="CCFFCC"/>
          </w:tcPr>
          <w:p>
            <w:pPr>
              <w:ind w:left="820"/>
              <w:spacing w:after="0" w:line="130" w:lineRule="exact"/>
              <w:rPr>
                <w:sz w:val="20"/>
                <w:szCs w:val="20"/>
                <w:color w:val="auto"/>
              </w:rPr>
            </w:pPr>
            <w:r>
              <w:rPr>
                <w:rFonts w:ascii="Arial" w:cs="Arial" w:eastAsia="Arial" w:hAnsi="Arial"/>
                <w:sz w:val="14"/>
                <w:szCs w:val="14"/>
                <w:color w:val="auto"/>
              </w:rPr>
              <w:t>Oil &amp; Gas Engineering and</w:t>
            </w:r>
          </w:p>
        </w:tc>
        <w:tc>
          <w:tcPr>
            <w:tcW w:w="2580" w:type="dxa"/>
            <w:vAlign w:val="bottom"/>
            <w:shd w:val="clear" w:color="auto" w:fill="CCFFCC"/>
          </w:tcPr>
          <w:p>
            <w:pPr>
              <w:ind w:left="140"/>
              <w:spacing w:after="0" w:line="130" w:lineRule="exact"/>
              <w:rPr>
                <w:sz w:val="20"/>
                <w:szCs w:val="20"/>
                <w:color w:val="auto"/>
              </w:rPr>
            </w:pPr>
            <w:r>
              <w:rPr>
                <w:rFonts w:ascii="Arial" w:cs="Arial" w:eastAsia="Arial" w:hAnsi="Arial"/>
                <w:sz w:val="14"/>
                <w:szCs w:val="14"/>
                <w:color w:val="auto"/>
              </w:rPr>
              <w:t>Senior Secured Debt (12.25% Cash,</w:t>
            </w:r>
          </w:p>
        </w:tc>
        <w:tc>
          <w:tcPr>
            <w:tcW w:w="9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shd w:val="clear" w:color="auto" w:fill="CCFFCC"/>
          </w:tcPr>
          <w:p>
            <w:pPr>
              <w:spacing w:after="0"/>
              <w:rPr>
                <w:sz w:val="15"/>
                <w:szCs w:val="15"/>
                <w:color w:val="auto"/>
              </w:rPr>
            </w:pPr>
          </w:p>
        </w:tc>
        <w:tc>
          <w:tcPr>
            <w:tcW w:w="2540" w:type="dxa"/>
            <w:vAlign w:val="bottom"/>
            <w:shd w:val="clear" w:color="auto" w:fill="CCFFCC"/>
          </w:tcPr>
          <w:p>
            <w:pPr>
              <w:ind w:left="820"/>
              <w:spacing w:after="0"/>
              <w:rPr>
                <w:sz w:val="20"/>
                <w:szCs w:val="20"/>
                <w:color w:val="auto"/>
              </w:rPr>
            </w:pPr>
            <w:r>
              <w:rPr>
                <w:rFonts w:ascii="Arial" w:cs="Arial" w:eastAsia="Arial" w:hAnsi="Arial"/>
                <w:sz w:val="14"/>
                <w:szCs w:val="14"/>
                <w:color w:val="auto"/>
              </w:rPr>
              <w:t>Consulting Services</w:t>
            </w:r>
          </w:p>
        </w:tc>
        <w:tc>
          <w:tcPr>
            <w:tcW w:w="25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Due 12/15/18)</w:t>
            </w:r>
          </w:p>
        </w:tc>
        <w:tc>
          <w:tcPr>
            <w:tcW w:w="9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15,000</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FFCC"/>
          </w:tcPr>
          <w:p>
            <w:pPr>
              <w:spacing w:after="0"/>
              <w:rPr>
                <w:sz w:val="14"/>
                <w:szCs w:val="14"/>
                <w:color w:val="auto"/>
              </w:rPr>
            </w:pPr>
          </w:p>
        </w:tc>
        <w:tc>
          <w:tcPr>
            <w:tcW w:w="2540" w:type="dxa"/>
            <w:vAlign w:val="bottom"/>
            <w:shd w:val="clear" w:color="auto" w:fill="CCFFCC"/>
          </w:tcPr>
          <w:p>
            <w:pPr>
              <w:spacing w:after="0"/>
              <w:rPr>
                <w:sz w:val="14"/>
                <w:szCs w:val="14"/>
                <w:color w:val="auto"/>
              </w:rPr>
            </w:pPr>
          </w:p>
        </w:tc>
        <w:tc>
          <w:tcPr>
            <w:tcW w:w="258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color w:val="auto"/>
              </w:rPr>
              <w:t xml:space="preserve">Southern Pump &amp; Tank Company, LLC </w:t>
            </w:r>
            <w:r>
              <w:rPr>
                <w:rFonts w:ascii="Arial" w:cs="Arial" w:eastAsia="Arial" w:hAnsi="Arial"/>
                <w:sz w:val="23"/>
                <w:szCs w:val="23"/>
                <w:color w:val="auto"/>
                <w:vertAlign w:val="superscript"/>
              </w:rPr>
              <w:t>(1)</w:t>
            </w: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w w:val="97"/>
              </w:rPr>
              <w:t>Petroleum Equipment Supplier</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60" w:type="dxa"/>
            <w:vAlign w:val="bottom"/>
            <w:shd w:val="clear" w:color="auto" w:fill="CCFFCC"/>
          </w:tcPr>
          <w:p>
            <w:pPr>
              <w:spacing w:after="0"/>
              <w:rPr>
                <w:sz w:val="10"/>
                <w:szCs w:val="10"/>
                <w:color w:val="auto"/>
              </w:rPr>
            </w:pPr>
          </w:p>
        </w:tc>
        <w:tc>
          <w:tcPr>
            <w:tcW w:w="2200" w:type="dxa"/>
            <w:vAlign w:val="bottom"/>
            <w:shd w:val="clear" w:color="auto" w:fill="CCFFCC"/>
          </w:tcPr>
          <w:p>
            <w:pPr>
              <w:spacing w:after="0"/>
              <w:rPr>
                <w:sz w:val="10"/>
                <w:szCs w:val="10"/>
                <w:color w:val="auto"/>
              </w:rPr>
            </w:pPr>
          </w:p>
        </w:tc>
        <w:tc>
          <w:tcPr>
            <w:tcW w:w="1980" w:type="dxa"/>
            <w:vAlign w:val="bottom"/>
            <w:shd w:val="clear" w:color="auto" w:fill="CCFFCC"/>
          </w:tcPr>
          <w:p>
            <w:pPr>
              <w:ind w:left="80"/>
              <w:spacing w:after="0" w:line="116" w:lineRule="exact"/>
              <w:rPr>
                <w:sz w:val="20"/>
                <w:szCs w:val="20"/>
                <w:color w:val="auto"/>
              </w:rPr>
            </w:pPr>
            <w:r>
              <w:rPr>
                <w:rFonts w:ascii="Arial" w:cs="Arial" w:eastAsia="Arial" w:hAnsi="Arial"/>
                <w:sz w:val="13"/>
                <w:szCs w:val="13"/>
                <w:color w:val="auto"/>
              </w:rPr>
              <w:t>(13% Cash, 6% PIK, Due</w:t>
            </w:r>
          </w:p>
        </w:tc>
        <w:tc>
          <w:tcPr>
            <w:tcW w:w="3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6/15/14)</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4,136</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3,323</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3,624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Southern Pump &amp; Tank Company,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w w:val="97"/>
              </w:rPr>
              <w:t>Petroleum Equipment Supplier</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7"/>
              </w:rPr>
              <w:t>Common Stock Warrants (10%</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fully diluted)</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3,323</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3,624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Stoddard Hill Media Holdings,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IT Hosting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Class D Preferred Units</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(132,159 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434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434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Tenere,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Industrial Manufacturing</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spacing w:after="0"/>
              <w:rPr>
                <w:sz w:val="12"/>
                <w:szCs w:val="12"/>
                <w:color w:val="auto"/>
              </w:rPr>
            </w:pPr>
          </w:p>
        </w:tc>
        <w:tc>
          <w:tcPr>
            <w:tcW w:w="2200" w:type="dxa"/>
            <w:vAlign w:val="bottom"/>
            <w:shd w:val="clear" w:color="auto" w:fill="CCFFCC"/>
          </w:tcPr>
          <w:p>
            <w:pPr>
              <w:spacing w:after="0"/>
              <w:rPr>
                <w:sz w:val="12"/>
                <w:szCs w:val="12"/>
                <w:color w:val="auto"/>
              </w:rPr>
            </w:pPr>
          </w:p>
        </w:tc>
        <w:tc>
          <w:tcPr>
            <w:tcW w:w="19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(11% Cash, 2% PIK, Due</w:t>
            </w: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12/17/17)</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3,451</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3,451</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3,451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3,451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Velum Global Credit Management,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Financial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Debt (15%</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Cash, Due 12/31/15)</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8,300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8,300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Worklife America,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Professional Employer</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Debt (12%</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Organization</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Cash, Due 12/28/16)</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18,281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18,281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18,281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Worklife America,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Professional Employer</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Unit Warrants (4.4%</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Organization</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3,253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Worklife America,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Professional Employer</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9"/>
              </w:rPr>
              <w:t>Preferred Unit Warrants (4.4%</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Organization</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548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18,281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22,082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6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200" w:type="dxa"/>
            <w:vAlign w:val="bottom"/>
            <w:shd w:val="clear" w:color="auto" w:fill="CCFFCC"/>
          </w:tcPr>
          <w:p>
            <w:pPr>
              <w:spacing w:after="0"/>
              <w:rPr>
                <w:sz w:val="10"/>
                <w:szCs w:val="10"/>
                <w:color w:val="auto"/>
              </w:rPr>
            </w:pPr>
          </w:p>
        </w:tc>
        <w:tc>
          <w:tcPr>
            <w:tcW w:w="198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investments</w:t>
            </w:r>
          </w:p>
        </w:tc>
        <w:tc>
          <w:tcPr>
            <w:tcW w:w="2200" w:type="dxa"/>
            <w:vAlign w:val="bottom"/>
            <w:shd w:val="clear" w:color="auto" w:fill="CCFFCC"/>
          </w:tcPr>
          <w:p>
            <w:pPr>
              <w:spacing w:after="0"/>
              <w:rPr>
                <w:sz w:val="17"/>
                <w:szCs w:val="17"/>
                <w:color w:val="auto"/>
              </w:rPr>
            </w:pPr>
          </w:p>
        </w:tc>
        <w:tc>
          <w:tcPr>
            <w:tcW w:w="19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110,973</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125,499</w:t>
            </w:r>
          </w:p>
        </w:tc>
        <w:tc>
          <w:tcPr>
            <w:tcW w:w="1020" w:type="dxa"/>
            <w:vAlign w:val="bottom"/>
            <w:gridSpan w:val="2"/>
            <w:shd w:val="clear" w:color="auto" w:fill="CCFFCC"/>
          </w:tcPr>
          <w:p>
            <w:pPr>
              <w:jc w:val="right"/>
              <w:spacing w:after="0" w:line="199" w:lineRule="exact"/>
              <w:rPr>
                <w:sz w:val="20"/>
                <w:szCs w:val="20"/>
                <w:color w:val="auto"/>
              </w:rPr>
            </w:pPr>
            <w:r>
              <w:rPr>
                <w:rFonts w:ascii="Arial" w:cs="Arial" w:eastAsia="Arial" w:hAnsi="Arial"/>
                <w:sz w:val="12"/>
                <w:szCs w:val="12"/>
                <w:color w:val="auto"/>
              </w:rPr>
              <w:t>47.8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tcPr>
          <w:p>
            <w:pPr>
              <w:spacing w:after="0" w:line="20" w:lineRule="exact"/>
              <w:rPr>
                <w:sz w:val="1"/>
                <w:szCs w:val="1"/>
                <w:color w:val="auto"/>
              </w:rPr>
            </w:pPr>
          </w:p>
        </w:tc>
        <w:tc>
          <w:tcPr>
            <w:tcW w:w="2200" w:type="dxa"/>
            <w:vAlign w:val="bottom"/>
            <w:tcBorders>
              <w:top w:val="single" w:sz="8" w:color="CCFFCC"/>
            </w:tcBorders>
          </w:tcPr>
          <w:p>
            <w:pPr>
              <w:spacing w:after="0" w:line="20" w:lineRule="exact"/>
              <w:rPr>
                <w:sz w:val="1"/>
                <w:szCs w:val="1"/>
                <w:color w:val="auto"/>
              </w:rPr>
            </w:pPr>
          </w:p>
        </w:tc>
        <w:tc>
          <w:tcPr>
            <w:tcW w:w="198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Affiliate investments - 71.3%</w:t>
            </w:r>
          </w:p>
        </w:tc>
        <w:tc>
          <w:tcPr>
            <w:tcW w:w="2200" w:type="dxa"/>
            <w:vAlign w:val="bottom"/>
            <w:shd w:val="clear" w:color="auto" w:fill="CCFFCC"/>
          </w:tcPr>
          <w:p>
            <w:pPr>
              <w:spacing w:after="0"/>
              <w:rPr>
                <w:sz w:val="12"/>
                <w:szCs w:val="12"/>
                <w:color w:val="auto"/>
              </w:rPr>
            </w:pPr>
          </w:p>
        </w:tc>
        <w:tc>
          <w:tcPr>
            <w:tcW w:w="198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Chef'N Corporation</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Culinary Products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Subordinated Debt (15% , 3%</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spacing w:after="0"/>
              <w:rPr>
                <w:sz w:val="12"/>
                <w:szCs w:val="12"/>
                <w:color w:val="auto"/>
              </w:rPr>
            </w:pPr>
          </w:p>
        </w:tc>
        <w:tc>
          <w:tcPr>
            <w:tcW w:w="2200" w:type="dxa"/>
            <w:vAlign w:val="bottom"/>
            <w:shd w:val="clear" w:color="auto" w:fill="CCFFCC"/>
          </w:tcPr>
          <w:p>
            <w:pPr>
              <w:spacing w:after="0"/>
              <w:rPr>
                <w:sz w:val="12"/>
                <w:szCs w:val="12"/>
                <w:color w:val="auto"/>
              </w:rPr>
            </w:pPr>
          </w:p>
        </w:tc>
        <w:tc>
          <w:tcPr>
            <w:tcW w:w="19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PIK at company's option, Due</w:t>
            </w: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5/16/18)</w:t>
            </w:r>
          </w:p>
        </w:tc>
        <w:tc>
          <w:tcPr>
            <w:tcW w:w="36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6,300</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6,300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6,300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Chef'N Corporation</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Culinary Products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Series A Preferred Stock</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(1,000,000 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4,236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7,300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10,536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City Gear,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Footwear Retail</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7"/>
              </w:rPr>
              <w:t>Subordinated Debt (13%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Due 9/28/16)</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60" w:type="dxa"/>
            <w:vAlign w:val="bottom"/>
            <w:shd w:val="clear" w:color="auto" w:fill="CCFFCC"/>
          </w:tcPr>
          <w:p>
            <w:pPr>
              <w:spacing w:after="0" w:line="142" w:lineRule="exact"/>
              <w:rPr>
                <w:sz w:val="20"/>
                <w:szCs w:val="20"/>
                <w:color w:val="auto"/>
              </w:rPr>
            </w:pPr>
            <w:r>
              <w:rPr>
                <w:rFonts w:ascii="Arial" w:cs="Arial" w:eastAsia="Arial" w:hAnsi="Arial"/>
                <w:sz w:val="11"/>
                <w:szCs w:val="11"/>
                <w:color w:val="auto"/>
              </w:rPr>
              <w:t xml:space="preserve">City Gear, LLC </w:t>
            </w:r>
            <w:r>
              <w:rPr>
                <w:rFonts w:ascii="Arial" w:cs="Arial" w:eastAsia="Arial" w:hAnsi="Arial"/>
                <w:sz w:val="16"/>
                <w:szCs w:val="16"/>
                <w:color w:val="auto"/>
                <w:vertAlign w:val="superscript"/>
              </w:rPr>
              <w:t>(6)</w:t>
            </w:r>
          </w:p>
        </w:tc>
        <w:tc>
          <w:tcPr>
            <w:tcW w:w="2200" w:type="dxa"/>
            <w:vAlign w:val="bottom"/>
            <w:shd w:val="clear" w:color="auto" w:fill="CCFFCC"/>
          </w:tcPr>
          <w:p>
            <w:pPr>
              <w:ind w:left="320"/>
              <w:spacing w:after="0" w:line="142" w:lineRule="exact"/>
              <w:rPr>
                <w:sz w:val="20"/>
                <w:szCs w:val="20"/>
                <w:color w:val="auto"/>
              </w:rPr>
            </w:pPr>
            <w:r>
              <w:rPr>
                <w:rFonts w:ascii="Arial" w:cs="Arial" w:eastAsia="Arial" w:hAnsi="Arial"/>
                <w:sz w:val="14"/>
                <w:szCs w:val="14"/>
                <w:color w:val="auto"/>
              </w:rPr>
              <w:t>Footwear Retail</w:t>
            </w:r>
          </w:p>
        </w:tc>
        <w:tc>
          <w:tcPr>
            <w:tcW w:w="1980" w:type="dxa"/>
            <w:vAlign w:val="bottom"/>
            <w:shd w:val="clear" w:color="auto" w:fill="CCFFCC"/>
          </w:tcPr>
          <w:p>
            <w:pPr>
              <w:ind w:left="80"/>
              <w:spacing w:after="0" w:line="142" w:lineRule="exact"/>
              <w:rPr>
                <w:sz w:val="20"/>
                <w:szCs w:val="20"/>
                <w:color w:val="auto"/>
              </w:rPr>
            </w:pPr>
            <w:r>
              <w:rPr>
                <w:rFonts w:ascii="Arial" w:cs="Arial" w:eastAsia="Arial" w:hAnsi="Arial"/>
                <w:sz w:val="14"/>
                <w:szCs w:val="14"/>
                <w:color w:val="auto"/>
              </w:rPr>
              <w:t>Preferred Membership Units</w:t>
            </w:r>
          </w:p>
        </w:tc>
        <w:tc>
          <w:tcPr>
            <w:tcW w:w="360" w:type="dxa"/>
            <w:vAlign w:val="bottom"/>
            <w:shd w:val="clear" w:color="auto" w:fill="CCFFCC"/>
          </w:tcPr>
          <w:p>
            <w:pPr>
              <w:spacing w:after="0"/>
              <w:rPr>
                <w:sz w:val="12"/>
                <w:szCs w:val="12"/>
                <w:color w:val="auto"/>
              </w:rPr>
            </w:pPr>
          </w:p>
        </w:tc>
        <w:tc>
          <w:tcPr>
            <w:tcW w:w="720" w:type="dxa"/>
            <w:vAlign w:val="bottom"/>
            <w:vMerge w:val="restart"/>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60" w:type="dxa"/>
            <w:vAlign w:val="bottom"/>
            <w:shd w:val="clear" w:color="auto" w:fill="CCFFCC"/>
          </w:tcPr>
          <w:p>
            <w:pPr>
              <w:spacing w:after="0"/>
              <w:rPr>
                <w:sz w:val="13"/>
                <w:szCs w:val="13"/>
                <w:color w:val="auto"/>
              </w:rPr>
            </w:pPr>
          </w:p>
        </w:tc>
        <w:tc>
          <w:tcPr>
            <w:tcW w:w="2200" w:type="dxa"/>
            <w:vAlign w:val="bottom"/>
            <w:shd w:val="clear" w:color="auto" w:fill="CCFFCC"/>
          </w:tcPr>
          <w:p>
            <w:pPr>
              <w:spacing w:after="0"/>
              <w:rPr>
                <w:sz w:val="13"/>
                <w:szCs w:val="13"/>
                <w:color w:val="auto"/>
              </w:rPr>
            </w:pPr>
          </w:p>
        </w:tc>
        <w:tc>
          <w:tcPr>
            <w:tcW w:w="1980" w:type="dxa"/>
            <w:vAlign w:val="bottom"/>
            <w:shd w:val="clear" w:color="auto" w:fill="CCFFCC"/>
          </w:tcPr>
          <w:p>
            <w:pPr>
              <w:ind w:left="80"/>
              <w:spacing w:after="0" w:line="155" w:lineRule="exact"/>
              <w:rPr>
                <w:sz w:val="20"/>
                <w:szCs w:val="20"/>
                <w:color w:val="auto"/>
              </w:rPr>
            </w:pPr>
            <w:r>
              <w:rPr>
                <w:rFonts w:ascii="Arial" w:cs="Arial" w:eastAsia="Arial" w:hAnsi="Arial"/>
                <w:sz w:val="14"/>
                <w:szCs w:val="14"/>
                <w:color w:val="auto"/>
              </w:rPr>
              <w:t>(9% cash dividend)</w:t>
            </w:r>
          </w:p>
        </w:tc>
        <w:tc>
          <w:tcPr>
            <w:tcW w:w="360" w:type="dxa"/>
            <w:vAlign w:val="bottom"/>
            <w:shd w:val="clear" w:color="auto" w:fill="CCFFCC"/>
          </w:tcPr>
          <w:p>
            <w:pPr>
              <w:spacing w:after="0"/>
              <w:rPr>
                <w:sz w:val="13"/>
                <w:szCs w:val="13"/>
                <w:color w:val="auto"/>
              </w:rPr>
            </w:pPr>
          </w:p>
        </w:tc>
        <w:tc>
          <w:tcPr>
            <w:tcW w:w="720" w:type="dxa"/>
            <w:vAlign w:val="bottom"/>
            <w:vMerge w:val="continue"/>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760" w:type="dxa"/>
            <w:vAlign w:val="bottom"/>
            <w:gridSpan w:val="2"/>
            <w:vMerge w:val="continue"/>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880" w:type="dxa"/>
            <w:vAlign w:val="bottom"/>
            <w:gridSpan w:val="2"/>
            <w:vMerge w:val="continue"/>
            <w:shd w:val="clear" w:color="auto" w:fill="CCFFCC"/>
          </w:tcPr>
          <w:p>
            <w:pPr>
              <w:spacing w:after="0"/>
              <w:rPr>
                <w:sz w:val="13"/>
                <w:szCs w:val="13"/>
                <w:color w:val="auto"/>
              </w:rPr>
            </w:pPr>
          </w:p>
        </w:tc>
        <w:tc>
          <w:tcPr>
            <w:tcW w:w="1020" w:type="dxa"/>
            <w:vAlign w:val="bottom"/>
            <w:gridSpan w:val="2"/>
            <w:vMerge w:val="continue"/>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City Gear,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Footwear Retail</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(14.15% fully diluted)</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5,827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15,327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Corporate Visions,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Sales &amp; Marketing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7"/>
              </w:rPr>
              <w:t>Subordinated Debt (14%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2% PIK, Due 3/22/18)</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11,230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11,230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11,230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Corporate Visions,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Sales &amp; Marketing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Stock (2,216,463</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9,797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Corporate Visions,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Sales &amp; Marketing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Stock Warrant</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(403,257 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1,782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13,806</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22,809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Enersafe,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Oil &amp; Gas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7"/>
              </w:rPr>
              <w:t>Subordinated Debt (12%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2% PIK, Due 11/22/18)</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12,149</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12,149</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12,149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Enersafe,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Oil &amp; Gas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7"/>
              </w:rPr>
              <w:t>Subordinated Debt (12%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2% PIK, Due 2/1/19)</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9,681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9,681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9,681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Enersafe,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Oil &amp; Gas Services</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w w:val="98"/>
              </w:rPr>
              <w:t>Class A Common Stock (3,600</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spacing w:after="0"/>
              <w:rPr>
                <w:sz w:val="15"/>
                <w:szCs w:val="15"/>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3,600</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25,430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25,430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GA Communications, Inc. </w:t>
            </w:r>
            <w:r>
              <w:rPr>
                <w:rFonts w:ascii="Arial" w:cs="Arial" w:eastAsia="Arial" w:hAnsi="Arial"/>
                <w:sz w:val="18"/>
                <w:szCs w:val="18"/>
                <w:color w:val="auto"/>
                <w:vertAlign w:val="superscript"/>
              </w:rPr>
              <w:t>(6)</w:t>
            </w: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Advertising &amp; Marketing</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Series A-1 Preferred Stock</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60" w:type="dxa"/>
            <w:vAlign w:val="bottom"/>
            <w:shd w:val="clear" w:color="auto" w:fill="CCFFCC"/>
          </w:tcPr>
          <w:p>
            <w:pPr>
              <w:spacing w:after="0"/>
              <w:rPr>
                <w:sz w:val="10"/>
                <w:szCs w:val="10"/>
                <w:color w:val="auto"/>
              </w:rPr>
            </w:pPr>
          </w:p>
        </w:tc>
        <w:tc>
          <w:tcPr>
            <w:tcW w:w="2200" w:type="dxa"/>
            <w:vAlign w:val="bottom"/>
            <w:shd w:val="clear" w:color="auto" w:fill="CCFFCC"/>
          </w:tcPr>
          <w:p>
            <w:pPr>
              <w:ind w:left="320"/>
              <w:spacing w:after="0" w:line="116" w:lineRule="exact"/>
              <w:rPr>
                <w:sz w:val="20"/>
                <w:szCs w:val="20"/>
                <w:color w:val="auto"/>
              </w:rPr>
            </w:pPr>
            <w:r>
              <w:rPr>
                <w:rFonts w:ascii="Arial" w:cs="Arial" w:eastAsia="Arial" w:hAnsi="Arial"/>
                <w:sz w:val="13"/>
                <w:szCs w:val="13"/>
                <w:color w:val="auto"/>
              </w:rPr>
              <w:t>Services</w:t>
            </w:r>
          </w:p>
        </w:tc>
        <w:tc>
          <w:tcPr>
            <w:tcW w:w="1980" w:type="dxa"/>
            <w:vAlign w:val="bottom"/>
            <w:shd w:val="clear" w:color="auto" w:fill="CCFFCC"/>
          </w:tcPr>
          <w:p>
            <w:pPr>
              <w:ind w:left="80"/>
              <w:spacing w:after="0" w:line="116" w:lineRule="exact"/>
              <w:rPr>
                <w:sz w:val="20"/>
                <w:szCs w:val="20"/>
                <w:color w:val="auto"/>
              </w:rPr>
            </w:pPr>
            <w:r>
              <w:rPr>
                <w:rFonts w:ascii="Arial" w:cs="Arial" w:eastAsia="Arial" w:hAnsi="Arial"/>
                <w:sz w:val="13"/>
                <w:szCs w:val="13"/>
                <w:color w:val="auto"/>
              </w:rPr>
              <w:t>(1,998 shares, 8% PIK</w:t>
            </w:r>
          </w:p>
        </w:tc>
        <w:tc>
          <w:tcPr>
            <w:tcW w:w="3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dividend)</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2,045</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2,415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GA Communications, Inc.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rPr>
              <w:t>Advertising &amp; Marketing</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Series B-1 Common Stock</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15"/>
                <w:szCs w:val="15"/>
                <w:color w:val="auto"/>
              </w:rPr>
            </w:pP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Services</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(200,000 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2,842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5,257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Impresa Aerospace Holdings, LLC </w:t>
            </w:r>
            <w:r>
              <w:rPr>
                <w:rFonts w:ascii="Arial" w:cs="Arial" w:eastAsia="Arial" w:hAnsi="Arial"/>
                <w:sz w:val="18"/>
                <w:szCs w:val="18"/>
                <w:color w:val="auto"/>
                <w:vertAlign w:val="superscript"/>
              </w:rPr>
              <w:t>(3)</w:t>
            </w: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w w:val="97"/>
              </w:rPr>
              <w:t>Aerospace Parts Manufacturer</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w w:val="95"/>
              </w:rPr>
              <w:t>Subordinated Debt (4.1% Cash,</w:t>
            </w:r>
          </w:p>
        </w:tc>
        <w:tc>
          <w:tcPr>
            <w:tcW w:w="360" w:type="dxa"/>
            <w:vAlign w:val="bottom"/>
            <w:shd w:val="clear" w:color="auto" w:fill="CCFFCC"/>
          </w:tcPr>
          <w:p>
            <w:pPr>
              <w:spacing w:after="0"/>
              <w:rPr>
                <w:sz w:val="14"/>
                <w:szCs w:val="14"/>
                <w:color w:val="auto"/>
              </w:rPr>
            </w:pPr>
          </w:p>
        </w:tc>
        <w:tc>
          <w:tcPr>
            <w:tcW w:w="720" w:type="dxa"/>
            <w:vAlign w:val="bottom"/>
            <w:vMerge w:val="restart"/>
            <w:shd w:val="clear" w:color="auto" w:fill="CCFFCC"/>
          </w:tcPr>
          <w:p>
            <w:pPr>
              <w:jc w:val="right"/>
              <w:ind w:right="28"/>
              <w:spacing w:after="0"/>
              <w:rPr>
                <w:sz w:val="20"/>
                <w:szCs w:val="20"/>
                <w:color w:val="auto"/>
              </w:rPr>
            </w:pPr>
            <w:r>
              <w:rPr>
                <w:rFonts w:ascii="Arial" w:cs="Arial" w:eastAsia="Arial" w:hAnsi="Arial"/>
                <w:sz w:val="14"/>
                <w:szCs w:val="14"/>
                <w:color w:val="auto"/>
              </w:rPr>
              <w:t>13,641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12,258</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9,934</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shd w:val="clear" w:color="auto" w:fill="CCFFCC"/>
          </w:tcPr>
          <w:p>
            <w:pPr>
              <w:spacing w:after="0"/>
              <w:rPr>
                <w:sz w:val="11"/>
                <w:szCs w:val="11"/>
                <w:color w:val="auto"/>
              </w:rPr>
            </w:pPr>
          </w:p>
        </w:tc>
        <w:tc>
          <w:tcPr>
            <w:tcW w:w="2200" w:type="dxa"/>
            <w:vAlign w:val="bottom"/>
            <w:shd w:val="clear" w:color="auto" w:fill="CCFFCC"/>
          </w:tcPr>
          <w:p>
            <w:pPr>
              <w:spacing w:after="0"/>
              <w:rPr>
                <w:sz w:val="11"/>
                <w:szCs w:val="11"/>
                <w:color w:val="auto"/>
              </w:rPr>
            </w:pPr>
          </w:p>
        </w:tc>
        <w:tc>
          <w:tcPr>
            <w:tcW w:w="1980" w:type="dxa"/>
            <w:vAlign w:val="bottom"/>
            <w:shd w:val="clear" w:color="auto" w:fill="CCFFCC"/>
          </w:tcPr>
          <w:p>
            <w:pPr>
              <w:ind w:left="80"/>
              <w:spacing w:after="0" w:line="135" w:lineRule="exact"/>
              <w:rPr>
                <w:sz w:val="20"/>
                <w:szCs w:val="20"/>
                <w:color w:val="auto"/>
              </w:rPr>
            </w:pPr>
            <w:r>
              <w:rPr>
                <w:rFonts w:ascii="Arial" w:cs="Arial" w:eastAsia="Arial" w:hAnsi="Arial"/>
                <w:sz w:val="14"/>
                <w:szCs w:val="14"/>
                <w:color w:val="auto"/>
              </w:rPr>
              <w:t>Due 4/28/16)</w:t>
            </w:r>
          </w:p>
        </w:tc>
        <w:tc>
          <w:tcPr>
            <w:tcW w:w="360" w:type="dxa"/>
            <w:vAlign w:val="bottom"/>
            <w:shd w:val="clear" w:color="auto" w:fill="CCFFCC"/>
          </w:tcPr>
          <w:p>
            <w:pPr>
              <w:spacing w:after="0"/>
              <w:rPr>
                <w:sz w:val="11"/>
                <w:szCs w:val="11"/>
                <w:color w:val="auto"/>
              </w:rPr>
            </w:pPr>
          </w:p>
        </w:tc>
        <w:tc>
          <w:tcPr>
            <w:tcW w:w="720" w:type="dxa"/>
            <w:vAlign w:val="bottom"/>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8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w w:val="97"/>
              </w:rPr>
              <w:t>Aerospace Parts Manufacturer</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Class A Membership Units</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(1,006,621 units)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200" w:type="dxa"/>
            <w:vAlign w:val="bottom"/>
            <w:shd w:val="clear" w:color="auto" w:fill="CCFFCC"/>
          </w:tcPr>
          <w:p>
            <w:pPr>
              <w:ind w:left="320"/>
              <w:spacing w:after="0" w:line="130" w:lineRule="exact"/>
              <w:rPr>
                <w:sz w:val="20"/>
                <w:szCs w:val="20"/>
                <w:color w:val="auto"/>
              </w:rPr>
            </w:pPr>
            <w:r>
              <w:rPr>
                <w:rFonts w:ascii="Arial" w:cs="Arial" w:eastAsia="Arial" w:hAnsi="Arial"/>
                <w:sz w:val="14"/>
                <w:szCs w:val="14"/>
                <w:color w:val="auto"/>
                <w:w w:val="97"/>
              </w:rPr>
              <w:t>Aerospace Parts Manufacturer</w:t>
            </w:r>
          </w:p>
        </w:tc>
        <w:tc>
          <w:tcPr>
            <w:tcW w:w="19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Class C Membership Units</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spacing w:after="0"/>
              <w:rPr>
                <w:sz w:val="14"/>
                <w:szCs w:val="14"/>
                <w:color w:val="auto"/>
              </w:rPr>
            </w:pPr>
          </w:p>
        </w:tc>
        <w:tc>
          <w:tcPr>
            <w:tcW w:w="2200" w:type="dxa"/>
            <w:vAlign w:val="bottom"/>
            <w:shd w:val="clear" w:color="auto" w:fill="CCFFCC"/>
          </w:tcPr>
          <w:p>
            <w:pPr>
              <w:spacing w:after="0"/>
              <w:rPr>
                <w:sz w:val="14"/>
                <w:szCs w:val="14"/>
                <w:color w:val="auto"/>
              </w:rPr>
            </w:pP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(362,416 units)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color w:val="auto"/>
              </w:rPr>
              <w:t>Impresa Aerospace Holdings, LLC</w:t>
            </w:r>
          </w:p>
        </w:tc>
        <w:tc>
          <w:tcPr>
            <w:tcW w:w="2200" w:type="dxa"/>
            <w:vAlign w:val="bottom"/>
            <w:shd w:val="clear" w:color="auto" w:fill="CCFFCC"/>
          </w:tcPr>
          <w:p>
            <w:pPr>
              <w:ind w:left="320"/>
              <w:spacing w:after="0"/>
              <w:rPr>
                <w:sz w:val="20"/>
                <w:szCs w:val="20"/>
                <w:color w:val="auto"/>
              </w:rPr>
            </w:pPr>
            <w:r>
              <w:rPr>
                <w:rFonts w:ascii="Arial" w:cs="Arial" w:eastAsia="Arial" w:hAnsi="Arial"/>
                <w:sz w:val="14"/>
                <w:szCs w:val="14"/>
                <w:color w:val="auto"/>
                <w:w w:val="97"/>
              </w:rPr>
              <w:t>Aerospace Parts Manufacturer</w:t>
            </w:r>
          </w:p>
        </w:tc>
        <w:tc>
          <w:tcPr>
            <w:tcW w:w="1980" w:type="dxa"/>
            <w:vAlign w:val="bottom"/>
            <w:shd w:val="clear" w:color="auto" w:fill="CCFFCC"/>
          </w:tcPr>
          <w:p>
            <w:pPr>
              <w:ind w:left="80"/>
              <w:spacing w:after="0"/>
              <w:rPr>
                <w:sz w:val="20"/>
                <w:szCs w:val="20"/>
                <w:color w:val="auto"/>
              </w:rPr>
            </w:pPr>
            <w:r>
              <w:rPr>
                <w:rFonts w:ascii="Arial" w:cs="Arial" w:eastAsia="Arial" w:hAnsi="Arial"/>
                <w:sz w:val="14"/>
                <w:szCs w:val="14"/>
                <w:color w:val="auto"/>
              </w:rPr>
              <w:t>Class F Membership Units</w:t>
            </w:r>
          </w:p>
        </w:tc>
        <w:tc>
          <w:tcPr>
            <w:tcW w:w="360" w:type="dxa"/>
            <w:vAlign w:val="bottom"/>
            <w:shd w:val="clear" w:color="auto" w:fill="CCFFCC"/>
          </w:tcPr>
          <w:p>
            <w:pPr>
              <w:spacing w:after="0"/>
              <w:rPr>
                <w:sz w:val="16"/>
                <w:szCs w:val="16"/>
                <w:color w:val="auto"/>
              </w:rPr>
            </w:pPr>
          </w:p>
        </w:tc>
        <w:tc>
          <w:tcPr>
            <w:tcW w:w="7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ectPr>
          <w:pgSz w:w="11900" w:h="16900" w:orient="portrait"/>
          <w:cols w:equalWidth="0" w:num="1">
            <w:col w:w="11420"/>
          </w:cols>
          <w:pgMar w:left="240" w:top="793"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60" w:type="dxa"/>
            <w:vAlign w:val="bottom"/>
          </w:tcPr>
          <w:p>
            <w:pPr>
              <w:ind w:left="380"/>
              <w:spacing w:after="0"/>
              <w:rPr>
                <w:sz w:val="20"/>
                <w:szCs w:val="20"/>
                <w:color w:val="auto"/>
              </w:rPr>
            </w:pPr>
            <w:r>
              <w:rPr>
                <w:rFonts w:ascii="Arial" w:cs="Arial" w:eastAsia="Arial" w:hAnsi="Arial"/>
                <w:sz w:val="14"/>
                <w:szCs w:val="14"/>
                <w:color w:val="auto"/>
              </w:rPr>
              <w:t>(604,504 units)</w:t>
            </w:r>
          </w:p>
        </w:tc>
        <w:tc>
          <w:tcPr>
            <w:tcW w:w="700" w:type="dxa"/>
            <w:vAlign w:val="bottom"/>
          </w:tcPr>
          <w:p>
            <w:pPr>
              <w:spacing w:after="0"/>
              <w:rPr>
                <w:sz w:val="15"/>
                <w:szCs w:val="15"/>
                <w:color w:val="auto"/>
              </w:rPr>
            </w:pPr>
          </w:p>
        </w:tc>
      </w:tr>
      <w:tr>
        <w:trPr>
          <w:trHeight w:val="615"/>
        </w:trPr>
        <w:tc>
          <w:tcPr>
            <w:tcW w:w="2340" w:type="dxa"/>
            <w:vAlign w:val="bottom"/>
          </w:tcPr>
          <w:p>
            <w:pPr>
              <w:spacing w:after="0"/>
              <w:rPr>
                <w:sz w:val="20"/>
                <w:szCs w:val="20"/>
                <w:color w:val="auto"/>
              </w:rPr>
            </w:pPr>
            <w:r>
              <w:rPr>
                <w:rFonts w:ascii="Arial" w:cs="Arial" w:eastAsia="Arial" w:hAnsi="Arial"/>
                <w:sz w:val="14"/>
                <w:szCs w:val="14"/>
                <w:color w:val="auto"/>
              </w:rPr>
              <w:t>J&amp;J Produce Holdings, Inc.</w:t>
            </w:r>
          </w:p>
        </w:tc>
        <w:tc>
          <w:tcPr>
            <w:tcW w:w="2340" w:type="dxa"/>
            <w:vAlign w:val="bottom"/>
          </w:tcPr>
          <w:p>
            <w:pPr>
              <w:ind w:left="760"/>
              <w:spacing w:after="0"/>
              <w:rPr>
                <w:sz w:val="20"/>
                <w:szCs w:val="20"/>
                <w:color w:val="auto"/>
              </w:rPr>
            </w:pPr>
            <w:r>
              <w:rPr>
                <w:rFonts w:ascii="Arial" w:cs="Arial" w:eastAsia="Arial" w:hAnsi="Arial"/>
                <w:sz w:val="14"/>
                <w:szCs w:val="14"/>
                <w:color w:val="auto"/>
              </w:rPr>
              <w:t>Produce Distribution</w:t>
            </w:r>
          </w:p>
        </w:tc>
        <w:tc>
          <w:tcPr>
            <w:tcW w:w="2560" w:type="dxa"/>
            <w:vAlign w:val="bottom"/>
          </w:tcPr>
          <w:p>
            <w:pPr>
              <w:ind w:left="380"/>
              <w:spacing w:after="0"/>
              <w:rPr>
                <w:sz w:val="20"/>
                <w:szCs w:val="20"/>
                <w:color w:val="auto"/>
              </w:rPr>
            </w:pPr>
            <w:r>
              <w:rPr>
                <w:rFonts w:ascii="Arial" w:cs="Arial" w:eastAsia="Arial" w:hAnsi="Arial"/>
                <w:sz w:val="14"/>
                <w:szCs w:val="14"/>
                <w:color w:val="auto"/>
              </w:rPr>
              <w:t>Subordinated Debt (13% Cash,</w:t>
            </w:r>
          </w:p>
        </w:tc>
        <w:tc>
          <w:tcPr>
            <w:tcW w:w="70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60" w:type="dxa"/>
            <w:vAlign w:val="bottom"/>
          </w:tcPr>
          <w:p>
            <w:pPr>
              <w:ind w:left="380"/>
              <w:spacing w:after="0"/>
              <w:rPr>
                <w:sz w:val="20"/>
                <w:szCs w:val="20"/>
                <w:color w:val="auto"/>
              </w:rPr>
            </w:pPr>
            <w:r>
              <w:rPr>
                <w:rFonts w:ascii="Arial" w:cs="Arial" w:eastAsia="Arial" w:hAnsi="Arial"/>
                <w:sz w:val="14"/>
                <w:szCs w:val="14"/>
                <w:color w:val="auto"/>
              </w:rPr>
              <w:t>Due 7/16/18)</w:t>
            </w:r>
          </w:p>
        </w:tc>
        <w:tc>
          <w:tcPr>
            <w:tcW w:w="700" w:type="dxa"/>
            <w:vAlign w:val="bottom"/>
          </w:tcPr>
          <w:p>
            <w:pPr>
              <w:jc w:val="right"/>
              <w:spacing w:after="0"/>
              <w:rPr>
                <w:sz w:val="20"/>
                <w:szCs w:val="20"/>
                <w:color w:val="auto"/>
              </w:rPr>
            </w:pPr>
            <w:r>
              <w:rPr>
                <w:rFonts w:ascii="Arial" w:cs="Arial" w:eastAsia="Arial" w:hAnsi="Arial"/>
                <w:sz w:val="14"/>
                <w:szCs w:val="14"/>
                <w:color w:val="auto"/>
              </w:rPr>
              <w:t>5,182</w:t>
            </w:r>
          </w:p>
        </w:tc>
      </w:tr>
      <w:tr>
        <w:trPr>
          <w:trHeight w:val="297"/>
        </w:trPr>
        <w:tc>
          <w:tcPr>
            <w:tcW w:w="2340" w:type="dxa"/>
            <w:vAlign w:val="bottom"/>
          </w:tcPr>
          <w:p>
            <w:pPr>
              <w:spacing w:after="0"/>
              <w:rPr>
                <w:sz w:val="20"/>
                <w:szCs w:val="20"/>
                <w:color w:val="auto"/>
              </w:rPr>
            </w:pPr>
            <w:r>
              <w:rPr>
                <w:rFonts w:ascii="Arial" w:cs="Arial" w:eastAsia="Arial" w:hAnsi="Arial"/>
                <w:sz w:val="14"/>
                <w:szCs w:val="14"/>
                <w:color w:val="auto"/>
              </w:rPr>
              <w:t>J&amp;J Produce Holdings, Inc.</w:t>
            </w:r>
          </w:p>
        </w:tc>
        <w:tc>
          <w:tcPr>
            <w:tcW w:w="2340" w:type="dxa"/>
            <w:vAlign w:val="bottom"/>
          </w:tcPr>
          <w:p>
            <w:pPr>
              <w:ind w:left="760"/>
              <w:spacing w:after="0"/>
              <w:rPr>
                <w:sz w:val="20"/>
                <w:szCs w:val="20"/>
                <w:color w:val="auto"/>
              </w:rPr>
            </w:pPr>
            <w:r>
              <w:rPr>
                <w:rFonts w:ascii="Arial" w:cs="Arial" w:eastAsia="Arial" w:hAnsi="Arial"/>
                <w:sz w:val="14"/>
                <w:szCs w:val="14"/>
                <w:color w:val="auto"/>
              </w:rPr>
              <w:t>Produce Distribution</w:t>
            </w:r>
          </w:p>
        </w:tc>
        <w:tc>
          <w:tcPr>
            <w:tcW w:w="2560" w:type="dxa"/>
            <w:vAlign w:val="bottom"/>
          </w:tcPr>
          <w:p>
            <w:pPr>
              <w:ind w:left="380"/>
              <w:spacing w:after="0"/>
              <w:rPr>
                <w:sz w:val="20"/>
                <w:szCs w:val="20"/>
                <w:color w:val="auto"/>
              </w:rPr>
            </w:pPr>
            <w:r>
              <w:rPr>
                <w:rFonts w:ascii="Arial" w:cs="Arial" w:eastAsia="Arial" w:hAnsi="Arial"/>
                <w:sz w:val="14"/>
                <w:szCs w:val="14"/>
                <w:color w:val="auto"/>
              </w:rPr>
              <w:t>Common Stock (8,182 shares)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2340" w:type="dxa"/>
            <w:vAlign w:val="bottom"/>
          </w:tcPr>
          <w:p>
            <w:pPr>
              <w:spacing w:after="0"/>
              <w:rPr>
                <w:sz w:val="20"/>
                <w:szCs w:val="20"/>
                <w:color w:val="auto"/>
              </w:rPr>
            </w:pPr>
            <w:r>
              <w:rPr>
                <w:rFonts w:ascii="Arial" w:cs="Arial" w:eastAsia="Arial" w:hAnsi="Arial"/>
                <w:sz w:val="14"/>
                <w:szCs w:val="14"/>
                <w:color w:val="auto"/>
              </w:rPr>
              <w:t>J&amp;J Produce Holdings, Inc.</w:t>
            </w:r>
          </w:p>
        </w:tc>
        <w:tc>
          <w:tcPr>
            <w:tcW w:w="2340" w:type="dxa"/>
            <w:vAlign w:val="bottom"/>
          </w:tcPr>
          <w:p>
            <w:pPr>
              <w:ind w:left="760"/>
              <w:spacing w:after="0"/>
              <w:rPr>
                <w:sz w:val="20"/>
                <w:szCs w:val="20"/>
                <w:color w:val="auto"/>
              </w:rPr>
            </w:pPr>
            <w:r>
              <w:rPr>
                <w:rFonts w:ascii="Arial" w:cs="Arial" w:eastAsia="Arial" w:hAnsi="Arial"/>
                <w:sz w:val="14"/>
                <w:szCs w:val="14"/>
                <w:color w:val="auto"/>
              </w:rPr>
              <w:t>Produce Distribution</w:t>
            </w:r>
          </w:p>
        </w:tc>
        <w:tc>
          <w:tcPr>
            <w:tcW w:w="2560" w:type="dxa"/>
            <w:vAlign w:val="bottom"/>
          </w:tcPr>
          <w:p>
            <w:pPr>
              <w:ind w:left="380"/>
              <w:spacing w:after="0"/>
              <w:rPr>
                <w:sz w:val="20"/>
                <w:szCs w:val="20"/>
                <w:color w:val="auto"/>
              </w:rPr>
            </w:pPr>
            <w:r>
              <w:rPr>
                <w:rFonts w:ascii="Arial" w:cs="Arial" w:eastAsia="Arial" w:hAnsi="Arial"/>
                <w:sz w:val="14"/>
                <w:szCs w:val="14"/>
                <w:color w:val="auto"/>
              </w:rPr>
              <w:t>Common Stock Warrants</w:t>
            </w:r>
          </w:p>
        </w:tc>
        <w:tc>
          <w:tcPr>
            <w:tcW w:w="700" w:type="dxa"/>
            <w:vAlign w:val="bottom"/>
          </w:tcPr>
          <w:p>
            <w:pPr>
              <w:spacing w:after="0"/>
              <w:rPr>
                <w:sz w:val="22"/>
                <w:szCs w:val="22"/>
                <w:color w:val="auto"/>
              </w:rPr>
            </w:pPr>
          </w:p>
        </w:tc>
      </w:tr>
      <w:tr>
        <w:trPr>
          <w:trHeight w:val="182"/>
        </w:trPr>
        <w:tc>
          <w:tcPr>
            <w:tcW w:w="2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60" w:type="dxa"/>
            <w:vAlign w:val="bottom"/>
          </w:tcPr>
          <w:p>
            <w:pPr>
              <w:ind w:left="380"/>
              <w:spacing w:after="0"/>
              <w:rPr>
                <w:sz w:val="20"/>
                <w:szCs w:val="20"/>
                <w:color w:val="auto"/>
              </w:rPr>
            </w:pPr>
            <w:r>
              <w:rPr>
                <w:rFonts w:ascii="Arial" w:cs="Arial" w:eastAsia="Arial" w:hAnsi="Arial"/>
                <w:sz w:val="14"/>
                <w:szCs w:val="14"/>
                <w:color w:val="auto"/>
              </w:rPr>
              <w:t>(4,506 shares)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15"/>
        </w:trPr>
        <w:tc>
          <w:tcPr>
            <w:tcW w:w="2340" w:type="dxa"/>
            <w:vAlign w:val="bottom"/>
          </w:tcPr>
          <w:p>
            <w:pPr>
              <w:spacing w:after="0"/>
              <w:rPr>
                <w:sz w:val="20"/>
                <w:szCs w:val="20"/>
                <w:color w:val="auto"/>
              </w:rPr>
            </w:pPr>
            <w:r>
              <w:rPr>
                <w:rFonts w:ascii="Arial" w:cs="Arial" w:eastAsia="Arial" w:hAnsi="Arial"/>
                <w:sz w:val="14"/>
                <w:szCs w:val="14"/>
                <w:color w:val="auto"/>
              </w:rPr>
              <w:t>LJS Partners, LLC</w:t>
            </w:r>
          </w:p>
        </w:tc>
        <w:tc>
          <w:tcPr>
            <w:tcW w:w="2340" w:type="dxa"/>
            <w:vAlign w:val="bottom"/>
          </w:tcPr>
          <w:p>
            <w:pPr>
              <w:ind w:left="760"/>
              <w:spacing w:after="0"/>
              <w:rPr>
                <w:sz w:val="20"/>
                <w:szCs w:val="20"/>
                <w:color w:val="auto"/>
              </w:rPr>
            </w:pPr>
            <w:r>
              <w:rPr>
                <w:rFonts w:ascii="Arial" w:cs="Arial" w:eastAsia="Arial" w:hAnsi="Arial"/>
                <w:sz w:val="14"/>
                <w:szCs w:val="14"/>
                <w:color w:val="auto"/>
              </w:rPr>
              <w:t>QSR Franchisor</w:t>
            </w:r>
          </w:p>
        </w:tc>
        <w:tc>
          <w:tcPr>
            <w:tcW w:w="2560" w:type="dxa"/>
            <w:vAlign w:val="bottom"/>
          </w:tcPr>
          <w:p>
            <w:pPr>
              <w:ind w:left="380"/>
              <w:spacing w:after="0"/>
              <w:rPr>
                <w:sz w:val="20"/>
                <w:szCs w:val="20"/>
                <w:color w:val="auto"/>
              </w:rPr>
            </w:pPr>
            <w:r>
              <w:rPr>
                <w:rFonts w:ascii="Arial" w:cs="Arial" w:eastAsia="Arial" w:hAnsi="Arial"/>
                <w:sz w:val="14"/>
                <w:szCs w:val="14"/>
                <w:color w:val="auto"/>
              </w:rPr>
              <w:t>Common Stock (1,500,000</w:t>
            </w:r>
          </w:p>
        </w:tc>
        <w:tc>
          <w:tcPr>
            <w:tcW w:w="70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60" w:type="dxa"/>
            <w:vAlign w:val="bottom"/>
          </w:tcPr>
          <w:p>
            <w:pPr>
              <w:ind w:left="380"/>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-1586865</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-1381125</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-1175385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-892175</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jc w:val="right"/>
              <w:spacing w:after="0"/>
              <w:rPr>
                <w:sz w:val="20"/>
                <w:szCs w:val="20"/>
                <w:color w:val="auto"/>
              </w:rPr>
            </w:pPr>
            <w:r>
              <w:rPr>
                <w:rFonts w:ascii="Arial" w:cs="Arial" w:eastAsia="Arial" w:hAnsi="Arial"/>
                <w:sz w:val="14"/>
                <w:szCs w:val="14"/>
                <w:color w:val="auto"/>
              </w:rPr>
              <w:t>14,125</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9,934</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900" w:type="dxa"/>
            <w:vAlign w:val="bottom"/>
          </w:tcPr>
          <w:p>
            <w:pPr>
              <w:jc w:val="right"/>
              <w:spacing w:after="0"/>
              <w:rPr>
                <w:sz w:val="20"/>
                <w:szCs w:val="20"/>
                <w:color w:val="auto"/>
              </w:rPr>
            </w:pPr>
            <w:r>
              <w:rPr>
                <w:rFonts w:ascii="Arial" w:cs="Arial" w:eastAsia="Arial" w:hAnsi="Arial"/>
                <w:sz w:val="14"/>
                <w:szCs w:val="14"/>
                <w:color w:val="auto"/>
              </w:rPr>
              <w:t>5,182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97"/>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818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444"/>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90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13,270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13,270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-1697355</wp:posOffset>
            </wp:positionV>
            <wp:extent cx="19983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2">
            <w:col w:w="7940" w:space="220"/>
            <w:col w:w="3260"/>
          </w:cols>
          <w:pgMar w:left="240" w:top="122" w:right="239" w:bottom="144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MJC Holdings, LLC</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Specialty Clothing</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Subordinated Debt (14% Cash,</w:t>
            </w:r>
          </w:p>
        </w:tc>
        <w:tc>
          <w:tcPr>
            <w:tcW w:w="9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224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2% PIK at Company's option,</w:t>
            </w:r>
          </w:p>
        </w:tc>
        <w:tc>
          <w:tcPr>
            <w:tcW w:w="9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Due 1/16/18)</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7,500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MJC Holdings,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Specialty Clothing</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(2,000,000 units)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4,961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12,461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MMI Holdings,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Medical Device Distributor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Debt (12%</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Cash, Due 10/17/14)</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MMI Holdings,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Medical Device Distributor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Subordinated Debt (6% Cash,</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Due 8/15/15)</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388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(6)</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Medical Device Distributor</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Preferred Units (1,000 units,</w:t>
            </w:r>
          </w:p>
        </w:tc>
        <w:tc>
          <w:tcPr>
            <w:tcW w:w="940" w:type="dxa"/>
            <w:vAlign w:val="bottom"/>
            <w:vMerge w:val="restart"/>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1,070</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1,217</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2240" w:type="dxa"/>
            <w:vAlign w:val="bottom"/>
            <w:shd w:val="clear" w:color="auto" w:fill="CCFFCC"/>
          </w:tcPr>
          <w:p>
            <w:pPr>
              <w:ind w:left="80"/>
              <w:spacing w:after="0" w:line="135" w:lineRule="exact"/>
              <w:rPr>
                <w:sz w:val="20"/>
                <w:szCs w:val="20"/>
                <w:color w:val="auto"/>
              </w:rPr>
            </w:pPr>
            <w:r>
              <w:rPr>
                <w:rFonts w:ascii="Arial" w:cs="Arial" w:eastAsia="Arial" w:hAnsi="Arial"/>
                <w:sz w:val="14"/>
                <w:szCs w:val="14"/>
                <w:color w:val="auto"/>
              </w:rPr>
              <w:t>6% PIK dividend)</w:t>
            </w:r>
          </w:p>
        </w:tc>
        <w:tc>
          <w:tcPr>
            <w:tcW w:w="940" w:type="dxa"/>
            <w:vAlign w:val="bottom"/>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MMI Holdings, LLC</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Medical Device Distributor</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Common Units (45 units)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4,058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4,331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MTI Holdings,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Retail Display &amp; Security</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Subordinated Debt (12% Cash,</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Services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Due 11/1/18)</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MTI Holdings,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Retail Display &amp; Security</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Capital Units (2,000,000 units)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Services</w:t>
            </w:r>
          </w:p>
        </w:tc>
        <w:tc>
          <w:tcPr>
            <w:tcW w:w="2240" w:type="dxa"/>
            <w:vAlign w:val="bottom"/>
            <w:shd w:val="clear" w:color="auto" w:fill="CCFFCC"/>
          </w:tcPr>
          <w:p>
            <w:pPr>
              <w:spacing w:after="0"/>
              <w:rPr>
                <w:sz w:val="15"/>
                <w:szCs w:val="15"/>
                <w:color w:val="auto"/>
              </w:rPr>
            </w:pP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3,965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11,965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ABUTEC,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Environmental Services</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Subordinated Debt (12% Cash,</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Products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3% PIK, Due 12/28/17)</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5,164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5,164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5,164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ABUTEC,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Environmental Services</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Products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(15.5% fully diluted)</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1,239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6,403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5,253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Penray,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Automotive Chemicals &amp;</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Subordinated Debt (13% Cash,</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Lubricants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Due 2/17/17)</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Penray,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Automotive Chemicals &amp;</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Lubricants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(6.65% fully diluted)</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704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Penray,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Automotive Chemicals &amp;</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Membership Units (11.3%</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Lubricants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fully diluted)</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750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980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3,250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4,184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SSCR,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w w:val="95"/>
              </w:rPr>
              <w:t>Personal Product Manufacturer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Term Debt</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(14% Cash, Due 7/6/17)</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11,776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SSCR,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w w:val="95"/>
              </w:rPr>
              <w:t>Personal Product Manufacturer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Term Debt</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FFCC"/>
          </w:tcPr>
          <w:p>
            <w:pPr>
              <w:spacing w:after="0"/>
              <w:rPr>
                <w:sz w:val="12"/>
                <w:szCs w:val="12"/>
                <w:color w:val="auto"/>
              </w:rPr>
            </w:pPr>
          </w:p>
        </w:tc>
        <w:tc>
          <w:tcPr>
            <w:tcW w:w="2080" w:type="dxa"/>
            <w:vAlign w:val="bottom"/>
            <w:shd w:val="clear" w:color="auto" w:fill="CCFFCC"/>
          </w:tcPr>
          <w:p>
            <w:pPr>
              <w:spacing w:after="0"/>
              <w:rPr>
                <w:sz w:val="12"/>
                <w:szCs w:val="12"/>
                <w:color w:val="auto"/>
              </w:rPr>
            </w:pPr>
          </w:p>
        </w:tc>
        <w:tc>
          <w:tcPr>
            <w:tcW w:w="224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(14% Cash, 5% PIK, Due</w:t>
            </w:r>
          </w:p>
        </w:tc>
        <w:tc>
          <w:tcPr>
            <w:tcW w:w="9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4/30/14)</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2,104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2,104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1,931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SSCR,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w w:val="95"/>
              </w:rPr>
              <w:t>Personal Product Manufacturer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(14,718 units)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1,720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Capital SSCR,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w w:val="95"/>
              </w:rPr>
              <w:t>Personal Product Manufacturer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(0.987% fully diluted)</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18,824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13,707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Source Recycling, LLC </w:t>
            </w:r>
            <w:r>
              <w:rPr>
                <w:rFonts w:ascii="Arial" w:cs="Arial" w:eastAsia="Arial" w:hAnsi="Arial"/>
                <w:sz w:val="18"/>
                <w:szCs w:val="18"/>
                <w:color w:val="auto"/>
                <w:vertAlign w:val="superscript"/>
              </w:rPr>
              <w:t>(2)</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Metal Recycler</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Subordinated Debt (13% Cash,</w:t>
            </w:r>
          </w:p>
        </w:tc>
        <w:tc>
          <w:tcPr>
            <w:tcW w:w="940" w:type="dxa"/>
            <w:vAlign w:val="bottom"/>
            <w:vMerge w:val="restart"/>
            <w:shd w:val="clear" w:color="auto" w:fill="CCFFCC"/>
          </w:tcPr>
          <w:p>
            <w:pPr>
              <w:jc w:val="right"/>
              <w:ind w:right="148"/>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3,950</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2240" w:type="dxa"/>
            <w:vAlign w:val="bottom"/>
            <w:shd w:val="clear" w:color="auto" w:fill="CCFFCC"/>
          </w:tcPr>
          <w:p>
            <w:pPr>
              <w:ind w:left="80"/>
              <w:spacing w:after="0" w:line="135" w:lineRule="exact"/>
              <w:rPr>
                <w:sz w:val="20"/>
                <w:szCs w:val="20"/>
                <w:color w:val="auto"/>
              </w:rPr>
            </w:pPr>
            <w:r>
              <w:rPr>
                <w:rFonts w:ascii="Arial" w:cs="Arial" w:eastAsia="Arial" w:hAnsi="Arial"/>
                <w:sz w:val="14"/>
                <w:szCs w:val="14"/>
                <w:color w:val="auto"/>
              </w:rPr>
              <w:t>Due 9/2/16)</w:t>
            </w:r>
          </w:p>
        </w:tc>
        <w:tc>
          <w:tcPr>
            <w:tcW w:w="940" w:type="dxa"/>
            <w:vAlign w:val="bottom"/>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Recycling,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Metal Recycler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Membership Units (68,658</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units)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1,590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Source Recycling, LLC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Metal Recycler</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(1% fully diluted)</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6,590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3,950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Sparus Holdings, Inc. </w:t>
            </w:r>
            <w:r>
              <w:rPr>
                <w:rFonts w:ascii="Arial" w:cs="Arial" w:eastAsia="Arial" w:hAnsi="Arial"/>
                <w:sz w:val="18"/>
                <w:szCs w:val="18"/>
                <w:color w:val="auto"/>
                <w:vertAlign w:val="superscript"/>
              </w:rPr>
              <w:t>(1)</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Energy Services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Subordinated Debt (12% Cash,</w:t>
            </w:r>
          </w:p>
        </w:tc>
        <w:tc>
          <w:tcPr>
            <w:tcW w:w="940" w:type="dxa"/>
            <w:vAlign w:val="bottom"/>
            <w:vMerge w:val="restart"/>
            <w:shd w:val="clear" w:color="auto" w:fill="CCFFCC"/>
          </w:tcPr>
          <w:p>
            <w:pPr>
              <w:jc w:val="right"/>
              <w:ind w:right="148"/>
              <w:spacing w:after="0"/>
              <w:rPr>
                <w:sz w:val="20"/>
                <w:szCs w:val="20"/>
                <w:color w:val="auto"/>
              </w:rPr>
            </w:pPr>
            <w:r>
              <w:rPr>
                <w:rFonts w:ascii="Arial" w:cs="Arial" w:eastAsia="Arial" w:hAnsi="Arial"/>
                <w:sz w:val="14"/>
                <w:szCs w:val="14"/>
                <w:color w:val="auto"/>
              </w:rPr>
              <w:t>7,000</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7,000</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7,000</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2240" w:type="dxa"/>
            <w:vAlign w:val="bottom"/>
            <w:shd w:val="clear" w:color="auto" w:fill="CCFFCC"/>
          </w:tcPr>
          <w:p>
            <w:pPr>
              <w:ind w:left="80"/>
              <w:spacing w:after="0" w:line="135" w:lineRule="exact"/>
              <w:rPr>
                <w:sz w:val="20"/>
                <w:szCs w:val="20"/>
                <w:color w:val="auto"/>
              </w:rPr>
            </w:pPr>
            <w:r>
              <w:rPr>
                <w:rFonts w:ascii="Arial" w:cs="Arial" w:eastAsia="Arial" w:hAnsi="Arial"/>
                <w:sz w:val="14"/>
                <w:szCs w:val="14"/>
                <w:color w:val="auto"/>
              </w:rPr>
              <w:t>Due 3/21/16)</w:t>
            </w:r>
          </w:p>
        </w:tc>
        <w:tc>
          <w:tcPr>
            <w:tcW w:w="940" w:type="dxa"/>
            <w:vAlign w:val="bottom"/>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Sparus Holdings, Inc.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Energy Services</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Series B Preferred Stock (5,703</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1,173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1,064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Sparus Holdings, Inc.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Energy Services</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(3,491 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8,173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8,064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STX Healthcare Management Services, Inc. </w:t>
            </w:r>
            <w:r>
              <w:rPr>
                <w:rFonts w:ascii="Arial" w:cs="Arial" w:eastAsia="Arial" w:hAnsi="Arial"/>
                <w:sz w:val="18"/>
                <w:szCs w:val="18"/>
                <w:color w:val="auto"/>
                <w:vertAlign w:val="superscript"/>
              </w:rPr>
              <w:t>(1)</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Dental Practice Management</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Subordinated Debt (14% Cash,</w:t>
            </w:r>
          </w:p>
        </w:tc>
        <w:tc>
          <w:tcPr>
            <w:tcW w:w="940" w:type="dxa"/>
            <w:vAlign w:val="bottom"/>
            <w:vMerge w:val="restart"/>
            <w:shd w:val="clear" w:color="auto" w:fill="CCFFCC"/>
          </w:tcPr>
          <w:p>
            <w:pPr>
              <w:jc w:val="right"/>
              <w:ind w:right="148"/>
              <w:spacing w:after="0"/>
              <w:rPr>
                <w:sz w:val="20"/>
                <w:szCs w:val="20"/>
                <w:color w:val="auto"/>
              </w:rPr>
            </w:pPr>
            <w:r>
              <w:rPr>
                <w:rFonts w:ascii="Arial" w:cs="Arial" w:eastAsia="Arial" w:hAnsi="Arial"/>
                <w:sz w:val="14"/>
                <w:szCs w:val="14"/>
                <w:color w:val="auto"/>
              </w:rPr>
              <w:t>7,425</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7,425</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7,425</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shd w:val="clear" w:color="auto" w:fill="CCFFCC"/>
          </w:tcPr>
          <w:p>
            <w:pPr>
              <w:spacing w:after="0"/>
              <w:rPr>
                <w:sz w:val="11"/>
                <w:szCs w:val="11"/>
                <w:color w:val="auto"/>
              </w:rPr>
            </w:pPr>
          </w:p>
        </w:tc>
        <w:tc>
          <w:tcPr>
            <w:tcW w:w="2080" w:type="dxa"/>
            <w:vAlign w:val="bottom"/>
            <w:shd w:val="clear" w:color="auto" w:fill="CCFFCC"/>
          </w:tcPr>
          <w:p>
            <w:pPr>
              <w:spacing w:after="0"/>
              <w:rPr>
                <w:sz w:val="11"/>
                <w:szCs w:val="11"/>
                <w:color w:val="auto"/>
              </w:rPr>
            </w:pPr>
          </w:p>
        </w:tc>
        <w:tc>
          <w:tcPr>
            <w:tcW w:w="2240" w:type="dxa"/>
            <w:vAlign w:val="bottom"/>
            <w:shd w:val="clear" w:color="auto" w:fill="CCFFCC"/>
          </w:tcPr>
          <w:p>
            <w:pPr>
              <w:ind w:left="80"/>
              <w:spacing w:after="0" w:line="135" w:lineRule="exact"/>
              <w:rPr>
                <w:sz w:val="20"/>
                <w:szCs w:val="20"/>
                <w:color w:val="auto"/>
              </w:rPr>
            </w:pPr>
            <w:r>
              <w:rPr>
                <w:rFonts w:ascii="Arial" w:cs="Arial" w:eastAsia="Arial" w:hAnsi="Arial"/>
                <w:sz w:val="14"/>
                <w:szCs w:val="14"/>
                <w:color w:val="auto"/>
              </w:rPr>
              <w:t>Due 7/31/15)</w:t>
            </w:r>
          </w:p>
        </w:tc>
        <w:tc>
          <w:tcPr>
            <w:tcW w:w="940" w:type="dxa"/>
            <w:vAlign w:val="bottom"/>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STX Healthcare Management Services, Inc.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Dental Practice Management</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Stock (1,200,000</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765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STX Healthcare Management Services, Inc.</w:t>
            </w:r>
          </w:p>
        </w:tc>
        <w:tc>
          <w:tcPr>
            <w:tcW w:w="2080" w:type="dxa"/>
            <w:vAlign w:val="bottom"/>
            <w:shd w:val="clear" w:color="auto" w:fill="CCFFCC"/>
          </w:tcPr>
          <w:p>
            <w:pPr>
              <w:ind w:left="200"/>
              <w:spacing w:after="0" w:line="130" w:lineRule="exact"/>
              <w:rPr>
                <w:sz w:val="20"/>
                <w:szCs w:val="20"/>
                <w:color w:val="auto"/>
              </w:rPr>
            </w:pPr>
            <w:r>
              <w:rPr>
                <w:rFonts w:ascii="Arial" w:cs="Arial" w:eastAsia="Arial" w:hAnsi="Arial"/>
                <w:sz w:val="14"/>
                <w:szCs w:val="14"/>
                <w:color w:val="auto"/>
              </w:rPr>
              <w:t>Dental Practice Management</w:t>
            </w:r>
          </w:p>
        </w:tc>
        <w:tc>
          <w:tcPr>
            <w:tcW w:w="224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(1,154,254 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812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8,843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9,002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Take 5 Oil Change, Inc.</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Quick Lube Services</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Common Stock (10,692 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1,069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1,866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2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1,069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1,866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vMerge w:val="continue"/>
          </w:tcPr>
          <w:p>
            <w:pPr>
              <w:spacing w:after="0"/>
              <w:rPr>
                <w:sz w:val="22"/>
                <w:szCs w:val="22"/>
                <w:color w:val="auto"/>
              </w:rPr>
            </w:pPr>
          </w:p>
        </w:tc>
        <w:tc>
          <w:tcPr>
            <w:tcW w:w="2880" w:type="dxa"/>
            <w:vAlign w:val="bottom"/>
            <w:shd w:val="clear" w:color="auto" w:fill="CCFFCC"/>
          </w:tcPr>
          <w:p>
            <w:pPr>
              <w:spacing w:after="0" w:line="259" w:lineRule="exact"/>
              <w:rPr>
                <w:sz w:val="20"/>
                <w:szCs w:val="20"/>
                <w:color w:val="auto"/>
              </w:rPr>
            </w:pPr>
            <w:r>
              <w:rPr>
                <w:rFonts w:ascii="Arial" w:cs="Arial" w:eastAsia="Arial" w:hAnsi="Arial"/>
                <w:sz w:val="14"/>
                <w:szCs w:val="14"/>
                <w:color w:val="auto"/>
              </w:rPr>
              <w:t xml:space="preserve">V12 Holdings, Inc. </w:t>
            </w:r>
            <w:r>
              <w:rPr>
                <w:rFonts w:ascii="Arial" w:cs="Arial" w:eastAsia="Arial" w:hAnsi="Arial"/>
                <w:sz w:val="23"/>
                <w:szCs w:val="23"/>
                <w:color w:val="auto"/>
                <w:vertAlign w:val="superscript"/>
              </w:rPr>
              <w:t>(1)</w:t>
            </w:r>
          </w:p>
        </w:tc>
        <w:tc>
          <w:tcPr>
            <w:tcW w:w="2080" w:type="dxa"/>
            <w:vAlign w:val="bottom"/>
            <w:shd w:val="clear" w:color="auto" w:fill="CCFFCC"/>
          </w:tcPr>
          <w:p>
            <w:pPr>
              <w:ind w:left="200"/>
              <w:spacing w:after="0"/>
              <w:rPr>
                <w:sz w:val="20"/>
                <w:szCs w:val="20"/>
                <w:color w:val="auto"/>
              </w:rPr>
            </w:pPr>
            <w:r>
              <w:rPr>
                <w:rFonts w:ascii="Arial" w:cs="Arial" w:eastAsia="Arial" w:hAnsi="Arial"/>
                <w:sz w:val="14"/>
                <w:szCs w:val="14"/>
                <w:color w:val="auto"/>
              </w:rPr>
              <w:t>Data Processing &amp; Digital</w:t>
            </w:r>
          </w:p>
        </w:tc>
        <w:tc>
          <w:tcPr>
            <w:tcW w:w="2240" w:type="dxa"/>
            <w:vAlign w:val="bottom"/>
            <w:shd w:val="clear" w:color="auto" w:fill="CCFFCC"/>
          </w:tcPr>
          <w:p>
            <w:pPr>
              <w:ind w:left="80"/>
              <w:spacing w:after="0"/>
              <w:rPr>
                <w:sz w:val="20"/>
                <w:szCs w:val="20"/>
                <w:color w:val="auto"/>
              </w:rPr>
            </w:pPr>
            <w:r>
              <w:rPr>
                <w:rFonts w:ascii="Arial" w:cs="Arial" w:eastAsia="Arial" w:hAnsi="Arial"/>
                <w:sz w:val="14"/>
                <w:szCs w:val="14"/>
                <w:color w:val="auto"/>
              </w:rPr>
              <w:t>Bridge Note (0% Cash, Due</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663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663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ectPr>
          <w:pgSz w:w="11900" w:h="16900" w:orient="portrait"/>
          <w:cols w:equalWidth="0" w:num="1">
            <w:col w:w="11420"/>
          </w:cols>
          <w:pgMar w:left="240" w:top="865" w:right="239" w:bottom="0" w:gutter="0" w:footer="0" w:header="0"/>
        </w:sectPr>
      </w:pPr>
    </w:p>
    <w:bookmarkStart w:id="12" w:name="page13"/>
    <w:bookmarkEnd w:id="12"/>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V12 Holdings, Inc. </w:t>
      </w:r>
      <w:r>
        <w:rPr>
          <w:rFonts w:ascii="Arial" w:cs="Arial" w:eastAsia="Arial" w:hAnsi="Arial"/>
          <w:sz w:val="21"/>
          <w:szCs w:val="21"/>
          <w:color w:val="auto"/>
          <w:vertAlign w:val="superscript"/>
        </w:rPr>
        <w:t>(1)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V12 Holdings, Inc. </w:t>
      </w:r>
      <w:r>
        <w:rPr>
          <w:rFonts w:ascii="Arial" w:cs="Arial" w:eastAsia="Arial" w:hAnsi="Arial"/>
          <w:sz w:val="21"/>
          <w:szCs w:val="21"/>
          <w:color w:val="auto"/>
          <w:vertAlign w:val="superscript"/>
        </w:rPr>
        <w:t>(1)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V12 Holdings, Inc. </w:t>
      </w:r>
      <w:r>
        <w:rPr>
          <w:rFonts w:ascii="Arial" w:cs="Arial" w:eastAsia="Arial" w:hAnsi="Arial"/>
          <w:sz w:val="21"/>
          <w:szCs w:val="21"/>
          <w:color w:val="auto"/>
          <w:vertAlign w:val="superscript"/>
        </w:rPr>
        <w:t>(1)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V12 Holdings, Inc. </w:t>
      </w:r>
      <w:r>
        <w:rPr>
          <w:rFonts w:ascii="Arial" w:cs="Arial" w:eastAsia="Arial" w:hAnsi="Arial"/>
          <w:sz w:val="21"/>
          <w:szCs w:val="21"/>
          <w:color w:val="auto"/>
          <w:vertAlign w:val="superscript"/>
        </w:rPr>
        <w:t>(1)</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V12 Holdings, Inc. </w:t>
      </w:r>
      <w:r>
        <w:rPr>
          <w:rFonts w:ascii="Arial" w:cs="Arial" w:eastAsia="Arial" w:hAnsi="Arial"/>
          <w:sz w:val="21"/>
          <w:szCs w:val="21"/>
          <w:color w:val="auto"/>
          <w:vertAlign w:val="superscript"/>
        </w:rPr>
        <w:t>(1)</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12/31/14)</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380" w:type="dxa"/>
            <w:vAlign w:val="bottom"/>
          </w:tcPr>
          <w:p>
            <w:pPr>
              <w:ind w:left="220"/>
              <w:spacing w:after="0"/>
              <w:rPr>
                <w:sz w:val="20"/>
                <w:szCs w:val="20"/>
                <w:color w:val="auto"/>
              </w:rPr>
            </w:pPr>
            <w:r>
              <w:rPr>
                <w:rFonts w:ascii="Arial" w:cs="Arial" w:eastAsia="Arial" w:hAnsi="Arial"/>
                <w:sz w:val="14"/>
                <w:szCs w:val="14"/>
                <w:color w:val="auto"/>
              </w:rPr>
              <w:t>Tier 2 Note (0% Cash, Due</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12/31/14)</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81</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44</w:t>
            </w:r>
          </w:p>
        </w:tc>
        <w:tc>
          <w:tcPr>
            <w:tcW w:w="1180" w:type="dxa"/>
            <w:vAlign w:val="bottom"/>
          </w:tcPr>
          <w:p>
            <w:pPr>
              <w:jc w:val="right"/>
              <w:ind w:right="388"/>
              <w:spacing w:after="0"/>
              <w:rPr>
                <w:sz w:val="20"/>
                <w:szCs w:val="20"/>
                <w:color w:val="auto"/>
              </w:rPr>
            </w:pPr>
            <w:r>
              <w:rPr>
                <w:rFonts w:ascii="Arial" w:cs="Arial" w:eastAsia="Arial" w:hAnsi="Arial"/>
                <w:sz w:val="14"/>
                <w:szCs w:val="14"/>
                <w:color w:val="auto"/>
              </w:rPr>
              <w:t>81</w:t>
            </w: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380" w:type="dxa"/>
            <w:vAlign w:val="bottom"/>
          </w:tcPr>
          <w:p>
            <w:pPr>
              <w:ind w:left="220"/>
              <w:spacing w:after="0"/>
              <w:rPr>
                <w:sz w:val="20"/>
                <w:szCs w:val="20"/>
                <w:color w:val="auto"/>
              </w:rPr>
            </w:pPr>
            <w:r>
              <w:rPr>
                <w:rFonts w:ascii="Arial" w:cs="Arial" w:eastAsia="Arial" w:hAnsi="Arial"/>
                <w:sz w:val="14"/>
                <w:szCs w:val="14"/>
                <w:color w:val="auto"/>
              </w:rPr>
              <w:t>Senior Subordinated Note (0%</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Cash, Due 12/31/14)</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3,563</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2,369</w:t>
            </w:r>
          </w:p>
        </w:tc>
        <w:tc>
          <w:tcPr>
            <w:tcW w:w="1180" w:type="dxa"/>
            <w:vAlign w:val="bottom"/>
          </w:tcPr>
          <w:p>
            <w:pPr>
              <w:jc w:val="right"/>
              <w:ind w:right="388"/>
              <w:spacing w:after="0"/>
              <w:rPr>
                <w:sz w:val="20"/>
                <w:szCs w:val="20"/>
                <w:color w:val="auto"/>
              </w:rPr>
            </w:pPr>
            <w:r>
              <w:rPr>
                <w:rFonts w:ascii="Arial" w:cs="Arial" w:eastAsia="Arial" w:hAnsi="Arial"/>
                <w:sz w:val="14"/>
                <w:szCs w:val="14"/>
                <w:color w:val="auto"/>
              </w:rPr>
              <w:t>3,563</w:t>
            </w: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380" w:type="dxa"/>
            <w:vAlign w:val="bottom"/>
          </w:tcPr>
          <w:p>
            <w:pPr>
              <w:ind w:left="220"/>
              <w:spacing w:after="0"/>
              <w:rPr>
                <w:sz w:val="20"/>
                <w:szCs w:val="20"/>
                <w:color w:val="auto"/>
              </w:rPr>
            </w:pPr>
            <w:r>
              <w:rPr>
                <w:rFonts w:ascii="Arial" w:cs="Arial" w:eastAsia="Arial" w:hAnsi="Arial"/>
                <w:sz w:val="14"/>
                <w:szCs w:val="14"/>
                <w:color w:val="auto"/>
              </w:rPr>
              <w:t>Tier 3 Note (0% Cash, Due</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12/31/14)</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299</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206</w:t>
            </w:r>
          </w:p>
        </w:tc>
        <w:tc>
          <w:tcPr>
            <w:tcW w:w="1180" w:type="dxa"/>
            <w:vAlign w:val="bottom"/>
          </w:tcPr>
          <w:p>
            <w:pPr>
              <w:jc w:val="right"/>
              <w:ind w:right="388"/>
              <w:spacing w:after="0"/>
              <w:rPr>
                <w:sz w:val="20"/>
                <w:szCs w:val="20"/>
                <w:color w:val="auto"/>
              </w:rPr>
            </w:pPr>
            <w:r>
              <w:rPr>
                <w:rFonts w:ascii="Arial" w:cs="Arial" w:eastAsia="Arial" w:hAnsi="Arial"/>
                <w:sz w:val="14"/>
                <w:szCs w:val="14"/>
                <w:color w:val="auto"/>
              </w:rPr>
              <w:t>299</w:t>
            </w: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380" w:type="dxa"/>
            <w:vAlign w:val="bottom"/>
          </w:tcPr>
          <w:p>
            <w:pPr>
              <w:ind w:left="220"/>
              <w:spacing w:after="0"/>
              <w:rPr>
                <w:sz w:val="20"/>
                <w:szCs w:val="20"/>
                <w:color w:val="auto"/>
              </w:rPr>
            </w:pPr>
            <w:r>
              <w:rPr>
                <w:rFonts w:ascii="Arial" w:cs="Arial" w:eastAsia="Arial" w:hAnsi="Arial"/>
                <w:sz w:val="14"/>
                <w:szCs w:val="14"/>
                <w:color w:val="auto"/>
              </w:rPr>
              <w:t>Jr. Subordinated Note (0%</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Cash, Due 12/31/14)</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2,750</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88"/>
              <w:spacing w:after="0"/>
              <w:rPr>
                <w:sz w:val="20"/>
                <w:szCs w:val="20"/>
                <w:color w:val="auto"/>
              </w:rPr>
            </w:pPr>
            <w:r>
              <w:rPr>
                <w:rFonts w:ascii="Arial" w:cs="Arial" w:eastAsia="Arial" w:hAnsi="Arial"/>
                <w:sz w:val="14"/>
                <w:szCs w:val="14"/>
                <w:color w:val="auto"/>
              </w:rPr>
              <w:t>455</w:t>
            </w: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380" w:type="dxa"/>
            <w:vAlign w:val="bottom"/>
          </w:tcPr>
          <w:p>
            <w:pPr>
              <w:ind w:left="220"/>
              <w:spacing w:after="0"/>
              <w:rPr>
                <w:sz w:val="20"/>
                <w:szCs w:val="20"/>
                <w:color w:val="auto"/>
              </w:rPr>
            </w:pPr>
            <w:r>
              <w:rPr>
                <w:rFonts w:ascii="Arial" w:cs="Arial" w:eastAsia="Arial" w:hAnsi="Arial"/>
                <w:sz w:val="14"/>
                <w:szCs w:val="14"/>
                <w:color w:val="auto"/>
              </w:rPr>
              <w:t>Tier 4 Note (0% Cash, Due</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12/31/14)</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243</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380" w:type="dxa"/>
            <w:vAlign w:val="bottom"/>
          </w:tcPr>
          <w:p>
            <w:pPr>
              <w:ind w:left="220"/>
              <w:spacing w:after="0"/>
              <w:rPr>
                <w:sz w:val="20"/>
                <w:szCs w:val="20"/>
                <w:color w:val="auto"/>
              </w:rPr>
            </w:pPr>
            <w:r>
              <w:rPr>
                <w:rFonts w:ascii="Arial" w:cs="Arial" w:eastAsia="Arial" w:hAnsi="Arial"/>
                <w:sz w:val="14"/>
                <w:szCs w:val="14"/>
                <w:color w:val="auto"/>
              </w:rPr>
              <w:t>Series A-1 Preferred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Marketing</w:t>
            </w:r>
          </w:p>
        </w:tc>
        <w:tc>
          <w:tcPr>
            <w:tcW w:w="2380" w:type="dxa"/>
            <w:vAlign w:val="bottom"/>
          </w:tcPr>
          <w:p>
            <w:pPr>
              <w:ind w:left="220"/>
              <w:spacing w:after="0"/>
              <w:rPr>
                <w:sz w:val="20"/>
                <w:szCs w:val="20"/>
                <w:color w:val="auto"/>
              </w:rPr>
            </w:pPr>
            <w:r>
              <w:rPr>
                <w:rFonts w:ascii="Arial" w:cs="Arial" w:eastAsia="Arial" w:hAnsi="Arial"/>
                <w:sz w:val="14"/>
                <w:szCs w:val="14"/>
                <w:color w:val="auto"/>
              </w:rPr>
              <w:t>(255,102 shares)</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-1801495</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-1612265</wp:posOffset>
            </wp:positionV>
            <wp:extent cx="72466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-1329690</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-1046480</wp:posOffset>
            </wp:positionV>
            <wp:extent cx="72466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-763270</wp:posOffset>
            </wp:positionV>
            <wp:extent cx="72466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-480695</wp:posOffset>
            </wp:positionV>
            <wp:extent cx="72466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-197485</wp:posOffset>
            </wp:positionV>
            <wp:extent cx="72466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8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380" w:space="720"/>
            <w:col w:w="83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4"/>
                <w:szCs w:val="14"/>
                <w:color w:val="auto"/>
              </w:rPr>
              <w:t>V12 Holdings, Inc.</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Data Processing &amp; Digital</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Series A-3 Preferred Stock</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(88,194 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V12 Holdings,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Data Processing &amp; Digital</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Series A-5 Preferred Stock</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(20,530 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V12 Holdings,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Data Processing &amp; Digital</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(2,063,629 warrants)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2,980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5,061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159,398</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188,307</w:t>
            </w:r>
          </w:p>
        </w:tc>
        <w:tc>
          <w:tcPr>
            <w:tcW w:w="1060" w:type="dxa"/>
            <w:vAlign w:val="bottom"/>
            <w:gridSpan w:val="2"/>
            <w:shd w:val="clear" w:color="auto" w:fill="CCFFCC"/>
          </w:tcPr>
          <w:p>
            <w:pPr>
              <w:jc w:val="right"/>
              <w:ind w:right="20"/>
              <w:spacing w:after="0" w:line="176" w:lineRule="exact"/>
              <w:rPr>
                <w:sz w:val="20"/>
                <w:szCs w:val="20"/>
                <w:color w:val="auto"/>
              </w:rPr>
            </w:pPr>
            <w:r>
              <w:rPr>
                <w:rFonts w:ascii="Arial" w:cs="Arial" w:eastAsia="Arial" w:hAnsi="Arial"/>
                <w:sz w:val="12"/>
                <w:szCs w:val="12"/>
                <w:color w:val="auto"/>
              </w:rPr>
              <w:t>71.3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tcPr>
          <w:p>
            <w:pPr>
              <w:spacing w:after="0" w:line="20" w:lineRule="exact"/>
              <w:rPr>
                <w:sz w:val="1"/>
                <w:szCs w:val="1"/>
                <w:color w:val="auto"/>
              </w:rPr>
            </w:pPr>
          </w:p>
        </w:tc>
        <w:tc>
          <w:tcPr>
            <w:tcW w:w="2260" w:type="dxa"/>
            <w:vAlign w:val="bottom"/>
            <w:tcBorders>
              <w:top w:val="single" w:sz="8" w:color="CCFFCC"/>
            </w:tcBorders>
          </w:tcPr>
          <w:p>
            <w:pPr>
              <w:spacing w:after="0" w:line="20" w:lineRule="exact"/>
              <w:rPr>
                <w:sz w:val="1"/>
                <w:szCs w:val="1"/>
                <w:color w:val="auto"/>
              </w:rPr>
            </w:pPr>
          </w:p>
        </w:tc>
        <w:tc>
          <w:tcPr>
            <w:tcW w:w="20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Control investments - 29.4%</w:t>
            </w:r>
          </w:p>
        </w:tc>
        <w:tc>
          <w:tcPr>
            <w:tcW w:w="2260" w:type="dxa"/>
            <w:vAlign w:val="bottom"/>
            <w:shd w:val="clear" w:color="auto" w:fill="CCFFCC"/>
          </w:tcPr>
          <w:p>
            <w:pPr>
              <w:spacing w:after="0"/>
              <w:rPr>
                <w:sz w:val="12"/>
                <w:szCs w:val="12"/>
                <w:color w:val="auto"/>
              </w:rPr>
            </w:pPr>
          </w:p>
        </w:tc>
        <w:tc>
          <w:tcPr>
            <w:tcW w:w="20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Computer Supply Retail</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rPr>
                <w:sz w:val="12"/>
                <w:szCs w:val="12"/>
                <w:color w:val="auto"/>
              </w:rPr>
            </w:pPr>
          </w:p>
        </w:tc>
        <w:tc>
          <w:tcPr>
            <w:tcW w:w="2260" w:type="dxa"/>
            <w:vAlign w:val="bottom"/>
            <w:shd w:val="clear" w:color="auto" w:fill="CCFFCC"/>
          </w:tcPr>
          <w:p>
            <w:pPr>
              <w:spacing w:after="0"/>
              <w:rPr>
                <w:sz w:val="12"/>
                <w:szCs w:val="12"/>
                <w:color w:val="auto"/>
              </w:rPr>
            </w:pPr>
          </w:p>
        </w:tc>
        <w:tc>
          <w:tcPr>
            <w:tcW w:w="20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(12% Cash, 4% PIK, Due</w:t>
            </w: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5/24/18)</w:t>
            </w:r>
          </w:p>
        </w:tc>
        <w:tc>
          <w:tcPr>
            <w:tcW w:w="36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6,651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6,651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6,651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Computer Supply Retail</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(1,125,000</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7,776</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6,651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KBP Investments, LLC </w:t>
            </w:r>
            <w:r>
              <w:rPr>
                <w:rFonts w:ascii="Arial" w:cs="Arial" w:eastAsia="Arial" w:hAnsi="Arial"/>
                <w:sz w:val="18"/>
                <w:szCs w:val="18"/>
                <w:color w:val="auto"/>
                <w:vertAlign w:val="superscript"/>
              </w:rPr>
              <w:t>(6) (7)</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QSR Franchisee</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w w:val="96"/>
              </w:rPr>
              <w:t>Class A Preferred Stock (8,270</w:t>
            </w:r>
          </w:p>
        </w:tc>
        <w:tc>
          <w:tcPr>
            <w:tcW w:w="360" w:type="dxa"/>
            <w:vAlign w:val="bottom"/>
            <w:shd w:val="clear" w:color="auto" w:fill="CCFFCC"/>
          </w:tcPr>
          <w:p>
            <w:pPr>
              <w:spacing w:after="0"/>
              <w:rPr>
                <w:sz w:val="14"/>
                <w:szCs w:val="14"/>
                <w:color w:val="auto"/>
              </w:rPr>
            </w:pPr>
          </w:p>
        </w:tc>
        <w:tc>
          <w:tcPr>
            <w:tcW w:w="72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8,269</w:t>
            </w:r>
          </w:p>
        </w:tc>
        <w:tc>
          <w:tcPr>
            <w:tcW w:w="106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2040" w:type="dxa"/>
            <w:vAlign w:val="bottom"/>
            <w:shd w:val="clear" w:color="auto" w:fill="CCFFCC"/>
          </w:tcPr>
          <w:p>
            <w:pPr>
              <w:ind w:left="160"/>
              <w:spacing w:after="0" w:line="135" w:lineRule="exact"/>
              <w:rPr>
                <w:sz w:val="20"/>
                <w:szCs w:val="20"/>
                <w:color w:val="auto"/>
              </w:rPr>
            </w:pPr>
            <w:r>
              <w:rPr>
                <w:rFonts w:ascii="Arial" w:cs="Arial" w:eastAsia="Arial" w:hAnsi="Arial"/>
                <w:sz w:val="14"/>
                <w:szCs w:val="14"/>
                <w:color w:val="auto"/>
              </w:rPr>
              <w:t>shares, 10% Dividend)</w:t>
            </w:r>
          </w:p>
        </w:tc>
        <w:tc>
          <w:tcPr>
            <w:tcW w:w="360" w:type="dxa"/>
            <w:vAlign w:val="bottom"/>
            <w:shd w:val="clear" w:color="auto" w:fill="CCFFCC"/>
          </w:tcPr>
          <w:p>
            <w:pPr>
              <w:spacing w:after="0"/>
              <w:rPr>
                <w:sz w:val="11"/>
                <w:szCs w:val="11"/>
                <w:color w:val="auto"/>
              </w:rPr>
            </w:pPr>
          </w:p>
        </w:tc>
        <w:tc>
          <w:tcPr>
            <w:tcW w:w="72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gridSpan w:val="2"/>
            <w:vMerge w:val="continue"/>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KBP Investments,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QSR Franchisee</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Class A Common Stock</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(380,413 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15,866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24,135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(2)</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Senior Secured Debt (10%</w:t>
            </w:r>
          </w:p>
        </w:tc>
        <w:tc>
          <w:tcPr>
            <w:tcW w:w="360" w:type="dxa"/>
            <w:vAlign w:val="bottom"/>
            <w:shd w:val="clear" w:color="auto" w:fill="CCFFCC"/>
          </w:tcPr>
          <w:p>
            <w:pPr>
              <w:spacing w:after="0"/>
              <w:rPr>
                <w:sz w:val="14"/>
                <w:szCs w:val="14"/>
                <w:color w:val="auto"/>
              </w:rPr>
            </w:pPr>
          </w:p>
        </w:tc>
        <w:tc>
          <w:tcPr>
            <w:tcW w:w="72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650</w:t>
            </w:r>
          </w:p>
        </w:tc>
        <w:tc>
          <w:tcPr>
            <w:tcW w:w="200" w:type="dxa"/>
            <w:vAlign w:val="bottom"/>
            <w:shd w:val="clear" w:color="auto" w:fill="CCFFCC"/>
          </w:tcPr>
          <w:p>
            <w:pPr>
              <w:spacing w:after="0"/>
              <w:rPr>
                <w:sz w:val="14"/>
                <w:szCs w:val="14"/>
                <w:color w:val="auto"/>
              </w:rPr>
            </w:pPr>
          </w:p>
        </w:tc>
        <w:tc>
          <w:tcPr>
            <w:tcW w:w="106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CFFCC"/>
          </w:tcPr>
          <w:p>
            <w:pPr>
              <w:spacing w:after="0"/>
              <w:rPr>
                <w:sz w:val="11"/>
                <w:szCs w:val="11"/>
                <w:color w:val="auto"/>
              </w:rPr>
            </w:pPr>
          </w:p>
        </w:tc>
        <w:tc>
          <w:tcPr>
            <w:tcW w:w="2260" w:type="dxa"/>
            <w:vAlign w:val="bottom"/>
            <w:shd w:val="clear" w:color="auto" w:fill="CCFFCC"/>
          </w:tcPr>
          <w:p>
            <w:pPr>
              <w:ind w:left="460"/>
              <w:spacing w:after="0" w:line="135" w:lineRule="exact"/>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line="135" w:lineRule="exact"/>
              <w:rPr>
                <w:sz w:val="20"/>
                <w:szCs w:val="20"/>
                <w:color w:val="auto"/>
              </w:rPr>
            </w:pPr>
            <w:r>
              <w:rPr>
                <w:rFonts w:ascii="Arial" w:cs="Arial" w:eastAsia="Arial" w:hAnsi="Arial"/>
                <w:sz w:val="14"/>
                <w:szCs w:val="14"/>
                <w:color w:val="auto"/>
              </w:rPr>
              <w:t>Cash, Due 12/31/14)</w:t>
            </w:r>
          </w:p>
        </w:tc>
        <w:tc>
          <w:tcPr>
            <w:tcW w:w="360" w:type="dxa"/>
            <w:vAlign w:val="bottom"/>
            <w:shd w:val="clear" w:color="auto" w:fill="CCFFCC"/>
          </w:tcPr>
          <w:p>
            <w:pPr>
              <w:spacing w:after="0"/>
              <w:rPr>
                <w:sz w:val="11"/>
                <w:szCs w:val="11"/>
                <w:color w:val="auto"/>
              </w:rPr>
            </w:pPr>
          </w:p>
        </w:tc>
        <w:tc>
          <w:tcPr>
            <w:tcW w:w="72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vMerge w:val="continue"/>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 (2)</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Senior Secured Debt (14%</w:t>
            </w:r>
          </w:p>
        </w:tc>
        <w:tc>
          <w:tcPr>
            <w:tcW w:w="360" w:type="dxa"/>
            <w:vAlign w:val="bottom"/>
            <w:shd w:val="clear" w:color="auto" w:fill="CCFFCC"/>
          </w:tcPr>
          <w:p>
            <w:pPr>
              <w:spacing w:after="0"/>
              <w:rPr>
                <w:sz w:val="14"/>
                <w:szCs w:val="14"/>
                <w:color w:val="auto"/>
              </w:rPr>
            </w:pPr>
          </w:p>
        </w:tc>
        <w:tc>
          <w:tcPr>
            <w:tcW w:w="72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2,897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2,833</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988</w:t>
            </w:r>
          </w:p>
        </w:tc>
        <w:tc>
          <w:tcPr>
            <w:tcW w:w="200" w:type="dxa"/>
            <w:vAlign w:val="bottom"/>
            <w:shd w:val="clear" w:color="auto" w:fill="CCFFCC"/>
          </w:tcPr>
          <w:p>
            <w:pPr>
              <w:spacing w:after="0"/>
              <w:rPr>
                <w:sz w:val="14"/>
                <w:szCs w:val="14"/>
                <w:color w:val="auto"/>
              </w:rPr>
            </w:pPr>
          </w:p>
        </w:tc>
        <w:tc>
          <w:tcPr>
            <w:tcW w:w="106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CFFCC"/>
          </w:tcPr>
          <w:p>
            <w:pPr>
              <w:spacing w:after="0"/>
              <w:rPr>
                <w:sz w:val="11"/>
                <w:szCs w:val="11"/>
                <w:color w:val="auto"/>
              </w:rPr>
            </w:pPr>
          </w:p>
        </w:tc>
        <w:tc>
          <w:tcPr>
            <w:tcW w:w="2260" w:type="dxa"/>
            <w:vAlign w:val="bottom"/>
            <w:shd w:val="clear" w:color="auto" w:fill="CCFFCC"/>
          </w:tcPr>
          <w:p>
            <w:pPr>
              <w:ind w:left="460"/>
              <w:spacing w:after="0" w:line="135" w:lineRule="exact"/>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line="135" w:lineRule="exact"/>
              <w:rPr>
                <w:sz w:val="20"/>
                <w:szCs w:val="20"/>
                <w:color w:val="auto"/>
              </w:rPr>
            </w:pPr>
            <w:r>
              <w:rPr>
                <w:rFonts w:ascii="Arial" w:cs="Arial" w:eastAsia="Arial" w:hAnsi="Arial"/>
                <w:sz w:val="14"/>
                <w:szCs w:val="14"/>
                <w:color w:val="auto"/>
              </w:rPr>
              <w:t>Cash, 3% PIK, Due 12/31/14)</w:t>
            </w:r>
          </w:p>
        </w:tc>
        <w:tc>
          <w:tcPr>
            <w:tcW w:w="360" w:type="dxa"/>
            <w:vAlign w:val="bottom"/>
            <w:shd w:val="clear" w:color="auto" w:fill="CCFFCC"/>
          </w:tcPr>
          <w:p>
            <w:pPr>
              <w:spacing w:after="0"/>
              <w:rPr>
                <w:sz w:val="11"/>
                <w:szCs w:val="11"/>
                <w:color w:val="auto"/>
              </w:rPr>
            </w:pPr>
          </w:p>
        </w:tc>
        <w:tc>
          <w:tcPr>
            <w:tcW w:w="72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vMerge w:val="continue"/>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Market E's,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Class A Preferred Stock (600</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Market E's,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6"/>
              </w:rPr>
              <w:t>Class B Preferred Stock (2,411</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Market E's,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Class A Common Stock (600</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4,688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1,638</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Micro Precision,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Conglomerate</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5"/>
              </w:rPr>
              <w:t>Subordinated Debt (10%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Due 9/16/16)</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Micro Precision,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Conglomerate</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5"/>
              </w:rPr>
              <w:t>Subordinated Debt (14%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4% PIK, Due 9/16/16)</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3,590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4"/>
                <w:szCs w:val="14"/>
                <w:color w:val="auto"/>
              </w:rPr>
              <w:t>Micro Precision, LLC</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Conglomerate</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Common Stock (47 units)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1,629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7,081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7,081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Navis Holdings,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Textile Equipment</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rPr>
                <w:sz w:val="12"/>
                <w:szCs w:val="12"/>
                <w:color w:val="auto"/>
              </w:rPr>
            </w:pPr>
          </w:p>
        </w:tc>
        <w:tc>
          <w:tcPr>
            <w:tcW w:w="2260" w:type="dxa"/>
            <w:vAlign w:val="bottom"/>
            <w:shd w:val="clear" w:color="auto" w:fill="CCFFCC"/>
          </w:tcPr>
          <w:p>
            <w:pPr>
              <w:ind w:left="460"/>
              <w:spacing w:after="0" w:line="149" w:lineRule="exact"/>
              <w:rPr>
                <w:sz w:val="20"/>
                <w:szCs w:val="20"/>
                <w:color w:val="auto"/>
              </w:rPr>
            </w:pPr>
            <w:r>
              <w:rPr>
                <w:rFonts w:ascii="Arial" w:cs="Arial" w:eastAsia="Arial" w:hAnsi="Arial"/>
                <w:sz w:val="14"/>
                <w:szCs w:val="14"/>
                <w:color w:val="auto"/>
              </w:rPr>
              <w:t>Manufacturer</w:t>
            </w:r>
          </w:p>
        </w:tc>
        <w:tc>
          <w:tcPr>
            <w:tcW w:w="20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(17% Cash, 3% PIK at</w:t>
            </w: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w w:val="98"/>
              </w:rPr>
              <w:t>company's option, Due 2/1/16)</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6,735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6,735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6,735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Navis Holdings, Inc. </w:t>
            </w:r>
            <w:r>
              <w:rPr>
                <w:rFonts w:ascii="Arial" w:cs="Arial" w:eastAsia="Arial" w:hAnsi="Arial"/>
                <w:sz w:val="18"/>
                <w:szCs w:val="18"/>
                <w:color w:val="auto"/>
                <w:vertAlign w:val="superscript"/>
              </w:rPr>
              <w:t>(6)</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Textile Equipment</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w w:val="96"/>
              </w:rPr>
              <w:t>Class A Preferred Stock (1,000</w:t>
            </w:r>
          </w:p>
        </w:tc>
        <w:tc>
          <w:tcPr>
            <w:tcW w:w="360" w:type="dxa"/>
            <w:vAlign w:val="bottom"/>
            <w:shd w:val="clear" w:color="auto" w:fill="CCFFCC"/>
          </w:tcPr>
          <w:p>
            <w:pPr>
              <w:spacing w:after="0"/>
              <w:rPr>
                <w:sz w:val="14"/>
                <w:szCs w:val="14"/>
                <w:color w:val="auto"/>
              </w:rPr>
            </w:pPr>
          </w:p>
        </w:tc>
        <w:tc>
          <w:tcPr>
            <w:tcW w:w="72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1,225</w:t>
            </w:r>
          </w:p>
        </w:tc>
        <w:tc>
          <w:tcPr>
            <w:tcW w:w="106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CFFCC"/>
          </w:tcPr>
          <w:p>
            <w:pPr>
              <w:spacing w:after="0"/>
              <w:rPr>
                <w:sz w:val="11"/>
                <w:szCs w:val="11"/>
                <w:color w:val="auto"/>
              </w:rPr>
            </w:pPr>
          </w:p>
        </w:tc>
        <w:tc>
          <w:tcPr>
            <w:tcW w:w="2260" w:type="dxa"/>
            <w:vAlign w:val="bottom"/>
            <w:shd w:val="clear" w:color="auto" w:fill="CCFFCC"/>
          </w:tcPr>
          <w:p>
            <w:pPr>
              <w:ind w:left="460"/>
              <w:spacing w:after="0" w:line="135" w:lineRule="exact"/>
              <w:rPr>
                <w:sz w:val="20"/>
                <w:szCs w:val="20"/>
                <w:color w:val="auto"/>
              </w:rPr>
            </w:pPr>
            <w:r>
              <w:rPr>
                <w:rFonts w:ascii="Arial" w:cs="Arial" w:eastAsia="Arial" w:hAnsi="Arial"/>
                <w:sz w:val="14"/>
                <w:szCs w:val="14"/>
                <w:color w:val="auto"/>
              </w:rPr>
              <w:t>Manufacturer</w:t>
            </w:r>
          </w:p>
        </w:tc>
        <w:tc>
          <w:tcPr>
            <w:tcW w:w="2040" w:type="dxa"/>
            <w:vAlign w:val="bottom"/>
            <w:shd w:val="clear" w:color="auto" w:fill="CCFFCC"/>
          </w:tcPr>
          <w:p>
            <w:pPr>
              <w:ind w:left="160"/>
              <w:spacing w:after="0" w:line="135" w:lineRule="exact"/>
              <w:rPr>
                <w:sz w:val="20"/>
                <w:szCs w:val="20"/>
                <w:color w:val="auto"/>
              </w:rPr>
            </w:pPr>
            <w:r>
              <w:rPr>
                <w:rFonts w:ascii="Arial" w:cs="Arial" w:eastAsia="Arial" w:hAnsi="Arial"/>
                <w:sz w:val="14"/>
                <w:szCs w:val="14"/>
                <w:color w:val="auto"/>
              </w:rPr>
              <w:t>shares, 10% dividend)</w:t>
            </w:r>
          </w:p>
        </w:tc>
        <w:tc>
          <w:tcPr>
            <w:tcW w:w="360" w:type="dxa"/>
            <w:vAlign w:val="bottom"/>
            <w:shd w:val="clear" w:color="auto" w:fill="CCFFCC"/>
          </w:tcPr>
          <w:p>
            <w:pPr>
              <w:spacing w:after="0"/>
              <w:rPr>
                <w:sz w:val="11"/>
                <w:szCs w:val="11"/>
                <w:color w:val="auto"/>
              </w:rPr>
            </w:pPr>
          </w:p>
        </w:tc>
        <w:tc>
          <w:tcPr>
            <w:tcW w:w="72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gridSpan w:val="2"/>
            <w:vMerge w:val="continue"/>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Navis Holdings,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Textile Equipment</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(300,000</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Manufacturer</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1,649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7,736</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9,609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On-Site Fuel Services,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w w:val="99"/>
              </w:rPr>
              <w:t>Fuel Transportation Services</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5"/>
              </w:rPr>
              <w:t>Subordinated Debt (14% Cash,</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4% PIK, Due 12/19/16)</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4,897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4,897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4,897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On-Site Fuel Services,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w w:val="99"/>
              </w:rPr>
              <w:t>Fuel Transportation Services</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Series A Preferred Stock</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(32,782 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1,911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On-Site Fuel Services, Inc. </w:t>
            </w:r>
            <w:r>
              <w:rPr>
                <w:rFonts w:ascii="Arial" w:cs="Arial" w:eastAsia="Arial" w:hAnsi="Arial"/>
                <w:sz w:val="18"/>
                <w:szCs w:val="18"/>
                <w:color w:val="auto"/>
                <w:vertAlign w:val="superscript"/>
              </w:rPr>
              <w:t>(6)</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w w:val="99"/>
              </w:rPr>
              <w:t>Fuel Transportation Services</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Series B Preferred Stock</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20" w:type="dxa"/>
            <w:vAlign w:val="bottom"/>
            <w:shd w:val="clear" w:color="auto" w:fill="CCFFCC"/>
          </w:tcPr>
          <w:p>
            <w:pPr>
              <w:spacing w:after="0"/>
              <w:rPr>
                <w:sz w:val="10"/>
                <w:szCs w:val="10"/>
                <w:color w:val="auto"/>
              </w:rPr>
            </w:pPr>
          </w:p>
        </w:tc>
        <w:tc>
          <w:tcPr>
            <w:tcW w:w="2260" w:type="dxa"/>
            <w:vAlign w:val="bottom"/>
            <w:shd w:val="clear" w:color="auto" w:fill="CCFFCC"/>
          </w:tcPr>
          <w:p>
            <w:pPr>
              <w:spacing w:after="0"/>
              <w:rPr>
                <w:sz w:val="10"/>
                <w:szCs w:val="10"/>
                <w:color w:val="auto"/>
              </w:rPr>
            </w:pPr>
          </w:p>
        </w:tc>
        <w:tc>
          <w:tcPr>
            <w:tcW w:w="2040" w:type="dxa"/>
            <w:vAlign w:val="bottom"/>
            <w:shd w:val="clear" w:color="auto" w:fill="CCFFCC"/>
          </w:tcPr>
          <w:p>
            <w:pPr>
              <w:ind w:left="160"/>
              <w:spacing w:after="0" w:line="116" w:lineRule="exact"/>
              <w:rPr>
                <w:sz w:val="20"/>
                <w:szCs w:val="20"/>
                <w:color w:val="auto"/>
              </w:rPr>
            </w:pPr>
            <w:r>
              <w:rPr>
                <w:rFonts w:ascii="Arial" w:cs="Arial" w:eastAsia="Arial" w:hAnsi="Arial"/>
                <w:sz w:val="13"/>
                <w:szCs w:val="13"/>
                <w:color w:val="auto"/>
              </w:rPr>
              <w:t>(23,648 shares. 14% dividend,</w:t>
            </w:r>
          </w:p>
        </w:tc>
        <w:tc>
          <w:tcPr>
            <w:tcW w:w="3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4% PIK dividend)</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2,835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4"/>
                <w:szCs w:val="14"/>
                <w:color w:val="auto"/>
              </w:rPr>
              <w:t>On-Site Fuel Services, Inc.</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w w:val="99"/>
              </w:rPr>
              <w:t>Fuel Transportation Services</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w w:val="94"/>
              </w:rPr>
              <w:t>Common Stock (33,107 shares)</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10,573</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9,643</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Print Direction,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Printing Services</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Senior Secured Term Debt</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(15% Cash, Due 2/24/19)</w:t>
            </w: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14,000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Print Direction, Inc.</w:t>
            </w:r>
          </w:p>
        </w:tc>
        <w:tc>
          <w:tcPr>
            <w:tcW w:w="2260" w:type="dxa"/>
            <w:vAlign w:val="bottom"/>
            <w:shd w:val="clear" w:color="auto" w:fill="CCFFCC"/>
          </w:tcPr>
          <w:p>
            <w:pPr>
              <w:ind w:left="460"/>
              <w:spacing w:after="0" w:line="149" w:lineRule="exact"/>
              <w:rPr>
                <w:sz w:val="20"/>
                <w:szCs w:val="20"/>
                <w:color w:val="auto"/>
              </w:rPr>
            </w:pPr>
            <w:r>
              <w:rPr>
                <w:rFonts w:ascii="Arial" w:cs="Arial" w:eastAsia="Arial" w:hAnsi="Arial"/>
                <w:sz w:val="14"/>
                <w:szCs w:val="14"/>
                <w:color w:val="auto"/>
              </w:rPr>
              <w:t>Printing Services</w:t>
            </w:r>
          </w:p>
        </w:tc>
        <w:tc>
          <w:tcPr>
            <w:tcW w:w="20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w w:val="94"/>
              </w:rPr>
              <w:t>Common Stock (19,363 shares)</w:t>
            </w:r>
          </w:p>
        </w:tc>
        <w:tc>
          <w:tcPr>
            <w:tcW w:w="36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4,423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Print Direction,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Printing Services</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Warrants (3%</w:t>
            </w:r>
          </w:p>
        </w:tc>
        <w:tc>
          <w:tcPr>
            <w:tcW w:w="3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fully diluted)</w:t>
            </w: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195</w:t>
            </w:r>
          </w:p>
        </w:tc>
        <w:tc>
          <w:tcPr>
            <w:tcW w:w="200" w:type="dxa"/>
            <w:vAlign w:val="bottom"/>
            <w:shd w:val="clear" w:color="auto" w:fill="CCFFCC"/>
          </w:tcPr>
          <w:p>
            <w:pPr>
              <w:spacing w:after="0"/>
              <w:rPr>
                <w:sz w:val="15"/>
                <w:szCs w:val="15"/>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16,990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18,618</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Sub Total Control investments</w:t>
            </w: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63,113</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77,375</w:t>
            </w:r>
          </w:p>
        </w:tc>
        <w:tc>
          <w:tcPr>
            <w:tcW w:w="1060" w:type="dxa"/>
            <w:vAlign w:val="bottom"/>
            <w:gridSpan w:val="2"/>
            <w:shd w:val="clear" w:color="auto" w:fill="CCFFCC"/>
          </w:tcPr>
          <w:p>
            <w:pPr>
              <w:jc w:val="right"/>
              <w:ind w:right="20"/>
              <w:spacing w:after="0" w:line="176" w:lineRule="exact"/>
              <w:rPr>
                <w:sz w:val="20"/>
                <w:szCs w:val="20"/>
                <w:color w:val="auto"/>
              </w:rPr>
            </w:pPr>
            <w:r>
              <w:rPr>
                <w:rFonts w:ascii="Arial" w:cs="Arial" w:eastAsia="Arial" w:hAnsi="Arial"/>
                <w:sz w:val="12"/>
                <w:szCs w:val="12"/>
                <w:color w:val="auto"/>
              </w:rPr>
              <w:t>29.4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tcPr>
          <w:p>
            <w:pPr>
              <w:spacing w:after="0" w:line="20" w:lineRule="exact"/>
              <w:rPr>
                <w:sz w:val="1"/>
                <w:szCs w:val="1"/>
                <w:color w:val="auto"/>
              </w:rPr>
            </w:pPr>
          </w:p>
        </w:tc>
        <w:tc>
          <w:tcPr>
            <w:tcW w:w="2260" w:type="dxa"/>
            <w:vAlign w:val="bottom"/>
            <w:tcBorders>
              <w:top w:val="single" w:sz="8" w:color="CCFFCC"/>
            </w:tcBorders>
          </w:tcPr>
          <w:p>
            <w:pPr>
              <w:spacing w:after="0" w:line="20" w:lineRule="exact"/>
              <w:rPr>
                <w:sz w:val="1"/>
                <w:szCs w:val="1"/>
                <w:color w:val="auto"/>
              </w:rPr>
            </w:pPr>
          </w:p>
        </w:tc>
        <w:tc>
          <w:tcPr>
            <w:tcW w:w="20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INVESTMENTS - 148.3%</w:t>
            </w: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333,484</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391,181</w:t>
            </w:r>
          </w:p>
        </w:tc>
        <w:tc>
          <w:tcPr>
            <w:tcW w:w="1060" w:type="dxa"/>
            <w:vAlign w:val="bottom"/>
            <w:gridSpan w:val="2"/>
            <w:shd w:val="clear" w:color="auto" w:fill="CCFFCC"/>
          </w:tcPr>
          <w:p>
            <w:pPr>
              <w:jc w:val="right"/>
              <w:spacing w:after="0" w:line="176" w:lineRule="exact"/>
              <w:rPr>
                <w:sz w:val="20"/>
                <w:szCs w:val="20"/>
                <w:color w:val="auto"/>
              </w:rPr>
            </w:pPr>
            <w:r>
              <w:rPr>
                <w:rFonts w:ascii="Arial" w:cs="Arial" w:eastAsia="Arial" w:hAnsi="Arial"/>
                <w:sz w:val="12"/>
                <w:szCs w:val="12"/>
                <w:b w:val="1"/>
                <w:bCs w:val="1"/>
                <w:color w:val="auto"/>
              </w:rPr>
              <w:t>148.5</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tcPr>
          <w:p>
            <w:pPr>
              <w:spacing w:after="0" w:line="20" w:lineRule="exact"/>
              <w:rPr>
                <w:sz w:val="1"/>
                <w:szCs w:val="1"/>
                <w:color w:val="auto"/>
              </w:rPr>
            </w:pPr>
          </w:p>
        </w:tc>
        <w:tc>
          <w:tcPr>
            <w:tcW w:w="2260" w:type="dxa"/>
            <w:vAlign w:val="bottom"/>
            <w:tcBorders>
              <w:top w:val="single" w:sz="8" w:color="CCFFCC"/>
            </w:tcBorders>
          </w:tcPr>
          <w:p>
            <w:pPr>
              <w:spacing w:after="0" w:line="20" w:lineRule="exact"/>
              <w:rPr>
                <w:sz w:val="1"/>
                <w:szCs w:val="1"/>
                <w:color w:val="auto"/>
              </w:rPr>
            </w:pPr>
          </w:p>
        </w:tc>
        <w:tc>
          <w:tcPr>
            <w:tcW w:w="20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maturity date of the original investment has been extended.</w:t>
      </w:r>
    </w:p>
    <w:p>
      <w:pPr>
        <w:sectPr>
          <w:pgSz w:w="11900" w:h="16838" w:orient="portrait"/>
          <w:cols w:equalWidth="0" w:num="1">
            <w:col w:w="11420"/>
          </w:cols>
          <w:pgMar w:left="240" w:top="865" w:right="239" w:bottom="0" w:gutter="0" w:footer="0" w:header="0"/>
        </w:sectPr>
      </w:pPr>
    </w:p>
    <w:bookmarkStart w:id="14" w:name="page15"/>
    <w:bookmarkEnd w:id="14"/>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deterioration in credit quality, this investment is on non- accrual status.</w:t>
      </w:r>
    </w:p>
    <w:p>
      <w:pPr>
        <w:spacing w:after="0" w:line="23"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debt investment is accruing interest based on the terms of the forebearance agreement.</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debt investments are income producing. Equity and warrant investments are non-income producing, unless otherwise noted.</w:t>
      </w:r>
    </w:p>
    <w:p>
      <w:pPr>
        <w:spacing w:after="0" w:line="20" w:lineRule="exact"/>
        <w:rPr>
          <w:rFonts w:ascii="Arial" w:cs="Arial" w:eastAsia="Arial" w:hAnsi="Arial"/>
          <w:sz w:val="17"/>
          <w:szCs w:val="17"/>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$263,790 as of March 31, 2014.</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fourth quarter of 2013, the Company accepted a consent fee that waives its right to dividends through September 30, 2014.</w:t>
      </w:r>
    </w:p>
    <w:p>
      <w:pPr>
        <w:spacing w:after="0" w:line="32" w:lineRule="exact"/>
        <w:rPr>
          <w:rFonts w:ascii="Arial" w:cs="Arial" w:eastAsia="Arial" w:hAnsi="Arial"/>
          <w:sz w:val="16"/>
          <w:szCs w:val="16"/>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211" w:lineRule="exact"/>
        <w:rPr>
          <w:sz w:val="20"/>
          <w:szCs w:val="20"/>
          <w:color w:val="auto"/>
        </w:rPr>
      </w:pPr>
    </w:p>
    <w:p>
      <w:pPr>
        <w:ind w:left="3492"/>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15" w:name="page16"/>
    <w:bookmarkEnd w:id="15"/>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Investment Interest Rate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tcPr>
          <w:p>
            <w:pPr>
              <w:ind w:left="6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42"/>
        </w:trPr>
        <w:tc>
          <w:tcPr>
            <w:tcW w:w="29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w w:val="95"/>
              </w:rPr>
              <w:t>Non-control/Non-affiliated investments - 36.9%</w:t>
            </w: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AAE Acquisition,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Industrial Equipment Rental</w:t>
            </w:r>
          </w:p>
        </w:tc>
        <w:tc>
          <w:tcPr>
            <w:tcW w:w="1840" w:type="dxa"/>
            <w:vAlign w:val="bottom"/>
          </w:tcPr>
          <w:p>
            <w:pPr>
              <w:spacing w:after="0" w:line="130" w:lineRule="exact"/>
              <w:rPr>
                <w:sz w:val="20"/>
                <w:szCs w:val="20"/>
                <w:color w:val="auto"/>
              </w:rPr>
            </w:pPr>
            <w:r>
              <w:rPr>
                <w:rFonts w:ascii="Arial" w:cs="Arial" w:eastAsia="Arial" w:hAnsi="Arial"/>
                <w:sz w:val="14"/>
                <w:szCs w:val="14"/>
                <w:color w:val="auto"/>
              </w:rPr>
              <w:t>Senior Secured Term Debt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(12% Cash, Due 5/6/15)</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19,000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18,992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19,000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AAE Acquisition,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Industrial Equipment Rental</w:t>
            </w:r>
          </w:p>
        </w:tc>
        <w:tc>
          <w:tcPr>
            <w:tcW w:w="18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Membership Units (21% fully</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19,017</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22,500</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FFCC"/>
          </w:tcPr>
          <w:p>
            <w:pPr>
              <w:spacing w:after="0" w:line="142" w:lineRule="exact"/>
              <w:rPr>
                <w:sz w:val="20"/>
                <w:szCs w:val="20"/>
                <w:color w:val="auto"/>
              </w:rPr>
            </w:pPr>
            <w:r>
              <w:rPr>
                <w:rFonts w:ascii="Arial" w:cs="Arial" w:eastAsia="Arial" w:hAnsi="Arial"/>
                <w:sz w:val="11"/>
                <w:szCs w:val="11"/>
                <w:color w:val="auto"/>
              </w:rPr>
              <w:t>American Exteriors, LLC</w:t>
            </w:r>
            <w:r>
              <w:rPr>
                <w:rFonts w:ascii="Arial" w:cs="Arial" w:eastAsia="Arial" w:hAnsi="Arial"/>
                <w:sz w:val="16"/>
                <w:szCs w:val="16"/>
                <w:color w:val="auto"/>
                <w:vertAlign w:val="superscript"/>
              </w:rPr>
              <w:t>(1)</w:t>
            </w:r>
          </w:p>
        </w:tc>
        <w:tc>
          <w:tcPr>
            <w:tcW w:w="196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Replacement Window</w:t>
            </w:r>
          </w:p>
        </w:tc>
        <w:tc>
          <w:tcPr>
            <w:tcW w:w="18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Senior Secured Debt (14.0%</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4,565</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3,365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4,565</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960" w:type="dxa"/>
            <w:vAlign w:val="bottom"/>
            <w:gridSpan w:val="2"/>
            <w:shd w:val="clear" w:color="auto" w:fill="CCFFCC"/>
          </w:tcPr>
          <w:p>
            <w:pPr>
              <w:spacing w:after="0" w:line="135" w:lineRule="exact"/>
              <w:rPr>
                <w:sz w:val="20"/>
                <w:szCs w:val="20"/>
                <w:color w:val="auto"/>
              </w:rPr>
            </w:pPr>
            <w:r>
              <w:rPr>
                <w:rFonts w:ascii="Arial" w:cs="Arial" w:eastAsia="Arial" w:hAnsi="Arial"/>
                <w:sz w:val="14"/>
                <w:szCs w:val="14"/>
                <w:color w:val="auto"/>
              </w:rPr>
              <w:t>Manufacturer</w:t>
            </w: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4"/>
                <w:szCs w:val="14"/>
                <w:color w:val="auto"/>
              </w:rPr>
              <w:t>Cash, Due 6/30/14)</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w:t>
            </w:r>
          </w:p>
        </w:tc>
        <w:tc>
          <w:tcPr>
            <w:tcW w:w="1960" w:type="dxa"/>
            <w:vAlign w:val="bottom"/>
            <w:gridSpan w:val="2"/>
          </w:tcPr>
          <w:p>
            <w:pPr>
              <w:spacing w:after="0"/>
              <w:rPr>
                <w:sz w:val="20"/>
                <w:szCs w:val="20"/>
                <w:color w:val="auto"/>
              </w:rPr>
            </w:pPr>
            <w:r>
              <w:rPr>
                <w:rFonts w:ascii="Arial" w:cs="Arial" w:eastAsia="Arial" w:hAnsi="Arial"/>
                <w:sz w:val="14"/>
                <w:szCs w:val="14"/>
                <w:color w:val="auto"/>
              </w:rPr>
              <w:t>Replacement Window</w:t>
            </w:r>
          </w:p>
        </w:tc>
        <w:tc>
          <w:tcPr>
            <w:tcW w:w="1840" w:type="dxa"/>
            <w:vAlign w:val="bottom"/>
          </w:tcPr>
          <w:p>
            <w:pPr>
              <w:spacing w:after="0"/>
              <w:rPr>
                <w:sz w:val="20"/>
                <w:szCs w:val="20"/>
                <w:color w:val="auto"/>
              </w:rPr>
            </w:pPr>
            <w:r>
              <w:rPr>
                <w:rFonts w:ascii="Arial" w:cs="Arial" w:eastAsia="Arial" w:hAnsi="Arial"/>
                <w:sz w:val="14"/>
                <w:szCs w:val="14"/>
                <w:color w:val="auto"/>
              </w:rPr>
              <w:t>Jr. Convertible Note (10.0%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612</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4"/>
                <w:szCs w:val="14"/>
                <w:color w:val="auto"/>
              </w:rPr>
              <w:t>Manufacturer</w:t>
            </w:r>
          </w:p>
        </w:tc>
        <w:tc>
          <w:tcPr>
            <w:tcW w:w="1840" w:type="dxa"/>
            <w:vAlign w:val="bottom"/>
          </w:tcPr>
          <w:p>
            <w:pPr>
              <w:spacing w:after="0" w:line="135" w:lineRule="exact"/>
              <w:rPr>
                <w:sz w:val="20"/>
                <w:szCs w:val="20"/>
                <w:color w:val="auto"/>
              </w:rPr>
            </w:pPr>
            <w:r>
              <w:rPr>
                <w:rFonts w:ascii="Arial" w:cs="Arial" w:eastAsia="Arial" w:hAnsi="Arial"/>
                <w:sz w:val="14"/>
                <w:szCs w:val="14"/>
                <w:color w:val="auto"/>
              </w:rPr>
              <w:t>Cash, Due 6/30/15)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(8)</w:t>
            </w: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Replacement Window</w:t>
            </w: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w w:val="94"/>
              </w:rPr>
              <w:t>Common Stock Warrants (15%</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1,106</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9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Manufacturer</w:t>
            </w:r>
          </w:p>
        </w:tc>
        <w:tc>
          <w:tcPr>
            <w:tcW w:w="1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fully diluted)</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vMerge w:val="continue"/>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vMerge w:val="continue"/>
            <w:shd w:val="clear" w:color="auto" w:fill="CCFFCC"/>
          </w:tcPr>
          <w:p>
            <w:pPr>
              <w:spacing w:after="0"/>
              <w:rPr>
                <w:sz w:val="12"/>
                <w:szCs w:val="12"/>
                <w:color w:val="auto"/>
              </w:rPr>
            </w:pPr>
          </w:p>
        </w:tc>
        <w:tc>
          <w:tcPr>
            <w:tcW w:w="1020" w:type="dxa"/>
            <w:vAlign w:val="bottom"/>
            <w:gridSpan w:val="2"/>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3,781</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6,283</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Boot Barn Holding Corporation</w:t>
            </w:r>
          </w:p>
        </w:tc>
        <w:tc>
          <w:tcPr>
            <w:tcW w:w="196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Western Wear Retail</w:t>
            </w:r>
          </w:p>
        </w:tc>
        <w:tc>
          <w:tcPr>
            <w:tcW w:w="18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5"/>
              </w:rPr>
              <w:t>Common Stock (2,400 shares)</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spacing w:after="0"/>
              <w:rPr>
                <w:sz w:val="12"/>
                <w:szCs w:val="12"/>
                <w:color w:val="auto"/>
              </w:rPr>
            </w:pPr>
          </w:p>
        </w:tc>
        <w:tc>
          <w:tcPr>
            <w:tcW w:w="7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2,400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tcBorders>
              <w:bottom w:val="single" w:sz="8" w:color="auto"/>
            </w:tcBorders>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4,774</w:t>
            </w:r>
          </w:p>
        </w:tc>
        <w:tc>
          <w:tcPr>
            <w:tcW w:w="22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w:t>
            </w:r>
          </w:p>
        </w:tc>
        <w:tc>
          <w:tcPr>
            <w:tcW w:w="1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4,774</w:t>
            </w:r>
          </w:p>
        </w:tc>
        <w:tc>
          <w:tcPr>
            <w:tcW w:w="220" w:type="dxa"/>
            <w:vAlign w:val="bottom"/>
            <w:tcBorders>
              <w:bottom w:val="single" w:sz="8" w:color="CCFFCC"/>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Caregiver Services, Inc.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In-Home Healthcare Services</w:t>
            </w:r>
          </w:p>
        </w:tc>
        <w:tc>
          <w:tcPr>
            <w:tcW w:w="18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Common Stock (293,186</w:t>
            </w: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231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line="162" w:lineRule="exact"/>
              <w:rPr>
                <w:sz w:val="20"/>
                <w:szCs w:val="20"/>
                <w:color w:val="auto"/>
              </w:rPr>
            </w:pPr>
            <w:r>
              <w:rPr>
                <w:rFonts w:ascii="Arial" w:cs="Arial" w:eastAsia="Arial" w:hAnsi="Arial"/>
                <w:sz w:val="12"/>
                <w:szCs w:val="12"/>
                <w:color w:val="auto"/>
              </w:rPr>
              <w:t xml:space="preserve">Caregiver Services, Inc. </w:t>
            </w:r>
            <w:r>
              <w:rPr>
                <w:rFonts w:ascii="Arial" w:cs="Arial" w:eastAsia="Arial" w:hAnsi="Arial"/>
                <w:sz w:val="18"/>
                <w:szCs w:val="18"/>
                <w:color w:val="auto"/>
                <w:vertAlign w:val="superscript"/>
              </w:rPr>
              <w:t>(8)</w:t>
            </w:r>
          </w:p>
        </w:tc>
        <w:tc>
          <w:tcPr>
            <w:tcW w:w="1960" w:type="dxa"/>
            <w:vAlign w:val="bottom"/>
            <w:gridSpan w:val="2"/>
          </w:tcPr>
          <w:p>
            <w:pPr>
              <w:spacing w:after="0"/>
              <w:rPr>
                <w:sz w:val="20"/>
                <w:szCs w:val="20"/>
                <w:color w:val="auto"/>
              </w:rPr>
            </w:pPr>
            <w:r>
              <w:rPr>
                <w:rFonts w:ascii="Arial" w:cs="Arial" w:eastAsia="Arial" w:hAnsi="Arial"/>
                <w:sz w:val="14"/>
                <w:szCs w:val="14"/>
                <w:color w:val="auto"/>
              </w:rPr>
              <w:t>In-Home Healthcare Services</w:t>
            </w:r>
          </w:p>
        </w:tc>
        <w:tc>
          <w:tcPr>
            <w:tcW w:w="1840" w:type="dxa"/>
            <w:vAlign w:val="bottom"/>
          </w:tcPr>
          <w:p>
            <w:pPr>
              <w:spacing w:after="0"/>
              <w:rPr>
                <w:sz w:val="20"/>
                <w:szCs w:val="20"/>
                <w:color w:val="auto"/>
              </w:rPr>
            </w:pPr>
            <w:r>
              <w:rPr>
                <w:rFonts w:ascii="Arial" w:cs="Arial" w:eastAsia="Arial" w:hAnsi="Arial"/>
                <w:sz w:val="14"/>
                <w:szCs w:val="14"/>
                <w:color w:val="auto"/>
              </w:rPr>
              <w:t>Common Stock Warrants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517</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(655,908 units)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522</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748</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0.3</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 xml:space="preserve">Crowley Holdings, Inc. </w:t>
            </w:r>
            <w:r>
              <w:rPr>
                <w:rFonts w:ascii="Arial" w:cs="Arial" w:eastAsia="Arial" w:hAnsi="Arial"/>
                <w:sz w:val="16"/>
                <w:szCs w:val="16"/>
                <w:color w:val="auto"/>
                <w:vertAlign w:val="superscript"/>
              </w:rPr>
              <w:t>(6)</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Transportation</w:t>
            </w:r>
          </w:p>
        </w:tc>
        <w:tc>
          <w:tcPr>
            <w:tcW w:w="1840" w:type="dxa"/>
            <w:vAlign w:val="bottom"/>
          </w:tcPr>
          <w:p>
            <w:pPr>
              <w:spacing w:after="0" w:line="142" w:lineRule="exact"/>
              <w:rPr>
                <w:sz w:val="20"/>
                <w:szCs w:val="20"/>
                <w:color w:val="auto"/>
              </w:rPr>
            </w:pPr>
            <w:r>
              <w:rPr>
                <w:rFonts w:ascii="Arial" w:cs="Arial" w:eastAsia="Arial" w:hAnsi="Arial"/>
                <w:sz w:val="14"/>
                <w:szCs w:val="14"/>
                <w:color w:val="auto"/>
              </w:rPr>
              <w:t>Series A Income Preferred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line="116" w:lineRule="exact"/>
              <w:rPr>
                <w:sz w:val="20"/>
                <w:szCs w:val="20"/>
                <w:color w:val="auto"/>
              </w:rPr>
            </w:pPr>
            <w:r>
              <w:rPr>
                <w:rFonts w:ascii="Arial" w:cs="Arial" w:eastAsia="Arial" w:hAnsi="Arial"/>
                <w:sz w:val="13"/>
                <w:szCs w:val="13"/>
                <w:color w:val="auto"/>
              </w:rPr>
              <w:t>Shares (6,000 shares, 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cash, 2% PIK dividend)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6,000</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6,000</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0" w:lineRule="exact"/>
              <w:rPr>
                <w:sz w:val="20"/>
                <w:szCs w:val="20"/>
                <w:color w:val="auto"/>
              </w:rPr>
            </w:pPr>
            <w:r>
              <w:rPr>
                <w:rFonts w:ascii="Arial" w:cs="Arial" w:eastAsia="Arial" w:hAnsi="Arial"/>
                <w:sz w:val="12"/>
                <w:szCs w:val="12"/>
                <w:color w:val="auto"/>
              </w:rPr>
              <w:t>Immersive Media Tactical Solutions, LLC</w:t>
            </w:r>
          </w:p>
        </w:tc>
        <w:tc>
          <w:tcPr>
            <w:tcW w:w="1960" w:type="dxa"/>
            <w:vAlign w:val="bottom"/>
            <w:gridSpan w:val="2"/>
          </w:tcPr>
          <w:p>
            <w:pPr>
              <w:spacing w:after="0" w:line="110" w:lineRule="exact"/>
              <w:rPr>
                <w:sz w:val="20"/>
                <w:szCs w:val="20"/>
                <w:color w:val="auto"/>
              </w:rPr>
            </w:pPr>
            <w:r>
              <w:rPr>
                <w:rFonts w:ascii="Arial" w:cs="Arial" w:eastAsia="Arial" w:hAnsi="Arial"/>
                <w:sz w:val="12"/>
                <w:szCs w:val="12"/>
                <w:color w:val="auto"/>
              </w:rPr>
              <w:t>Specialty Defense Contractor</w:t>
            </w:r>
          </w:p>
        </w:tc>
        <w:tc>
          <w:tcPr>
            <w:tcW w:w="1840" w:type="dxa"/>
            <w:vAlign w:val="bottom"/>
          </w:tcPr>
          <w:p>
            <w:pPr>
              <w:spacing w:after="0" w:line="110" w:lineRule="exact"/>
              <w:rPr>
                <w:sz w:val="20"/>
                <w:szCs w:val="20"/>
                <w:color w:val="auto"/>
              </w:rPr>
            </w:pPr>
            <w:r>
              <w:rPr>
                <w:rFonts w:ascii="Arial" w:cs="Arial" w:eastAsia="Arial" w:hAnsi="Arial"/>
                <w:sz w:val="12"/>
                <w:szCs w:val="12"/>
                <w:color w:val="auto"/>
              </w:rPr>
              <w:t>Senior Secured Term Debt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(13% Cash, Due 10/6/16)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Immersive Media Tactical Solutions,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Specialty Defense Contractor</w:t>
            </w:r>
          </w:p>
        </w:tc>
        <w:tc>
          <w:tcPr>
            <w:tcW w:w="18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Common Unit Warrants (12%</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fully diluted)</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Medical Depot, Inc.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Medical Device Distributor</w:t>
            </w:r>
          </w:p>
        </w:tc>
        <w:tc>
          <w:tcPr>
            <w:tcW w:w="18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Subordinated Debt (14% Cash,</w:t>
            </w: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Due 10/11/16)</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4,667</w:t>
            </w: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4,667</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4,667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Medical Depot, Inc.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Medical Device Distributor</w:t>
            </w:r>
          </w:p>
        </w:tc>
        <w:tc>
          <w:tcPr>
            <w:tcW w:w="1840" w:type="dxa"/>
            <w:vAlign w:val="bottom"/>
          </w:tcPr>
          <w:p>
            <w:pPr>
              <w:spacing w:after="0" w:line="130" w:lineRule="exact"/>
              <w:rPr>
                <w:sz w:val="20"/>
                <w:szCs w:val="20"/>
                <w:color w:val="auto"/>
              </w:rPr>
            </w:pPr>
            <w:r>
              <w:rPr>
                <w:rFonts w:ascii="Arial" w:cs="Arial" w:eastAsia="Arial" w:hAnsi="Arial"/>
                <w:sz w:val="14"/>
                <w:szCs w:val="14"/>
                <w:color w:val="auto"/>
                <w:w w:val="95"/>
              </w:rPr>
              <w:t>Series C Convertible Preferred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Stock (740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2,129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6,796</w:t>
            </w:r>
          </w:p>
        </w:tc>
        <w:tc>
          <w:tcPr>
            <w:tcW w:w="220" w:type="dxa"/>
            <w:vAlign w:val="bottom"/>
            <w:tcBorders>
              <w:bottom w:val="single" w:sz="8" w:color="CCFFCC"/>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FFCC"/>
          </w:tcPr>
          <w:p>
            <w:pPr>
              <w:spacing w:after="0" w:line="142" w:lineRule="exact"/>
              <w:rPr>
                <w:sz w:val="20"/>
                <w:szCs w:val="20"/>
                <w:color w:val="auto"/>
              </w:rPr>
            </w:pPr>
            <w:r>
              <w:rPr>
                <w:rFonts w:ascii="Arial" w:cs="Arial" w:eastAsia="Arial" w:hAnsi="Arial"/>
                <w:sz w:val="11"/>
                <w:szCs w:val="11"/>
                <w:color w:val="auto"/>
              </w:rPr>
              <w:t xml:space="preserve">Naples Lumber &amp; Supply Co </w:t>
            </w:r>
            <w:r>
              <w:rPr>
                <w:rFonts w:ascii="Arial" w:cs="Arial" w:eastAsia="Arial" w:hAnsi="Arial"/>
                <w:sz w:val="16"/>
                <w:szCs w:val="16"/>
                <w:color w:val="auto"/>
                <w:vertAlign w:val="superscript"/>
              </w:rPr>
              <w:t>(1)</w:t>
            </w:r>
          </w:p>
        </w:tc>
        <w:tc>
          <w:tcPr>
            <w:tcW w:w="196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Building Supplies</w:t>
            </w:r>
          </w:p>
        </w:tc>
        <w:tc>
          <w:tcPr>
            <w:tcW w:w="18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9"/>
              </w:rPr>
              <w:t>Subordinated Debt (6% cash,</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2,109</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2,109</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5"/>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4"/>
                <w:szCs w:val="14"/>
                <w:color w:val="auto"/>
              </w:rPr>
              <w:t>Due 2/15/14)</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Naples Lumber &amp; Supply Co</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Building Supplies</w:t>
            </w:r>
          </w:p>
        </w:tc>
        <w:tc>
          <w:tcPr>
            <w:tcW w:w="1840" w:type="dxa"/>
            <w:vAlign w:val="bottom"/>
          </w:tcPr>
          <w:p>
            <w:pPr>
              <w:spacing w:after="0" w:line="130" w:lineRule="exact"/>
              <w:rPr>
                <w:sz w:val="20"/>
                <w:szCs w:val="20"/>
                <w:color w:val="auto"/>
              </w:rPr>
            </w:pPr>
            <w:r>
              <w:rPr>
                <w:rFonts w:ascii="Arial" w:cs="Arial" w:eastAsia="Arial" w:hAnsi="Arial"/>
                <w:sz w:val="14"/>
                <w:szCs w:val="14"/>
                <w:color w:val="auto"/>
                <w:w w:val="94"/>
              </w:rPr>
              <w:t>Common Stock Warrants (10%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fully diluted)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1,309</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2,509</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0.9</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 xml:space="preserve">Pickaway Plains Ambulance Services, Inc. </w:t>
            </w:r>
            <w:r>
              <w:rPr>
                <w:rFonts w:ascii="Arial" w:cs="Arial" w:eastAsia="Arial" w:hAnsi="Arial"/>
                <w:sz w:val="16"/>
                <w:szCs w:val="16"/>
                <w:color w:val="auto"/>
                <w:vertAlign w:val="superscript"/>
              </w:rPr>
              <w:t>(1, 2)</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Medical Transportation</w:t>
            </w:r>
          </w:p>
        </w:tc>
        <w:tc>
          <w:tcPr>
            <w:tcW w:w="1840" w:type="dxa"/>
            <w:vAlign w:val="bottom"/>
          </w:tcPr>
          <w:p>
            <w:pPr>
              <w:spacing w:after="0" w:line="142" w:lineRule="exact"/>
              <w:rPr>
                <w:sz w:val="20"/>
                <w:szCs w:val="20"/>
                <w:color w:val="auto"/>
              </w:rPr>
            </w:pPr>
            <w:r>
              <w:rPr>
                <w:rFonts w:ascii="Arial" w:cs="Arial" w:eastAsia="Arial" w:hAnsi="Arial"/>
                <w:sz w:val="14"/>
                <w:szCs w:val="14"/>
                <w:color w:val="auto"/>
              </w:rPr>
              <w:t>Senior Secured Term 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1,548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4"/>
                <w:szCs w:val="14"/>
                <w:color w:val="auto"/>
              </w:rPr>
              <w:t>Services</w:t>
            </w:r>
          </w:p>
        </w:tc>
        <w:tc>
          <w:tcPr>
            <w:tcW w:w="1840" w:type="dxa"/>
            <w:vAlign w:val="bottom"/>
          </w:tcPr>
          <w:p>
            <w:pPr>
              <w:spacing w:after="0" w:line="135" w:lineRule="exact"/>
              <w:rPr>
                <w:sz w:val="20"/>
                <w:szCs w:val="20"/>
                <w:color w:val="auto"/>
              </w:rPr>
            </w:pPr>
            <w:r>
              <w:rPr>
                <w:rFonts w:ascii="Arial" w:cs="Arial" w:eastAsia="Arial" w:hAnsi="Arial"/>
                <w:sz w:val="14"/>
                <w:szCs w:val="14"/>
                <w:color w:val="auto"/>
              </w:rPr>
              <w:t>(13% Cash, Due 12/31/15)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Pickaway Plains Ambulance Services, Inc.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Medical Transportation</w:t>
            </w:r>
          </w:p>
        </w:tc>
        <w:tc>
          <w:tcPr>
            <w:tcW w:w="18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8"/>
              </w:rPr>
              <w:t>Common Stock Warrants (5%</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Services</w:t>
            </w: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fully diluted)</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FFCC"/>
          </w:tcPr>
          <w:p>
            <w:pPr>
              <w:spacing w:after="0" w:line="142" w:lineRule="exact"/>
              <w:rPr>
                <w:sz w:val="20"/>
                <w:szCs w:val="20"/>
                <w:color w:val="auto"/>
              </w:rPr>
            </w:pPr>
            <w:r>
              <w:rPr>
                <w:rFonts w:ascii="Arial" w:cs="Arial" w:eastAsia="Arial" w:hAnsi="Arial"/>
                <w:sz w:val="11"/>
                <w:szCs w:val="11"/>
                <w:color w:val="auto"/>
              </w:rPr>
              <w:t xml:space="preserve">Precision Manufacturing, LLC </w:t>
            </w:r>
            <w:r>
              <w:rPr>
                <w:rFonts w:ascii="Arial" w:cs="Arial" w:eastAsia="Arial" w:hAnsi="Arial"/>
                <w:sz w:val="16"/>
                <w:szCs w:val="16"/>
                <w:color w:val="auto"/>
                <w:vertAlign w:val="superscript"/>
              </w:rPr>
              <w:t>(2)</w:t>
            </w:r>
          </w:p>
        </w:tc>
        <w:tc>
          <w:tcPr>
            <w:tcW w:w="196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Industrial Boiler Manufacturer</w:t>
            </w:r>
          </w:p>
        </w:tc>
        <w:tc>
          <w:tcPr>
            <w:tcW w:w="18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3"/>
              </w:rPr>
              <w:t>Subordinated Debt (13% Cash,</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1,536</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5"/>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4"/>
                <w:szCs w:val="14"/>
                <w:color w:val="auto"/>
              </w:rPr>
              <w:t>Due 2/10/17)</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vMerge w:val="continue"/>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Precision Manufacturing,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Industrial Boiler Manufacturer</w:t>
            </w:r>
          </w:p>
        </w:tc>
        <w:tc>
          <w:tcPr>
            <w:tcW w:w="1840" w:type="dxa"/>
            <w:vAlign w:val="bottom"/>
          </w:tcPr>
          <w:p>
            <w:pPr>
              <w:spacing w:after="0" w:line="130" w:lineRule="exact"/>
              <w:rPr>
                <w:sz w:val="20"/>
                <w:szCs w:val="20"/>
                <w:color w:val="auto"/>
              </w:rPr>
            </w:pPr>
            <w:r>
              <w:rPr>
                <w:rFonts w:ascii="Arial" w:cs="Arial" w:eastAsia="Arial" w:hAnsi="Arial"/>
                <w:sz w:val="14"/>
                <w:szCs w:val="14"/>
                <w:color w:val="auto"/>
              </w:rPr>
              <w:t>Membership Unit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(70,000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2,500</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1,536</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0" w:lineRule="exact"/>
              <w:rPr>
                <w:sz w:val="20"/>
                <w:szCs w:val="20"/>
                <w:color w:val="auto"/>
              </w:rPr>
            </w:pPr>
            <w:r>
              <w:rPr>
                <w:rFonts w:ascii="Arial" w:cs="Arial" w:eastAsia="Arial" w:hAnsi="Arial"/>
                <w:sz w:val="12"/>
                <w:szCs w:val="12"/>
                <w:color w:val="auto"/>
              </w:rPr>
              <w:t>Sierra Hamilton, LLC</w:t>
            </w:r>
          </w:p>
        </w:tc>
        <w:tc>
          <w:tcPr>
            <w:tcW w:w="1960" w:type="dxa"/>
            <w:vAlign w:val="bottom"/>
            <w:gridSpan w:val="2"/>
          </w:tcPr>
          <w:p>
            <w:pPr>
              <w:spacing w:after="0" w:line="110" w:lineRule="exact"/>
              <w:rPr>
                <w:sz w:val="20"/>
                <w:szCs w:val="20"/>
                <w:color w:val="auto"/>
              </w:rPr>
            </w:pPr>
            <w:r>
              <w:rPr>
                <w:rFonts w:ascii="Arial" w:cs="Arial" w:eastAsia="Arial" w:hAnsi="Arial"/>
                <w:sz w:val="12"/>
                <w:szCs w:val="12"/>
                <w:color w:val="auto"/>
              </w:rPr>
              <w:t>Oil &amp; Gas Engineering and</w:t>
            </w:r>
          </w:p>
        </w:tc>
        <w:tc>
          <w:tcPr>
            <w:tcW w:w="1840" w:type="dxa"/>
            <w:vAlign w:val="bottom"/>
          </w:tcPr>
          <w:p>
            <w:pPr>
              <w:spacing w:after="0" w:line="110" w:lineRule="exact"/>
              <w:rPr>
                <w:sz w:val="20"/>
                <w:szCs w:val="20"/>
                <w:color w:val="auto"/>
              </w:rPr>
            </w:pPr>
            <w:r>
              <w:rPr>
                <w:rFonts w:ascii="Arial" w:cs="Arial" w:eastAsia="Arial" w:hAnsi="Arial"/>
                <w:sz w:val="12"/>
                <w:szCs w:val="12"/>
                <w:color w:val="auto"/>
              </w:rPr>
              <w:t>Senior Secured Debt (12.25%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Consulting Services</w:t>
            </w:r>
          </w:p>
        </w:tc>
        <w:tc>
          <w:tcPr>
            <w:tcW w:w="1840" w:type="dxa"/>
            <w:vAlign w:val="bottom"/>
          </w:tcPr>
          <w:p>
            <w:pPr>
              <w:spacing w:after="0"/>
              <w:rPr>
                <w:sz w:val="20"/>
                <w:szCs w:val="20"/>
                <w:color w:val="auto"/>
              </w:rPr>
            </w:pPr>
            <w:r>
              <w:rPr>
                <w:rFonts w:ascii="Arial" w:cs="Arial" w:eastAsia="Arial" w:hAnsi="Arial"/>
                <w:sz w:val="14"/>
                <w:szCs w:val="14"/>
                <w:color w:val="auto"/>
              </w:rPr>
              <w:t>Cash, 12/15/18)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15,000</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15,000</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5.6</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 xml:space="preserve">Southern Pump &amp; Tank Company, LLC </w:t>
            </w:r>
            <w:r>
              <w:rPr>
                <w:rFonts w:ascii="Arial" w:cs="Arial" w:eastAsia="Arial" w:hAnsi="Arial"/>
                <w:sz w:val="16"/>
                <w:szCs w:val="16"/>
                <w:color w:val="auto"/>
                <w:vertAlign w:val="superscript"/>
              </w:rPr>
              <w:t>(1)</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Petroleum Equipment Supplier</w:t>
            </w:r>
          </w:p>
        </w:tc>
        <w:tc>
          <w:tcPr>
            <w:tcW w:w="1840" w:type="dxa"/>
            <w:vAlign w:val="bottom"/>
          </w:tcPr>
          <w:p>
            <w:pPr>
              <w:spacing w:after="0" w:line="142" w:lineRule="exact"/>
              <w:rPr>
                <w:sz w:val="20"/>
                <w:szCs w:val="20"/>
                <w:color w:val="auto"/>
              </w:rPr>
            </w:pPr>
            <w:r>
              <w:rPr>
                <w:rFonts w:ascii="Arial" w:cs="Arial" w:eastAsia="Arial" w:hAnsi="Arial"/>
                <w:sz w:val="14"/>
                <w:szCs w:val="14"/>
                <w:color w:val="auto"/>
              </w:rPr>
              <w:t>Senior Secured Term 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line="116" w:lineRule="exact"/>
              <w:rPr>
                <w:sz w:val="20"/>
                <w:szCs w:val="20"/>
                <w:color w:val="auto"/>
              </w:rPr>
            </w:pPr>
            <w:r>
              <w:rPr>
                <w:rFonts w:ascii="Arial" w:cs="Arial" w:eastAsia="Arial" w:hAnsi="Arial"/>
                <w:sz w:val="13"/>
                <w:szCs w:val="13"/>
                <w:color w:val="auto"/>
              </w:rPr>
              <w:t>(13% Cash, 6% PIK, Due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6/15/14)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3,213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3,624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Southern Pump &amp; Tank Company,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Petroleum Equipment Supplier</w:t>
            </w:r>
          </w:p>
        </w:tc>
        <w:tc>
          <w:tcPr>
            <w:tcW w:w="18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4"/>
              </w:rPr>
              <w:t>Common Stock Warrants (10%</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fully diluted)</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3,213</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3,624</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Stoddard Hill Media Holdings, LLC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IT Hosting Services</w:t>
            </w:r>
          </w:p>
        </w:tc>
        <w:tc>
          <w:tcPr>
            <w:tcW w:w="18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Class D Preferred Units</w:t>
            </w: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(132,159 shares)</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453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453</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Tenere, Inc.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Industrial Manufacturing</w:t>
            </w:r>
          </w:p>
        </w:tc>
        <w:tc>
          <w:tcPr>
            <w:tcW w:w="18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Senior Secured Term Debt</w:t>
            </w: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(11% Cash, 2% PIK, Due</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12/17/17)</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3,440</w:t>
            </w: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3,440</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3,440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3,440</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3,440</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Worklife America, Inc.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Professional Employer</w:t>
            </w:r>
          </w:p>
        </w:tc>
        <w:tc>
          <w:tcPr>
            <w:tcW w:w="18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Senior Secured Debt (12%</w:t>
            </w: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Organization</w:t>
            </w: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Cash, Due 12/28/16)</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18,656</w:t>
            </w: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18,656</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18,656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Worklife America, Inc.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Professional Employer</w:t>
            </w:r>
          </w:p>
        </w:tc>
        <w:tc>
          <w:tcPr>
            <w:tcW w:w="1840" w:type="dxa"/>
            <w:vAlign w:val="bottom"/>
          </w:tcPr>
          <w:p>
            <w:pPr>
              <w:spacing w:after="0" w:line="130" w:lineRule="exact"/>
              <w:rPr>
                <w:sz w:val="20"/>
                <w:szCs w:val="20"/>
                <w:color w:val="auto"/>
              </w:rPr>
            </w:pPr>
            <w:r>
              <w:rPr>
                <w:rFonts w:ascii="Arial" w:cs="Arial" w:eastAsia="Arial" w:hAnsi="Arial"/>
                <w:sz w:val="14"/>
                <w:szCs w:val="14"/>
                <w:color w:val="auto"/>
                <w:w w:val="93"/>
              </w:rPr>
              <w:t>Common Unit Warrants (3.84%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Organization</w:t>
            </w:r>
          </w:p>
        </w:tc>
        <w:tc>
          <w:tcPr>
            <w:tcW w:w="1840" w:type="dxa"/>
            <w:vAlign w:val="bottom"/>
          </w:tcPr>
          <w:p>
            <w:pPr>
              <w:spacing w:after="0"/>
              <w:rPr>
                <w:sz w:val="20"/>
                <w:szCs w:val="20"/>
                <w:color w:val="auto"/>
              </w:rPr>
            </w:pPr>
            <w:r>
              <w:rPr>
                <w:rFonts w:ascii="Arial" w:cs="Arial" w:eastAsia="Arial" w:hAnsi="Arial"/>
                <w:sz w:val="14"/>
                <w:szCs w:val="14"/>
                <w:color w:val="auto"/>
              </w:rPr>
              <w:t>ownership)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3,441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Worklife America, Inc.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Professional Employer</w:t>
            </w:r>
          </w:p>
        </w:tc>
        <w:tc>
          <w:tcPr>
            <w:tcW w:w="18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2"/>
              </w:rPr>
              <w:t>Preferred Unit Warrants (3.84%</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Organization</w:t>
            </w: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ownership)</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580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18,656</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22,677</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06"/>
        </w:trPr>
        <w:tc>
          <w:tcPr>
            <w:tcW w:w="3100" w:type="dxa"/>
            <w:vAlign w:val="bottom"/>
            <w:gridSpan w:val="2"/>
            <w:shd w:val="clear" w:color="auto" w:fill="CCFFCC"/>
          </w:tcPr>
          <w:p>
            <w:pPr>
              <w:spacing w:after="0" w:line="106" w:lineRule="exact"/>
              <w:rPr>
                <w:sz w:val="20"/>
                <w:szCs w:val="20"/>
                <w:color w:val="auto"/>
              </w:rPr>
            </w:pPr>
            <w:r>
              <w:rPr>
                <w:rFonts w:ascii="Arial" w:cs="Arial" w:eastAsia="Arial" w:hAnsi="Arial"/>
                <w:sz w:val="12"/>
                <w:szCs w:val="12"/>
                <w:b w:val="1"/>
                <w:bCs w:val="1"/>
                <w:color w:val="auto"/>
              </w:rPr>
              <w:t>Sub Total Non-control/Non-affiliated</w:t>
            </w:r>
          </w:p>
        </w:tc>
        <w:tc>
          <w:tcPr>
            <w:tcW w:w="1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investments</w:t>
            </w:r>
          </w:p>
        </w:tc>
        <w:tc>
          <w:tcPr>
            <w:tcW w:w="1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84,138</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99,140</w:t>
            </w:r>
          </w:p>
        </w:tc>
        <w:tc>
          <w:tcPr>
            <w:tcW w:w="1020" w:type="dxa"/>
            <w:vAlign w:val="bottom"/>
            <w:gridSpan w:val="2"/>
            <w:shd w:val="clear" w:color="auto" w:fill="CCFFCC"/>
          </w:tcPr>
          <w:p>
            <w:pPr>
              <w:jc w:val="right"/>
              <w:spacing w:after="0" w:line="199" w:lineRule="exact"/>
              <w:rPr>
                <w:sz w:val="20"/>
                <w:szCs w:val="20"/>
                <w:color w:val="auto"/>
              </w:rPr>
            </w:pPr>
            <w:r>
              <w:rPr>
                <w:rFonts w:ascii="Arial" w:cs="Arial" w:eastAsia="Arial" w:hAnsi="Arial"/>
                <w:sz w:val="12"/>
                <w:szCs w:val="12"/>
                <w:color w:val="auto"/>
              </w:rPr>
              <w:t>36.9</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3100" w:type="dxa"/>
            <w:vAlign w:val="bottom"/>
            <w:tcBorders>
              <w:top w:val="single" w:sz="8" w:color="CCFFCC"/>
              <w:bottom w:val="single" w:sz="8" w:color="CCFFCC"/>
            </w:tcBorders>
            <w:gridSpan w:val="2"/>
            <w:vMerge w:val="restart"/>
          </w:tcPr>
          <w:p>
            <w:pPr>
              <w:spacing w:after="0"/>
              <w:rPr>
                <w:sz w:val="20"/>
                <w:szCs w:val="20"/>
                <w:color w:val="auto"/>
              </w:rPr>
            </w:pPr>
            <w:r>
              <w:rPr>
                <w:rFonts w:ascii="Arial" w:cs="Arial" w:eastAsia="Arial" w:hAnsi="Arial"/>
                <w:sz w:val="14"/>
                <w:szCs w:val="14"/>
                <w:b w:val="1"/>
                <w:bCs w:val="1"/>
                <w:color w:val="auto"/>
              </w:rPr>
              <w:t>Affiliate investments - 70.4%</w:t>
            </w:r>
          </w:p>
        </w:tc>
        <w:tc>
          <w:tcPr>
            <w:tcW w:w="18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Chef'N Corporation</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Culinary Products</w:t>
            </w:r>
          </w:p>
        </w:tc>
        <w:tc>
          <w:tcPr>
            <w:tcW w:w="18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Subordinated Debt (15%, 3%</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8"/>
              </w:rPr>
              <w:t>PIK at company's option, Due</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5/16/18)</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6,300</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6,300</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6,300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Chef'N Corporation</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Culinary Products</w:t>
            </w:r>
          </w:p>
        </w:tc>
        <w:tc>
          <w:tcPr>
            <w:tcW w:w="1840" w:type="dxa"/>
            <w:vAlign w:val="bottom"/>
          </w:tcPr>
          <w:p>
            <w:pPr>
              <w:spacing w:after="0" w:line="130" w:lineRule="exact"/>
              <w:rPr>
                <w:sz w:val="20"/>
                <w:szCs w:val="20"/>
                <w:color w:val="auto"/>
              </w:rPr>
            </w:pPr>
            <w:r>
              <w:rPr>
                <w:rFonts w:ascii="Arial" w:cs="Arial" w:eastAsia="Arial" w:hAnsi="Arial"/>
                <w:sz w:val="14"/>
                <w:szCs w:val="14"/>
                <w:color w:val="auto"/>
              </w:rPr>
              <w:t>Series A Preferred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(1,000,000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4,002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7,300</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10,302</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3.8</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0" w:lineRule="exact"/>
              <w:rPr>
                <w:sz w:val="20"/>
                <w:szCs w:val="20"/>
                <w:color w:val="auto"/>
              </w:rPr>
            </w:pPr>
            <w:r>
              <w:rPr>
                <w:rFonts w:ascii="Arial" w:cs="Arial" w:eastAsia="Arial" w:hAnsi="Arial"/>
                <w:sz w:val="12"/>
                <w:szCs w:val="12"/>
                <w:color w:val="auto"/>
              </w:rPr>
              <w:t>City Gear, LLC</w:t>
            </w:r>
          </w:p>
        </w:tc>
        <w:tc>
          <w:tcPr>
            <w:tcW w:w="1960" w:type="dxa"/>
            <w:vAlign w:val="bottom"/>
            <w:gridSpan w:val="2"/>
          </w:tcPr>
          <w:p>
            <w:pPr>
              <w:spacing w:after="0" w:line="110" w:lineRule="exact"/>
              <w:rPr>
                <w:sz w:val="20"/>
                <w:szCs w:val="20"/>
                <w:color w:val="auto"/>
              </w:rPr>
            </w:pPr>
            <w:r>
              <w:rPr>
                <w:rFonts w:ascii="Arial" w:cs="Arial" w:eastAsia="Arial" w:hAnsi="Arial"/>
                <w:sz w:val="12"/>
                <w:szCs w:val="12"/>
                <w:color w:val="auto"/>
              </w:rPr>
              <w:t>Footwear Retail</w:t>
            </w:r>
          </w:p>
        </w:tc>
        <w:tc>
          <w:tcPr>
            <w:tcW w:w="1840" w:type="dxa"/>
            <w:vAlign w:val="bottom"/>
          </w:tcPr>
          <w:p>
            <w:pPr>
              <w:spacing w:after="0" w:line="110" w:lineRule="exact"/>
              <w:rPr>
                <w:sz w:val="20"/>
                <w:szCs w:val="20"/>
                <w:color w:val="auto"/>
              </w:rPr>
            </w:pPr>
            <w:r>
              <w:rPr>
                <w:rFonts w:ascii="Arial" w:cs="Arial" w:eastAsia="Arial" w:hAnsi="Arial"/>
                <w:sz w:val="12"/>
                <w:szCs w:val="12"/>
                <w:color w:val="auto"/>
              </w:rPr>
              <w:t>Subordinated Debt (13% Cash,</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Due 9/28/16)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FFCC"/>
          </w:tcPr>
          <w:p>
            <w:pPr>
              <w:spacing w:after="0" w:line="142" w:lineRule="exact"/>
              <w:rPr>
                <w:sz w:val="20"/>
                <w:szCs w:val="20"/>
                <w:color w:val="auto"/>
              </w:rPr>
            </w:pPr>
            <w:r>
              <w:rPr>
                <w:rFonts w:ascii="Arial" w:cs="Arial" w:eastAsia="Arial" w:hAnsi="Arial"/>
                <w:sz w:val="11"/>
                <w:szCs w:val="11"/>
                <w:color w:val="auto"/>
              </w:rPr>
              <w:t xml:space="preserve">City Gear, LLC </w:t>
            </w:r>
            <w:r>
              <w:rPr>
                <w:rFonts w:ascii="Arial" w:cs="Arial" w:eastAsia="Arial" w:hAnsi="Arial"/>
                <w:sz w:val="16"/>
                <w:szCs w:val="16"/>
                <w:color w:val="auto"/>
                <w:vertAlign w:val="superscript"/>
              </w:rPr>
              <w:t>(6)</w:t>
            </w:r>
          </w:p>
        </w:tc>
        <w:tc>
          <w:tcPr>
            <w:tcW w:w="196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Footwear Retail</w:t>
            </w:r>
          </w:p>
        </w:tc>
        <w:tc>
          <w:tcPr>
            <w:tcW w:w="18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Preferred Membership Units</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40" w:type="dxa"/>
            <w:vAlign w:val="bottom"/>
            <w:shd w:val="clear" w:color="auto" w:fill="CCFFCC"/>
          </w:tcPr>
          <w:p>
            <w:pPr>
              <w:spacing w:after="0" w:line="137" w:lineRule="exact"/>
              <w:rPr>
                <w:sz w:val="20"/>
                <w:szCs w:val="20"/>
                <w:color w:val="auto"/>
              </w:rPr>
            </w:pPr>
            <w:r>
              <w:rPr>
                <w:rFonts w:ascii="Arial" w:cs="Arial" w:eastAsia="Arial" w:hAnsi="Arial"/>
                <w:sz w:val="14"/>
                <w:szCs w:val="14"/>
                <w:color w:val="auto"/>
              </w:rPr>
              <w:t>(2.78% fully diluted, 9%</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dividend)</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City Gear,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Footwear Retail</w:t>
            </w:r>
          </w:p>
        </w:tc>
        <w:tc>
          <w:tcPr>
            <w:tcW w:w="1840" w:type="dxa"/>
            <w:vAlign w:val="bottom"/>
          </w:tcPr>
          <w:p>
            <w:pPr>
              <w:spacing w:after="0" w:line="130" w:lineRule="exact"/>
              <w:rPr>
                <w:sz w:val="20"/>
                <w:szCs w:val="20"/>
                <w:color w:val="auto"/>
              </w:rPr>
            </w:pPr>
            <w:r>
              <w:rPr>
                <w:rFonts w:ascii="Arial" w:cs="Arial" w:eastAsia="Arial" w:hAnsi="Arial"/>
                <w:sz w:val="14"/>
                <w:szCs w:val="14"/>
                <w:color w:val="auto"/>
              </w:rPr>
              <w:t>Membership Unit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(11.37% fully diluted)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5,307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9,500</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14,807</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5.6</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3100" w:type="dxa"/>
            <w:vAlign w:val="bottom"/>
            <w:gridSpan w:val="2"/>
          </w:tcPr>
          <w:p>
            <w:pPr>
              <w:spacing w:after="0"/>
              <w:rPr>
                <w:sz w:val="20"/>
                <w:szCs w:val="20"/>
                <w:color w:val="auto"/>
              </w:rPr>
            </w:pPr>
            <w:r>
              <w:rPr>
                <w:rFonts w:ascii="Arial" w:cs="Arial" w:eastAsia="Arial" w:hAnsi="Arial"/>
                <w:sz w:val="14"/>
                <w:szCs w:val="14"/>
                <w:color w:val="auto"/>
              </w:rPr>
              <w:t>Corporate Visions, Inc.</w:t>
            </w:r>
          </w:p>
        </w:tc>
        <w:tc>
          <w:tcPr>
            <w:tcW w:w="1960" w:type="dxa"/>
            <w:vAlign w:val="bottom"/>
            <w:gridSpan w:val="2"/>
          </w:tcPr>
          <w:p>
            <w:pPr>
              <w:spacing w:after="0"/>
              <w:rPr>
                <w:sz w:val="20"/>
                <w:szCs w:val="20"/>
                <w:color w:val="auto"/>
              </w:rPr>
            </w:pPr>
            <w:r>
              <w:rPr>
                <w:rFonts w:ascii="Arial" w:cs="Arial" w:eastAsia="Arial" w:hAnsi="Arial"/>
                <w:sz w:val="14"/>
                <w:szCs w:val="14"/>
                <w:color w:val="auto"/>
              </w:rPr>
              <w:t>Sales &amp; Marketing Services</w:t>
            </w:r>
          </w:p>
        </w:tc>
        <w:tc>
          <w:tcPr>
            <w:tcW w:w="1840" w:type="dxa"/>
            <w:vAlign w:val="bottom"/>
          </w:tcPr>
          <w:p>
            <w:pPr>
              <w:spacing w:after="0"/>
              <w:rPr>
                <w:sz w:val="20"/>
                <w:szCs w:val="20"/>
                <w:color w:val="auto"/>
              </w:rPr>
            </w:pPr>
            <w:r>
              <w:rPr>
                <w:rFonts w:ascii="Arial" w:cs="Arial" w:eastAsia="Arial" w:hAnsi="Arial"/>
                <w:sz w:val="14"/>
                <w:szCs w:val="14"/>
                <w:color w:val="auto"/>
                <w:w w:val="93"/>
              </w:rPr>
              <w:t>Subordinated Debt (14% Cash,</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11,174</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ectPr>
          <w:pgSz w:w="11900" w:h="16945" w:orient="portrait"/>
          <w:cols w:equalWidth="0" w:num="1">
            <w:col w:w="11420"/>
          </w:cols>
          <w:pgMar w:left="240" w:top="877"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2% PIK, Due 3/22/18)</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Corporate Visions, Inc.</w:t>
            </w:r>
          </w:p>
        </w:tc>
        <w:tc>
          <w:tcPr>
            <w:tcW w:w="232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Sales &amp; Marketing Services</w:t>
            </w:r>
          </w:p>
        </w:tc>
        <w:tc>
          <w:tcPr>
            <w:tcW w:w="2260" w:type="dxa"/>
            <w:vAlign w:val="bottom"/>
            <w:shd w:val="clear" w:color="auto" w:fill="CCFFCC"/>
          </w:tcPr>
          <w:p>
            <w:pPr>
              <w:ind w:left="100"/>
              <w:spacing w:after="0" w:line="130" w:lineRule="exact"/>
              <w:rPr>
                <w:sz w:val="20"/>
                <w:szCs w:val="20"/>
                <w:color w:val="auto"/>
              </w:rPr>
            </w:pPr>
            <w:r>
              <w:rPr>
                <w:rFonts w:ascii="Arial" w:cs="Arial" w:eastAsia="Arial" w:hAnsi="Arial"/>
                <w:sz w:val="14"/>
                <w:szCs w:val="14"/>
                <w:color w:val="auto"/>
              </w:rPr>
              <w:t>Common Stock (2,216,463</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320" w:type="dxa"/>
            <w:vAlign w:val="bottom"/>
            <w:shd w:val="clear" w:color="auto" w:fill="CCFFCC"/>
          </w:tcPr>
          <w:p>
            <w:pPr>
              <w:spacing w:after="0"/>
              <w:rPr>
                <w:sz w:val="14"/>
                <w:szCs w:val="14"/>
                <w:color w:val="auto"/>
              </w:rPr>
            </w:pPr>
          </w:p>
        </w:tc>
        <w:tc>
          <w:tcPr>
            <w:tcW w:w="2260" w:type="dxa"/>
            <w:vAlign w:val="bottom"/>
            <w:shd w:val="clear" w:color="auto" w:fill="CCFFCC"/>
          </w:tcPr>
          <w:p>
            <w:pPr>
              <w:ind w:left="100"/>
              <w:spacing w:after="0"/>
              <w:rPr>
                <w:sz w:val="20"/>
                <w:szCs w:val="20"/>
                <w:color w:val="auto"/>
              </w:rPr>
            </w:pPr>
            <w:r>
              <w:rPr>
                <w:rFonts w:ascii="Arial" w:cs="Arial" w:eastAsia="Arial" w:hAnsi="Arial"/>
                <w:sz w:val="14"/>
                <w:szCs w:val="14"/>
                <w:color w:val="auto"/>
              </w:rPr>
              <w:t>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2,576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9,797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Corporate Visions, Inc.</w:t>
            </w:r>
          </w:p>
        </w:tc>
        <w:tc>
          <w:tcPr>
            <w:tcW w:w="2320" w:type="dxa"/>
            <w:vAlign w:val="bottom"/>
          </w:tcPr>
          <w:p>
            <w:pPr>
              <w:ind w:left="460"/>
              <w:spacing w:after="0" w:line="130" w:lineRule="exact"/>
              <w:rPr>
                <w:sz w:val="20"/>
                <w:szCs w:val="20"/>
                <w:color w:val="auto"/>
              </w:rPr>
            </w:pPr>
            <w:r>
              <w:rPr>
                <w:rFonts w:ascii="Arial" w:cs="Arial" w:eastAsia="Arial" w:hAnsi="Arial"/>
                <w:sz w:val="14"/>
                <w:szCs w:val="14"/>
                <w:color w:val="auto"/>
              </w:rPr>
              <w:t>Sales &amp; Marketing Services</w:t>
            </w:r>
          </w:p>
        </w:tc>
        <w:tc>
          <w:tcPr>
            <w:tcW w:w="2260" w:type="dxa"/>
            <w:vAlign w:val="bottom"/>
          </w:tcPr>
          <w:p>
            <w:pPr>
              <w:ind w:left="100"/>
              <w:spacing w:after="0" w:line="130" w:lineRule="exact"/>
              <w:rPr>
                <w:sz w:val="20"/>
                <w:szCs w:val="20"/>
                <w:color w:val="auto"/>
              </w:rPr>
            </w:pPr>
            <w:r>
              <w:rPr>
                <w:rFonts w:ascii="Arial" w:cs="Arial" w:eastAsia="Arial" w:hAnsi="Arial"/>
                <w:sz w:val="14"/>
                <w:szCs w:val="14"/>
                <w:color w:val="auto"/>
              </w:rPr>
              <w:t>Common Stock Warrant</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(403,257 shares)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640" w:type="dxa"/>
            <w:vAlign w:val="bottom"/>
            <w:tcBorders>
              <w:top w:val="single" w:sz="8" w:color="CCFFCC"/>
            </w:tcBorders>
            <w:shd w:val="clear" w:color="auto" w:fill="CCFFCC"/>
          </w:tcPr>
          <w:p>
            <w:pPr>
              <w:spacing w:after="0"/>
              <w:rPr>
                <w:sz w:val="12"/>
                <w:szCs w:val="12"/>
                <w:color w:val="auto"/>
              </w:rPr>
            </w:pPr>
          </w:p>
        </w:tc>
        <w:tc>
          <w:tcPr>
            <w:tcW w:w="2320" w:type="dxa"/>
            <w:vAlign w:val="bottom"/>
            <w:tcBorders>
              <w:top w:val="single" w:sz="8" w:color="CCFFCC"/>
            </w:tcBorders>
            <w:shd w:val="clear" w:color="auto" w:fill="CCFFCC"/>
          </w:tcPr>
          <w:p>
            <w:pPr>
              <w:spacing w:after="0"/>
              <w:rPr>
                <w:sz w:val="12"/>
                <w:szCs w:val="12"/>
                <w:color w:val="auto"/>
              </w:rPr>
            </w:pPr>
          </w:p>
        </w:tc>
        <w:tc>
          <w:tcPr>
            <w:tcW w:w="22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13,750</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22,753</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8.5</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tcPr>
          <w:p>
            <w:pPr>
              <w:spacing w:after="0" w:line="110" w:lineRule="exact"/>
              <w:rPr>
                <w:sz w:val="20"/>
                <w:szCs w:val="20"/>
                <w:color w:val="auto"/>
              </w:rPr>
            </w:pPr>
            <w:r>
              <w:rPr>
                <w:rFonts w:ascii="Arial" w:cs="Arial" w:eastAsia="Arial" w:hAnsi="Arial"/>
                <w:sz w:val="12"/>
                <w:szCs w:val="12"/>
                <w:color w:val="auto"/>
              </w:rPr>
              <w:t>GA Communications, Inc.</w:t>
            </w:r>
          </w:p>
        </w:tc>
        <w:tc>
          <w:tcPr>
            <w:tcW w:w="2320" w:type="dxa"/>
            <w:vAlign w:val="bottom"/>
          </w:tcPr>
          <w:p>
            <w:pPr>
              <w:ind w:left="460"/>
              <w:spacing w:after="0" w:line="110" w:lineRule="exact"/>
              <w:rPr>
                <w:sz w:val="20"/>
                <w:szCs w:val="20"/>
                <w:color w:val="auto"/>
              </w:rPr>
            </w:pPr>
            <w:r>
              <w:rPr>
                <w:rFonts w:ascii="Arial" w:cs="Arial" w:eastAsia="Arial" w:hAnsi="Arial"/>
                <w:sz w:val="12"/>
                <w:szCs w:val="12"/>
                <w:color w:val="auto"/>
              </w:rPr>
              <w:t>Advertising &amp; Marketing</w:t>
            </w:r>
          </w:p>
        </w:tc>
        <w:tc>
          <w:tcPr>
            <w:tcW w:w="2260" w:type="dxa"/>
            <w:vAlign w:val="bottom"/>
          </w:tcPr>
          <w:p>
            <w:pPr>
              <w:ind w:left="100"/>
              <w:spacing w:after="0" w:line="110" w:lineRule="exact"/>
              <w:rPr>
                <w:sz w:val="20"/>
                <w:szCs w:val="20"/>
                <w:color w:val="auto"/>
              </w:rPr>
            </w:pPr>
            <w:r>
              <w:rPr>
                <w:rFonts w:ascii="Arial" w:cs="Arial" w:eastAsia="Arial" w:hAnsi="Arial"/>
                <w:sz w:val="12"/>
                <w:szCs w:val="12"/>
                <w:color w:val="auto"/>
              </w:rPr>
              <w:t>Series A-1 Preferred Stock</w:t>
            </w: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320" w:type="dxa"/>
            <w:vAlign w:val="bottom"/>
          </w:tcPr>
          <w:p>
            <w:pPr>
              <w:ind w:left="460"/>
              <w:spacing w:after="0"/>
              <w:rPr>
                <w:sz w:val="20"/>
                <w:szCs w:val="20"/>
                <w:color w:val="auto"/>
              </w:rPr>
            </w:pPr>
            <w:r>
              <w:rPr>
                <w:rFonts w:ascii="Arial" w:cs="Arial" w:eastAsia="Arial" w:hAnsi="Arial"/>
                <w:sz w:val="14"/>
                <w:szCs w:val="14"/>
                <w:color w:val="auto"/>
              </w:rPr>
              <w:t>Services</w:t>
            </w:r>
          </w:p>
        </w:tc>
        <w:tc>
          <w:tcPr>
            <w:tcW w:w="2260" w:type="dxa"/>
            <w:vAlign w:val="bottom"/>
          </w:tcPr>
          <w:p>
            <w:pPr>
              <w:ind w:left="100"/>
              <w:spacing w:after="0"/>
              <w:rPr>
                <w:sz w:val="20"/>
                <w:szCs w:val="20"/>
                <w:color w:val="auto"/>
              </w:rPr>
            </w:pPr>
            <w:r>
              <w:rPr>
                <w:rFonts w:ascii="Arial" w:cs="Arial" w:eastAsia="Arial" w:hAnsi="Arial"/>
                <w:sz w:val="14"/>
                <w:szCs w:val="14"/>
                <w:color w:val="auto"/>
              </w:rPr>
              <w:t>(1,998 shares)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1,998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2,370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GA Communications, Inc.</w:t>
            </w:r>
          </w:p>
        </w:tc>
        <w:tc>
          <w:tcPr>
            <w:tcW w:w="232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Advertising &amp; Marketing</w:t>
            </w:r>
          </w:p>
        </w:tc>
        <w:tc>
          <w:tcPr>
            <w:tcW w:w="2260" w:type="dxa"/>
            <w:vAlign w:val="bottom"/>
            <w:shd w:val="clear" w:color="auto" w:fill="CCFFCC"/>
          </w:tcPr>
          <w:p>
            <w:pPr>
              <w:ind w:left="100"/>
              <w:spacing w:after="0" w:line="130" w:lineRule="exact"/>
              <w:rPr>
                <w:sz w:val="20"/>
                <w:szCs w:val="20"/>
                <w:color w:val="auto"/>
              </w:rPr>
            </w:pPr>
            <w:r>
              <w:rPr>
                <w:rFonts w:ascii="Arial" w:cs="Arial" w:eastAsia="Arial" w:hAnsi="Arial"/>
                <w:sz w:val="14"/>
                <w:szCs w:val="14"/>
                <w:color w:val="auto"/>
              </w:rPr>
              <w:t>Series B-1 Common Stock</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FFCC"/>
          </w:tcPr>
          <w:p>
            <w:pPr>
              <w:spacing w:after="0"/>
              <w:rPr>
                <w:sz w:val="15"/>
                <w:szCs w:val="15"/>
                <w:color w:val="auto"/>
              </w:rPr>
            </w:pPr>
          </w:p>
        </w:tc>
        <w:tc>
          <w:tcPr>
            <w:tcW w:w="2320" w:type="dxa"/>
            <w:vAlign w:val="bottom"/>
            <w:shd w:val="clear" w:color="auto" w:fill="CCFFCC"/>
          </w:tcPr>
          <w:p>
            <w:pPr>
              <w:ind w:left="460"/>
              <w:spacing w:after="0"/>
              <w:rPr>
                <w:sz w:val="20"/>
                <w:szCs w:val="20"/>
                <w:color w:val="auto"/>
              </w:rPr>
            </w:pPr>
            <w:r>
              <w:rPr>
                <w:rFonts w:ascii="Arial" w:cs="Arial" w:eastAsia="Arial" w:hAnsi="Arial"/>
                <w:sz w:val="14"/>
                <w:szCs w:val="14"/>
                <w:color w:val="auto"/>
              </w:rPr>
              <w:t>Services</w:t>
            </w:r>
          </w:p>
        </w:tc>
        <w:tc>
          <w:tcPr>
            <w:tcW w:w="2260" w:type="dxa"/>
            <w:vAlign w:val="bottom"/>
            <w:shd w:val="clear" w:color="auto" w:fill="CCFFCC"/>
          </w:tcPr>
          <w:p>
            <w:pPr>
              <w:ind w:left="100"/>
              <w:spacing w:after="0"/>
              <w:rPr>
                <w:sz w:val="20"/>
                <w:szCs w:val="20"/>
                <w:color w:val="auto"/>
              </w:rPr>
            </w:pPr>
            <w:r>
              <w:rPr>
                <w:rFonts w:ascii="Arial" w:cs="Arial" w:eastAsia="Arial" w:hAnsi="Arial"/>
                <w:sz w:val="14"/>
                <w:szCs w:val="14"/>
                <w:color w:val="auto"/>
              </w:rPr>
              <w:t>(200,000 shares)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2,541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FFCC"/>
            </w:tcBorders>
          </w:tcPr>
          <w:p>
            <w:pPr>
              <w:spacing w:after="0"/>
              <w:rPr>
                <w:sz w:val="12"/>
                <w:szCs w:val="12"/>
                <w:color w:val="auto"/>
              </w:rPr>
            </w:pPr>
          </w:p>
        </w:tc>
        <w:tc>
          <w:tcPr>
            <w:tcW w:w="2320" w:type="dxa"/>
            <w:vAlign w:val="bottom"/>
            <w:tcBorders>
              <w:bottom w:val="single" w:sz="8" w:color="CCFFCC"/>
            </w:tcBorders>
          </w:tcPr>
          <w:p>
            <w:pPr>
              <w:spacing w:after="0"/>
              <w:rPr>
                <w:sz w:val="12"/>
                <w:szCs w:val="12"/>
                <w:color w:val="auto"/>
              </w:rPr>
            </w:pPr>
          </w:p>
        </w:tc>
        <w:tc>
          <w:tcPr>
            <w:tcW w:w="2260" w:type="dxa"/>
            <w:vAlign w:val="bottom"/>
            <w:tcBorders>
              <w:bottom w:val="single" w:sz="8" w:color="CCFFCC"/>
            </w:tcBorders>
          </w:tcPr>
          <w:p>
            <w:pPr>
              <w:spacing w:after="0"/>
              <w:rPr>
                <w:sz w:val="12"/>
                <w:szCs w:val="12"/>
                <w:color w:val="auto"/>
              </w:rPr>
            </w:pPr>
          </w:p>
        </w:tc>
        <w:tc>
          <w:tcPr>
            <w:tcW w:w="94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4,911</w:t>
            </w: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40" w:type="dxa"/>
            <w:vAlign w:val="bottom"/>
            <w:shd w:val="clear" w:color="auto" w:fill="CCFFCC"/>
          </w:tcPr>
          <w:p>
            <w:pPr>
              <w:spacing w:after="0" w:line="142" w:lineRule="exact"/>
              <w:rPr>
                <w:sz w:val="20"/>
                <w:szCs w:val="20"/>
                <w:color w:val="auto"/>
              </w:rPr>
            </w:pPr>
            <w:r>
              <w:rPr>
                <w:rFonts w:ascii="Arial" w:cs="Arial" w:eastAsia="Arial" w:hAnsi="Arial"/>
                <w:sz w:val="11"/>
                <w:szCs w:val="11"/>
                <w:color w:val="auto"/>
              </w:rPr>
              <w:t xml:space="preserve">Impresa Aerospace Holdings, LLC </w:t>
            </w:r>
            <w:r>
              <w:rPr>
                <w:rFonts w:ascii="Arial" w:cs="Arial" w:eastAsia="Arial" w:hAnsi="Arial"/>
                <w:sz w:val="16"/>
                <w:szCs w:val="16"/>
                <w:color w:val="auto"/>
                <w:vertAlign w:val="superscript"/>
              </w:rPr>
              <w:t>(3)</w:t>
            </w:r>
          </w:p>
        </w:tc>
        <w:tc>
          <w:tcPr>
            <w:tcW w:w="2320" w:type="dxa"/>
            <w:vAlign w:val="bottom"/>
            <w:shd w:val="clear" w:color="auto" w:fill="CCFFCC"/>
          </w:tcPr>
          <w:p>
            <w:pPr>
              <w:ind w:left="460"/>
              <w:spacing w:after="0" w:line="142" w:lineRule="exact"/>
              <w:rPr>
                <w:sz w:val="20"/>
                <w:szCs w:val="20"/>
                <w:color w:val="auto"/>
              </w:rPr>
            </w:pPr>
            <w:r>
              <w:rPr>
                <w:rFonts w:ascii="Arial" w:cs="Arial" w:eastAsia="Arial" w:hAnsi="Arial"/>
                <w:sz w:val="14"/>
                <w:szCs w:val="14"/>
                <w:color w:val="auto"/>
                <w:w w:val="96"/>
              </w:rPr>
              <w:t>Aerospace Parts Manufacturer</w:t>
            </w:r>
          </w:p>
        </w:tc>
        <w:tc>
          <w:tcPr>
            <w:tcW w:w="226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Subordinated Debt (4.1% Cash,</w:t>
            </w:r>
          </w:p>
        </w:tc>
        <w:tc>
          <w:tcPr>
            <w:tcW w:w="940" w:type="dxa"/>
            <w:vAlign w:val="bottom"/>
            <w:vMerge w:val="restart"/>
            <w:shd w:val="clear" w:color="auto" w:fill="CCFFCC"/>
          </w:tcPr>
          <w:p>
            <w:pPr>
              <w:jc w:val="right"/>
              <w:ind w:right="148"/>
              <w:spacing w:after="0"/>
              <w:rPr>
                <w:sz w:val="20"/>
                <w:szCs w:val="20"/>
                <w:color w:val="auto"/>
              </w:rPr>
            </w:pPr>
            <w:r>
              <w:rPr>
                <w:rFonts w:ascii="Arial" w:cs="Arial" w:eastAsia="Arial" w:hAnsi="Arial"/>
                <w:sz w:val="14"/>
                <w:szCs w:val="14"/>
                <w:color w:val="auto"/>
              </w:rPr>
              <w:t>13,274</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12,258</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10,064</w:t>
            </w:r>
          </w:p>
        </w:tc>
        <w:tc>
          <w:tcPr>
            <w:tcW w:w="102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5"/>
        </w:trPr>
        <w:tc>
          <w:tcPr>
            <w:tcW w:w="2640" w:type="dxa"/>
            <w:vAlign w:val="bottom"/>
            <w:shd w:val="clear" w:color="auto" w:fill="CCFFCC"/>
          </w:tcPr>
          <w:p>
            <w:pPr>
              <w:spacing w:after="0"/>
              <w:rPr>
                <w:sz w:val="11"/>
                <w:szCs w:val="11"/>
                <w:color w:val="auto"/>
              </w:rPr>
            </w:pPr>
          </w:p>
        </w:tc>
        <w:tc>
          <w:tcPr>
            <w:tcW w:w="2320" w:type="dxa"/>
            <w:vAlign w:val="bottom"/>
            <w:shd w:val="clear" w:color="auto" w:fill="CCFFCC"/>
          </w:tcPr>
          <w:p>
            <w:pPr>
              <w:spacing w:after="0"/>
              <w:rPr>
                <w:sz w:val="11"/>
                <w:szCs w:val="11"/>
                <w:color w:val="auto"/>
              </w:rPr>
            </w:pPr>
          </w:p>
        </w:tc>
        <w:tc>
          <w:tcPr>
            <w:tcW w:w="2260" w:type="dxa"/>
            <w:vAlign w:val="bottom"/>
            <w:shd w:val="clear" w:color="auto" w:fill="CCFFCC"/>
          </w:tcPr>
          <w:p>
            <w:pPr>
              <w:ind w:left="100"/>
              <w:spacing w:after="0" w:line="135" w:lineRule="exact"/>
              <w:rPr>
                <w:sz w:val="20"/>
                <w:szCs w:val="20"/>
                <w:color w:val="auto"/>
              </w:rPr>
            </w:pPr>
            <w:r>
              <w:rPr>
                <w:rFonts w:ascii="Arial" w:cs="Arial" w:eastAsia="Arial" w:hAnsi="Arial"/>
                <w:sz w:val="14"/>
                <w:szCs w:val="14"/>
                <w:color w:val="auto"/>
              </w:rPr>
              <w:t>Due 4/28/16)</w:t>
            </w:r>
          </w:p>
        </w:tc>
        <w:tc>
          <w:tcPr>
            <w:tcW w:w="940" w:type="dxa"/>
            <w:vAlign w:val="bottom"/>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02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320" w:type="dxa"/>
            <w:vAlign w:val="bottom"/>
          </w:tcPr>
          <w:p>
            <w:pPr>
              <w:ind w:left="460"/>
              <w:spacing w:after="0" w:line="130" w:lineRule="exact"/>
              <w:rPr>
                <w:sz w:val="20"/>
                <w:szCs w:val="20"/>
                <w:color w:val="auto"/>
              </w:rPr>
            </w:pPr>
            <w:r>
              <w:rPr>
                <w:rFonts w:ascii="Arial" w:cs="Arial" w:eastAsia="Arial" w:hAnsi="Arial"/>
                <w:sz w:val="14"/>
                <w:szCs w:val="14"/>
                <w:color w:val="auto"/>
                <w:w w:val="96"/>
              </w:rPr>
              <w:t>Aerospace Parts Manufacturer</w:t>
            </w:r>
          </w:p>
        </w:tc>
        <w:tc>
          <w:tcPr>
            <w:tcW w:w="2260" w:type="dxa"/>
            <w:vAlign w:val="bottom"/>
          </w:tcPr>
          <w:p>
            <w:pPr>
              <w:ind w:left="100"/>
              <w:spacing w:after="0" w:line="130" w:lineRule="exact"/>
              <w:rPr>
                <w:sz w:val="20"/>
                <w:szCs w:val="20"/>
                <w:color w:val="auto"/>
              </w:rPr>
            </w:pPr>
            <w:r>
              <w:rPr>
                <w:rFonts w:ascii="Arial" w:cs="Arial" w:eastAsia="Arial" w:hAnsi="Arial"/>
                <w:sz w:val="14"/>
                <w:szCs w:val="14"/>
                <w:color w:val="auto"/>
              </w:rPr>
              <w:t>Class A Membership Units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(1,006,621 units)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32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w w:val="96"/>
              </w:rPr>
              <w:t>Aerospace Parts Manufacturer</w:t>
            </w:r>
          </w:p>
        </w:tc>
        <w:tc>
          <w:tcPr>
            <w:tcW w:w="2260" w:type="dxa"/>
            <w:vAlign w:val="bottom"/>
            <w:shd w:val="clear" w:color="auto" w:fill="CCFFCC"/>
          </w:tcPr>
          <w:p>
            <w:pPr>
              <w:ind w:left="100"/>
              <w:spacing w:after="0" w:line="130" w:lineRule="exact"/>
              <w:rPr>
                <w:sz w:val="20"/>
                <w:szCs w:val="20"/>
                <w:color w:val="auto"/>
              </w:rPr>
            </w:pPr>
            <w:r>
              <w:rPr>
                <w:rFonts w:ascii="Arial" w:cs="Arial" w:eastAsia="Arial" w:hAnsi="Arial"/>
                <w:sz w:val="14"/>
                <w:szCs w:val="14"/>
                <w:color w:val="auto"/>
              </w:rPr>
              <w:t>Class C Membership Units</w:t>
            </w:r>
          </w:p>
        </w:tc>
        <w:tc>
          <w:tcPr>
            <w:tcW w:w="9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320" w:type="dxa"/>
            <w:vAlign w:val="bottom"/>
            <w:shd w:val="clear" w:color="auto" w:fill="CCFFCC"/>
          </w:tcPr>
          <w:p>
            <w:pPr>
              <w:spacing w:after="0"/>
              <w:rPr>
                <w:sz w:val="14"/>
                <w:szCs w:val="14"/>
                <w:color w:val="auto"/>
              </w:rPr>
            </w:pPr>
          </w:p>
        </w:tc>
        <w:tc>
          <w:tcPr>
            <w:tcW w:w="2260" w:type="dxa"/>
            <w:vAlign w:val="bottom"/>
            <w:shd w:val="clear" w:color="auto" w:fill="CCFFCC"/>
          </w:tcPr>
          <w:p>
            <w:pPr>
              <w:ind w:left="100"/>
              <w:spacing w:after="0"/>
              <w:rPr>
                <w:sz w:val="20"/>
                <w:szCs w:val="20"/>
                <w:color w:val="auto"/>
              </w:rPr>
            </w:pPr>
            <w:r>
              <w:rPr>
                <w:rFonts w:ascii="Arial" w:cs="Arial" w:eastAsia="Arial" w:hAnsi="Arial"/>
                <w:sz w:val="14"/>
                <w:szCs w:val="14"/>
                <w:color w:val="auto"/>
              </w:rPr>
              <w:t>(362,416 units)</w:t>
            </w:r>
          </w:p>
        </w:tc>
        <w:tc>
          <w:tcPr>
            <w:tcW w:w="94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320" w:type="dxa"/>
            <w:vAlign w:val="bottom"/>
          </w:tcPr>
          <w:p>
            <w:pPr>
              <w:ind w:left="460"/>
              <w:spacing w:after="0" w:line="130" w:lineRule="exact"/>
              <w:rPr>
                <w:sz w:val="20"/>
                <w:szCs w:val="20"/>
                <w:color w:val="auto"/>
              </w:rPr>
            </w:pPr>
            <w:r>
              <w:rPr>
                <w:rFonts w:ascii="Arial" w:cs="Arial" w:eastAsia="Arial" w:hAnsi="Arial"/>
                <w:sz w:val="14"/>
                <w:szCs w:val="14"/>
                <w:color w:val="auto"/>
                <w:w w:val="96"/>
              </w:rPr>
              <w:t>Aerospace Parts Manufacturer</w:t>
            </w:r>
          </w:p>
        </w:tc>
        <w:tc>
          <w:tcPr>
            <w:tcW w:w="2260" w:type="dxa"/>
            <w:vAlign w:val="bottom"/>
          </w:tcPr>
          <w:p>
            <w:pPr>
              <w:ind w:left="100"/>
              <w:spacing w:after="0" w:line="130" w:lineRule="exact"/>
              <w:rPr>
                <w:sz w:val="20"/>
                <w:szCs w:val="20"/>
                <w:color w:val="auto"/>
              </w:rPr>
            </w:pPr>
            <w:r>
              <w:rPr>
                <w:rFonts w:ascii="Arial" w:cs="Arial" w:eastAsia="Arial" w:hAnsi="Arial"/>
                <w:sz w:val="14"/>
                <w:szCs w:val="14"/>
                <w:color w:val="auto"/>
              </w:rPr>
              <w:t>Class F Membership Units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(604,504 units)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604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40" w:type="dxa"/>
            <w:vAlign w:val="bottom"/>
            <w:tcBorders>
              <w:top w:val="single" w:sz="8" w:color="CCFFCC"/>
            </w:tcBorders>
            <w:shd w:val="clear" w:color="auto" w:fill="CCFFCC"/>
          </w:tcPr>
          <w:p>
            <w:pPr>
              <w:spacing w:after="0"/>
              <w:rPr>
                <w:sz w:val="12"/>
                <w:szCs w:val="12"/>
                <w:color w:val="auto"/>
              </w:rPr>
            </w:pPr>
          </w:p>
        </w:tc>
        <w:tc>
          <w:tcPr>
            <w:tcW w:w="2320" w:type="dxa"/>
            <w:vAlign w:val="bottom"/>
            <w:tcBorders>
              <w:top w:val="single" w:sz="8" w:color="CCFFCC"/>
            </w:tcBorders>
            <w:shd w:val="clear" w:color="auto" w:fill="CCFFCC"/>
          </w:tcPr>
          <w:p>
            <w:pPr>
              <w:spacing w:after="0"/>
              <w:rPr>
                <w:sz w:val="12"/>
                <w:szCs w:val="12"/>
                <w:color w:val="auto"/>
              </w:rPr>
            </w:pPr>
          </w:p>
        </w:tc>
        <w:tc>
          <w:tcPr>
            <w:tcW w:w="22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14,124</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10,064</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Interest Rate /</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Principal</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19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continue"/>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40" w:type="dxa"/>
            <w:vAlign w:val="bottom"/>
            <w:gridSpan w:val="2"/>
          </w:tcPr>
          <w:p>
            <w:pPr>
              <w:ind w:left="64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3"/>
        </w:trPr>
        <w:tc>
          <w:tcPr>
            <w:tcW w:w="298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J&amp;J Produce Holdings, Inc.</w:t>
            </w:r>
          </w:p>
        </w:tc>
        <w:tc>
          <w:tcPr>
            <w:tcW w:w="12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Produce Distribution</w:t>
            </w:r>
          </w:p>
        </w:tc>
        <w:tc>
          <w:tcPr>
            <w:tcW w:w="12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w w:val="93"/>
              </w:rPr>
              <w:t>Subordinated Debt (13% Cash,</w:t>
            </w:r>
          </w:p>
        </w:tc>
        <w:tc>
          <w:tcPr>
            <w:tcW w:w="100" w:type="dxa"/>
            <w:vAlign w:val="bottom"/>
            <w:tcBorders>
              <w:top w:val="single" w:sz="8" w:color="CCFFCC"/>
            </w:tcBorders>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Due 7/16/18)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5,182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5,182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5,182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J&amp;J Produce Holdings, Inc.</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Produce Distribution</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w w:val="99"/>
              </w:rPr>
              <w:t>Common Stock (8,182 Shares)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2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J&amp;J Produce Holdings, Inc.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Produce Distribution</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Common Stock Warrants</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(4,506 shares)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515</w:t>
            </w:r>
          </w:p>
        </w:tc>
        <w:tc>
          <w:tcPr>
            <w:tcW w:w="200" w:type="dxa"/>
            <w:vAlign w:val="bottom"/>
            <w:shd w:val="clear" w:color="auto" w:fill="CCFFCC"/>
          </w:tcPr>
          <w:p>
            <w:pPr>
              <w:spacing w:after="0"/>
              <w:rPr>
                <w:sz w:val="15"/>
                <w:szCs w:val="15"/>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6,631</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LJS Partners, LLC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QSR Franchisor</w:t>
            </w:r>
          </w:p>
        </w:tc>
        <w:tc>
          <w:tcPr>
            <w:tcW w:w="194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Common Stock (1,500,000</w:t>
            </w: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shares)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14,622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14,622</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MJC Holdings, LLC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Specialty Clothing</w:t>
            </w:r>
          </w:p>
        </w:tc>
        <w:tc>
          <w:tcPr>
            <w:tcW w:w="194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Subordinated Debt (14%, 2%</w:t>
            </w: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PIK at company's option, Due</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4"/>
                <w:szCs w:val="14"/>
                <w:color w:val="auto"/>
              </w:rPr>
              <w:t>1/16/18)</w:t>
            </w:r>
          </w:p>
        </w:tc>
        <w:tc>
          <w:tcPr>
            <w:tcW w:w="10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7,500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7,500</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MJC Holdings,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Specialty Clothing</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Series A Preferred Units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(2,000,000 units)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5,224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9,500</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12,724</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4.7</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0" w:lineRule="exact"/>
              <w:rPr>
                <w:sz w:val="20"/>
                <w:szCs w:val="20"/>
                <w:color w:val="auto"/>
              </w:rPr>
            </w:pPr>
            <w:r>
              <w:rPr>
                <w:rFonts w:ascii="Arial" w:cs="Arial" w:eastAsia="Arial" w:hAnsi="Arial"/>
                <w:sz w:val="12"/>
                <w:szCs w:val="12"/>
                <w:color w:val="auto"/>
              </w:rPr>
              <w:t>MMI Holdings, LLC</w:t>
            </w:r>
          </w:p>
        </w:tc>
        <w:tc>
          <w:tcPr>
            <w:tcW w:w="1960" w:type="dxa"/>
            <w:vAlign w:val="bottom"/>
            <w:gridSpan w:val="2"/>
          </w:tcPr>
          <w:p>
            <w:pPr>
              <w:spacing w:after="0" w:line="110" w:lineRule="exact"/>
              <w:rPr>
                <w:sz w:val="20"/>
                <w:szCs w:val="20"/>
                <w:color w:val="auto"/>
              </w:rPr>
            </w:pPr>
            <w:r>
              <w:rPr>
                <w:rFonts w:ascii="Arial" w:cs="Arial" w:eastAsia="Arial" w:hAnsi="Arial"/>
                <w:sz w:val="12"/>
                <w:szCs w:val="12"/>
                <w:color w:val="auto"/>
              </w:rPr>
              <w:t>Medical Device Distributor</w:t>
            </w:r>
          </w:p>
        </w:tc>
        <w:tc>
          <w:tcPr>
            <w:tcW w:w="1940" w:type="dxa"/>
            <w:vAlign w:val="bottom"/>
            <w:gridSpan w:val="2"/>
          </w:tcPr>
          <w:p>
            <w:pPr>
              <w:spacing w:after="0" w:line="110" w:lineRule="exact"/>
              <w:rPr>
                <w:sz w:val="20"/>
                <w:szCs w:val="20"/>
                <w:color w:val="auto"/>
              </w:rPr>
            </w:pPr>
            <w:r>
              <w:rPr>
                <w:rFonts w:ascii="Arial" w:cs="Arial" w:eastAsia="Arial" w:hAnsi="Arial"/>
                <w:sz w:val="12"/>
                <w:szCs w:val="12"/>
                <w:color w:val="auto"/>
              </w:rPr>
              <w:t>Senior Secured Debt (12%</w:t>
            </w: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Cash, Due 10/17/14)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2,600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MMI Holdings,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Medical Device Distributor</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Subordinated Debt (6% Cash,</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Due 8/15/15)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388</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FFCC"/>
          </w:tcPr>
          <w:p>
            <w:pPr>
              <w:spacing w:after="0"/>
              <w:rPr>
                <w:sz w:val="14"/>
                <w:szCs w:val="14"/>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MMI Holdings, LLC</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Medical Device Distributor</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Preferred Units (1,000 units)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MMI Holdings, LLC</w:t>
            </w: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Medical Device Distributor</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Units (45 units)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CFFCC"/>
          </w:tcPr>
          <w:p>
            <w:pPr>
              <w:spacing w:after="0"/>
              <w:rPr>
                <w:sz w:val="14"/>
                <w:szCs w:val="14"/>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4,040</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4,325</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MTI Holdings, LLC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Retail Display &amp; Security</w:t>
            </w:r>
          </w:p>
        </w:tc>
        <w:tc>
          <w:tcPr>
            <w:tcW w:w="194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Subordinated Debt (12% Cash,</w:t>
            </w: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Services</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Due 11/1/18)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MTI Holdings,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Retail Display &amp; Security</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Capital Units (2,000,000 units)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2,823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10,000</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10,823</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4.1</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0" w:lineRule="exact"/>
              <w:rPr>
                <w:sz w:val="20"/>
                <w:szCs w:val="20"/>
                <w:color w:val="auto"/>
              </w:rPr>
            </w:pPr>
            <w:r>
              <w:rPr>
                <w:rFonts w:ascii="Arial" w:cs="Arial" w:eastAsia="Arial" w:hAnsi="Arial"/>
                <w:sz w:val="12"/>
                <w:szCs w:val="12"/>
                <w:color w:val="auto"/>
              </w:rPr>
              <w:t>Source Capital ABUTEC, LLC</w:t>
            </w:r>
          </w:p>
        </w:tc>
        <w:tc>
          <w:tcPr>
            <w:tcW w:w="1960" w:type="dxa"/>
            <w:vAlign w:val="bottom"/>
            <w:gridSpan w:val="2"/>
          </w:tcPr>
          <w:p>
            <w:pPr>
              <w:spacing w:after="0" w:line="110" w:lineRule="exact"/>
              <w:rPr>
                <w:sz w:val="20"/>
                <w:szCs w:val="20"/>
                <w:color w:val="auto"/>
              </w:rPr>
            </w:pPr>
            <w:r>
              <w:rPr>
                <w:rFonts w:ascii="Arial" w:cs="Arial" w:eastAsia="Arial" w:hAnsi="Arial"/>
                <w:sz w:val="12"/>
                <w:szCs w:val="12"/>
                <w:color w:val="auto"/>
              </w:rPr>
              <w:t>Environmental Services</w:t>
            </w:r>
          </w:p>
        </w:tc>
        <w:tc>
          <w:tcPr>
            <w:tcW w:w="1940" w:type="dxa"/>
            <w:vAlign w:val="bottom"/>
            <w:gridSpan w:val="2"/>
          </w:tcPr>
          <w:p>
            <w:pPr>
              <w:spacing w:after="0" w:line="110" w:lineRule="exact"/>
              <w:rPr>
                <w:sz w:val="20"/>
                <w:szCs w:val="20"/>
                <w:color w:val="auto"/>
              </w:rPr>
            </w:pPr>
            <w:r>
              <w:rPr>
                <w:rFonts w:ascii="Arial" w:cs="Arial" w:eastAsia="Arial" w:hAnsi="Arial"/>
                <w:sz w:val="12"/>
                <w:szCs w:val="12"/>
                <w:color w:val="auto"/>
              </w:rPr>
              <w:t>Senior Secured Debt (12%</w:t>
            </w: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Products</w:t>
            </w:r>
          </w:p>
        </w:tc>
        <w:tc>
          <w:tcPr>
            <w:tcW w:w="1940" w:type="dxa"/>
            <w:vAlign w:val="bottom"/>
            <w:gridSpan w:val="2"/>
          </w:tcPr>
          <w:p>
            <w:pPr>
              <w:spacing w:after="0"/>
              <w:rPr>
                <w:sz w:val="20"/>
                <w:szCs w:val="20"/>
                <w:color w:val="auto"/>
              </w:rPr>
            </w:pPr>
            <w:r>
              <w:rPr>
                <w:rFonts w:ascii="Arial" w:cs="Arial" w:eastAsia="Arial" w:hAnsi="Arial"/>
                <w:sz w:val="14"/>
                <w:szCs w:val="14"/>
                <w:color w:val="auto"/>
              </w:rPr>
              <w:t>Cash, 3% PIK, Due 12/28/17)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5,125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5,125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5,125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Source Capital ABUTEC,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Environmental Services</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Preferred Membership Units</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Products</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(15.5% fully diluted)</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1,240</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FFCC"/>
          </w:tcPr>
          <w:p>
            <w:pPr>
              <w:spacing w:after="0"/>
              <w:rPr>
                <w:sz w:val="15"/>
                <w:szCs w:val="15"/>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6,365</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5,185</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Source Capital Penray, LLC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Automotive Chemicals &amp;</w:t>
            </w:r>
          </w:p>
        </w:tc>
        <w:tc>
          <w:tcPr>
            <w:tcW w:w="194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Subordinated Debt (13% Cash,</w:t>
            </w: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Lubricants</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Due 2/17/17)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2,500</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Penray,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Automotive Chemicals &amp;</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Membership Units (11.3%</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Lubricants</w:t>
            </w:r>
          </w:p>
        </w:tc>
        <w:tc>
          <w:tcPr>
            <w:tcW w:w="1940" w:type="dxa"/>
            <w:vAlign w:val="bottom"/>
            <w:gridSpan w:val="2"/>
          </w:tcPr>
          <w:p>
            <w:pPr>
              <w:spacing w:after="0"/>
              <w:rPr>
                <w:sz w:val="20"/>
                <w:szCs w:val="20"/>
                <w:color w:val="auto"/>
              </w:rPr>
            </w:pPr>
            <w:r>
              <w:rPr>
                <w:rFonts w:ascii="Arial" w:cs="Arial" w:eastAsia="Arial" w:hAnsi="Arial"/>
                <w:sz w:val="14"/>
                <w:szCs w:val="14"/>
                <w:color w:val="auto"/>
              </w:rPr>
              <w:t>fully diluted)</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750</w:t>
            </w:r>
          </w:p>
        </w:tc>
        <w:tc>
          <w:tcPr>
            <w:tcW w:w="920" w:type="dxa"/>
            <w:vAlign w:val="bottom"/>
          </w:tcPr>
          <w:p>
            <w:pPr>
              <w:jc w:val="right"/>
              <w:spacing w:after="0"/>
              <w:rPr>
                <w:sz w:val="20"/>
                <w:szCs w:val="20"/>
                <w:color w:val="auto"/>
              </w:rPr>
            </w:pPr>
            <w:r>
              <w:rPr>
                <w:rFonts w:ascii="Arial" w:cs="Arial" w:eastAsia="Arial" w:hAnsi="Arial"/>
                <w:sz w:val="14"/>
                <w:szCs w:val="14"/>
                <w:color w:val="auto"/>
              </w:rPr>
              <w:t>810</w:t>
            </w:r>
          </w:p>
        </w:tc>
        <w:tc>
          <w:tcPr>
            <w:tcW w:w="2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Source Capital Penray,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Automotive Chemicals &amp;</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Common Stock Warrants</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Lubricants</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(6.65% fully diluted)</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576</w:t>
            </w:r>
          </w:p>
        </w:tc>
        <w:tc>
          <w:tcPr>
            <w:tcW w:w="200" w:type="dxa"/>
            <w:vAlign w:val="bottom"/>
            <w:shd w:val="clear" w:color="auto" w:fill="CCFFCC"/>
          </w:tcPr>
          <w:p>
            <w:pPr>
              <w:spacing w:after="0"/>
              <w:rPr>
                <w:sz w:val="15"/>
                <w:szCs w:val="15"/>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3,886</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Source Capital SSCR, LLC</w:t>
            </w:r>
          </w:p>
        </w:tc>
        <w:tc>
          <w:tcPr>
            <w:tcW w:w="196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Personal Product Manufacturer</w:t>
            </w:r>
          </w:p>
        </w:tc>
        <w:tc>
          <w:tcPr>
            <w:tcW w:w="1940" w:type="dxa"/>
            <w:vAlign w:val="bottom"/>
            <w:gridSpan w:val="2"/>
            <w:shd w:val="clear" w:color="auto" w:fill="CCFFCC"/>
          </w:tcPr>
          <w:p>
            <w:pPr>
              <w:spacing w:after="0" w:line="110" w:lineRule="exact"/>
              <w:rPr>
                <w:sz w:val="20"/>
                <w:szCs w:val="20"/>
                <w:color w:val="auto"/>
              </w:rPr>
            </w:pPr>
            <w:r>
              <w:rPr>
                <w:rFonts w:ascii="Arial" w:cs="Arial" w:eastAsia="Arial" w:hAnsi="Arial"/>
                <w:sz w:val="12"/>
                <w:szCs w:val="12"/>
                <w:color w:val="auto"/>
              </w:rPr>
              <w:t>Senior Secured Term Debt</w:t>
            </w: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(14% Cash, Due 7/6/17)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12,115</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SSCR,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Personal Product Manufacturer</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Senior Secured Term Debt</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(14% Cash, 5% PIK, Due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3/28/14)</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2,079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2,079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1,958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Source Capital SSCR,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Personal Product Manufacturer</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Preferred Membership Units</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(14,718 units)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1,720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SSCR,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Personal Product Manufacturer</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Membership Unit Warrants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(0.987% fully diluted)</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18,799</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14,073</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5.2</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 xml:space="preserve">Source Recycling, LLC </w:t>
            </w:r>
            <w:r>
              <w:rPr>
                <w:rFonts w:ascii="Arial" w:cs="Arial" w:eastAsia="Arial" w:hAnsi="Arial"/>
                <w:sz w:val="16"/>
                <w:szCs w:val="16"/>
                <w:color w:val="auto"/>
                <w:vertAlign w:val="superscript"/>
              </w:rPr>
              <w:t>(2)</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Metal Recycler</w:t>
            </w:r>
          </w:p>
        </w:tc>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w w:val="99"/>
              </w:rPr>
              <w:t>Subordinated Debt (13% Cash,</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3,950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spacing w:after="0" w:line="135" w:lineRule="exact"/>
              <w:rPr>
                <w:sz w:val="20"/>
                <w:szCs w:val="20"/>
                <w:color w:val="auto"/>
              </w:rPr>
            </w:pPr>
            <w:r>
              <w:rPr>
                <w:rFonts w:ascii="Arial" w:cs="Arial" w:eastAsia="Arial" w:hAnsi="Arial"/>
                <w:sz w:val="14"/>
                <w:szCs w:val="14"/>
                <w:color w:val="auto"/>
              </w:rPr>
              <w:t>Due 9/2/16)</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Source Recycling, LLC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Metal Recycler</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Membership Units (68,658</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units)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Source Recycling, LLC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Metal Recycler</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Membership Unit Warrants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(1% fully diluted)</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6,590</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3,950</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Sparus Holdings, Inc.</w:t>
            </w:r>
            <w:r>
              <w:rPr>
                <w:rFonts w:ascii="Arial" w:cs="Arial" w:eastAsia="Arial" w:hAnsi="Arial"/>
                <w:sz w:val="16"/>
                <w:szCs w:val="16"/>
                <w:color w:val="auto"/>
                <w:vertAlign w:val="superscript"/>
              </w:rPr>
              <w:t>(1)</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Energy Services</w:t>
            </w:r>
          </w:p>
        </w:tc>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w w:val="99"/>
              </w:rPr>
              <w:t>Subordinated Debt (12% Cash,</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7,000</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7,000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spacing w:after="0" w:line="135" w:lineRule="exact"/>
              <w:rPr>
                <w:sz w:val="20"/>
                <w:szCs w:val="20"/>
                <w:color w:val="auto"/>
              </w:rPr>
            </w:pPr>
            <w:r>
              <w:rPr>
                <w:rFonts w:ascii="Arial" w:cs="Arial" w:eastAsia="Arial" w:hAnsi="Arial"/>
                <w:sz w:val="14"/>
                <w:szCs w:val="14"/>
                <w:color w:val="auto"/>
              </w:rPr>
              <w:t>Due 3/21/16)</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Sparus Holdings, Inc.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Energy Services</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w w:val="97"/>
              </w:rPr>
              <w:t>Series B Preferred Stock (5,703</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shares)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1,173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1,479</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Sparus Holdings, Inc.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Energy Services</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Warrants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(3,491 shares)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8,173</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8,783</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3.3</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 xml:space="preserve">STX Healthcare Management Services, Inc. </w:t>
            </w:r>
            <w:r>
              <w:rPr>
                <w:rFonts w:ascii="Arial" w:cs="Arial" w:eastAsia="Arial" w:hAnsi="Arial"/>
                <w:sz w:val="16"/>
                <w:szCs w:val="16"/>
                <w:color w:val="auto"/>
                <w:vertAlign w:val="superscript"/>
              </w:rPr>
              <w:t>(1)</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Dental Practice Management</w:t>
            </w:r>
          </w:p>
        </w:tc>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w w:val="99"/>
              </w:rPr>
              <w:t>Subordinated Debt (14% Cash,</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7,425</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7,425</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7,425</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spacing w:after="0" w:line="135" w:lineRule="exact"/>
              <w:rPr>
                <w:sz w:val="20"/>
                <w:szCs w:val="20"/>
                <w:color w:val="auto"/>
              </w:rPr>
            </w:pPr>
            <w:r>
              <w:rPr>
                <w:rFonts w:ascii="Arial" w:cs="Arial" w:eastAsia="Arial" w:hAnsi="Arial"/>
                <w:sz w:val="14"/>
                <w:szCs w:val="14"/>
                <w:color w:val="auto"/>
              </w:rPr>
              <w:t>Due 7/31/15)</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STX Healthcare Management Services, Inc.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Dental Practice Management</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Common Stock (1,200,000</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shares)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1,200</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942</w:t>
            </w:r>
          </w:p>
        </w:tc>
        <w:tc>
          <w:tcPr>
            <w:tcW w:w="200" w:type="dxa"/>
            <w:vAlign w:val="bottom"/>
            <w:shd w:val="clear" w:color="auto" w:fill="CCFFCC"/>
          </w:tcPr>
          <w:p>
            <w:pPr>
              <w:spacing w:after="0"/>
              <w:rPr>
                <w:sz w:val="14"/>
                <w:szCs w:val="14"/>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STX Healthcare Management Services, Inc.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Dental Practice Management</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Warrants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(1,154,254 shares)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218</w:t>
            </w:r>
          </w:p>
        </w:tc>
        <w:tc>
          <w:tcPr>
            <w:tcW w:w="920" w:type="dxa"/>
            <w:vAlign w:val="bottom"/>
          </w:tcPr>
          <w:p>
            <w:pPr>
              <w:jc w:val="right"/>
              <w:spacing w:after="0"/>
              <w:rPr>
                <w:sz w:val="20"/>
                <w:szCs w:val="20"/>
                <w:color w:val="auto"/>
              </w:rPr>
            </w:pPr>
            <w:r>
              <w:rPr>
                <w:rFonts w:ascii="Arial" w:cs="Arial" w:eastAsia="Arial" w:hAnsi="Arial"/>
                <w:sz w:val="14"/>
                <w:szCs w:val="14"/>
                <w:color w:val="auto"/>
              </w:rPr>
              <w:t>906</w:t>
            </w:r>
          </w:p>
        </w:tc>
        <w:tc>
          <w:tcPr>
            <w:tcW w:w="2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8,843</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9,273</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3.5</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Take 5 Oil Change, LLC</w:t>
            </w:r>
          </w:p>
        </w:tc>
        <w:tc>
          <w:tcPr>
            <w:tcW w:w="196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Quick Lube Services</w:t>
            </w:r>
          </w:p>
        </w:tc>
        <w:tc>
          <w:tcPr>
            <w:tcW w:w="19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w w:val="97"/>
              </w:rPr>
              <w:t>Common Stock (10,692 shares)</w:t>
            </w:r>
          </w:p>
        </w:tc>
        <w:tc>
          <w:tcPr>
            <w:tcW w:w="1120" w:type="dxa"/>
            <w:vAlign w:val="bottom"/>
            <w:tcBorders>
              <w:bottom w:val="single" w:sz="8" w:color="CCFFCC"/>
            </w:tcBorders>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w:t>
            </w:r>
          </w:p>
        </w:tc>
        <w:tc>
          <w:tcPr>
            <w:tcW w:w="220" w:type="dxa"/>
            <w:vAlign w:val="bottom"/>
            <w:tcBorders>
              <w:bottom w:val="single" w:sz="8" w:color="CCFFC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1,604</w:t>
            </w:r>
          </w:p>
        </w:tc>
        <w:tc>
          <w:tcPr>
            <w:tcW w:w="200" w:type="dxa"/>
            <w:vAlign w:val="bottom"/>
            <w:tcBorders>
              <w:bottom w:val="single" w:sz="8" w:color="CCFFC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1,069</w:t>
            </w:r>
          </w:p>
        </w:tc>
        <w:tc>
          <w:tcPr>
            <w:tcW w:w="220" w:type="dxa"/>
            <w:vAlign w:val="bottom"/>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1,604</w:t>
            </w:r>
          </w:p>
        </w:tc>
        <w:tc>
          <w:tcPr>
            <w:tcW w:w="200" w:type="dxa"/>
            <w:vAlign w:val="bottom"/>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0.6</w:t>
            </w:r>
          </w:p>
        </w:tc>
        <w:tc>
          <w:tcPr>
            <w:tcW w:w="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0" w:lineRule="exact"/>
              <w:rPr>
                <w:sz w:val="20"/>
                <w:szCs w:val="20"/>
                <w:color w:val="auto"/>
              </w:rPr>
            </w:pPr>
            <w:r>
              <w:rPr>
                <w:rFonts w:ascii="Arial" w:cs="Arial" w:eastAsia="Arial" w:hAnsi="Arial"/>
                <w:sz w:val="12"/>
                <w:szCs w:val="12"/>
                <w:color w:val="auto"/>
              </w:rPr>
              <w:t>TCE Holdings, Inc.</w:t>
            </w:r>
          </w:p>
        </w:tc>
        <w:tc>
          <w:tcPr>
            <w:tcW w:w="1960" w:type="dxa"/>
            <w:vAlign w:val="bottom"/>
            <w:gridSpan w:val="2"/>
          </w:tcPr>
          <w:p>
            <w:pPr>
              <w:spacing w:after="0" w:line="110" w:lineRule="exact"/>
              <w:rPr>
                <w:sz w:val="20"/>
                <w:szCs w:val="20"/>
                <w:color w:val="auto"/>
              </w:rPr>
            </w:pPr>
            <w:r>
              <w:rPr>
                <w:rFonts w:ascii="Arial" w:cs="Arial" w:eastAsia="Arial" w:hAnsi="Arial"/>
                <w:sz w:val="12"/>
                <w:szCs w:val="12"/>
                <w:color w:val="auto"/>
              </w:rPr>
              <w:t>Oil &amp; Gas Services</w:t>
            </w:r>
          </w:p>
        </w:tc>
        <w:tc>
          <w:tcPr>
            <w:tcW w:w="1940" w:type="dxa"/>
            <w:vAlign w:val="bottom"/>
            <w:gridSpan w:val="2"/>
          </w:tcPr>
          <w:p>
            <w:pPr>
              <w:spacing w:after="0" w:line="110" w:lineRule="exact"/>
              <w:rPr>
                <w:sz w:val="20"/>
                <w:szCs w:val="20"/>
                <w:color w:val="auto"/>
              </w:rPr>
            </w:pPr>
            <w:r>
              <w:rPr>
                <w:rFonts w:ascii="Arial" w:cs="Arial" w:eastAsia="Arial" w:hAnsi="Arial"/>
                <w:sz w:val="12"/>
                <w:szCs w:val="12"/>
                <w:color w:val="auto"/>
              </w:rPr>
              <w:t>Subordinated Debt (12% Cash,</w:t>
            </w: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2% PIK, Due 11/22/18)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12,088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12,088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12,088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TCE Holdings, Inc.</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Oil &amp; Gas Services</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w w:val="99"/>
              </w:rPr>
              <w:t>Subordinated Debt (12% Cash,</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2% PIK, Due 2/1/19)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9,633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9,633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9,633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TCE Holdings, Inc.</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Oil &amp; Gas Services</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Class A Common Stock (3,600</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3,600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3,600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8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25,321</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25,321</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9.4</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1"/>
                <w:szCs w:val="11"/>
                <w:color w:val="auto"/>
              </w:rPr>
              <w:t>V12 Holdings</w:t>
            </w:r>
            <w:r>
              <w:rPr>
                <w:rFonts w:ascii="Arial" w:cs="Arial" w:eastAsia="Arial" w:hAnsi="Arial"/>
                <w:sz w:val="16"/>
                <w:szCs w:val="16"/>
                <w:color w:val="auto"/>
                <w:vertAlign w:val="superscript"/>
              </w:rPr>
              <w:t>(1)</w:t>
            </w:r>
          </w:p>
        </w:tc>
        <w:tc>
          <w:tcPr>
            <w:tcW w:w="1960" w:type="dxa"/>
            <w:vAlign w:val="bottom"/>
            <w:gridSpan w:val="2"/>
          </w:tcPr>
          <w:p>
            <w:pPr>
              <w:spacing w:after="0" w:line="142" w:lineRule="exact"/>
              <w:rPr>
                <w:sz w:val="20"/>
                <w:szCs w:val="20"/>
                <w:color w:val="auto"/>
              </w:rPr>
            </w:pPr>
            <w:r>
              <w:rPr>
                <w:rFonts w:ascii="Arial" w:cs="Arial" w:eastAsia="Arial" w:hAnsi="Arial"/>
                <w:sz w:val="14"/>
                <w:szCs w:val="14"/>
                <w:color w:val="auto"/>
              </w:rPr>
              <w:t>Data Processing &amp; Digital</w:t>
            </w:r>
          </w:p>
        </w:tc>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rPr>
              <w:t>Bridge Note (0% Cash, Due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663</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361</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663</w:t>
            </w:r>
          </w:p>
        </w:tc>
        <w:tc>
          <w:tcPr>
            <w:tcW w:w="20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4"/>
                <w:szCs w:val="14"/>
                <w:color w:val="auto"/>
              </w:rPr>
              <w:t>Marketing</w:t>
            </w:r>
          </w:p>
        </w:tc>
        <w:tc>
          <w:tcPr>
            <w:tcW w:w="1840" w:type="dxa"/>
            <w:vAlign w:val="bottom"/>
          </w:tcPr>
          <w:p>
            <w:pPr>
              <w:spacing w:after="0" w:line="135" w:lineRule="exact"/>
              <w:rPr>
                <w:sz w:val="20"/>
                <w:szCs w:val="20"/>
                <w:color w:val="auto"/>
              </w:rPr>
            </w:pPr>
            <w:r>
              <w:rPr>
                <w:rFonts w:ascii="Arial" w:cs="Arial" w:eastAsia="Arial" w:hAnsi="Arial"/>
                <w:sz w:val="14"/>
                <w:szCs w:val="14"/>
                <w:color w:val="auto"/>
              </w:rPr>
              <w:t>12/31/14)</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Data Processing &amp; Digital</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2 Note (0% Cash, Due</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81</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44</w:t>
            </w:r>
          </w:p>
        </w:tc>
        <w:tc>
          <w:tcPr>
            <w:tcW w:w="92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FFCC"/>
          </w:tcPr>
          <w:p>
            <w:pPr>
              <w:spacing w:after="0"/>
              <w:rPr>
                <w:sz w:val="14"/>
                <w:szCs w:val="14"/>
                <w:color w:val="auto"/>
              </w:rPr>
            </w:pP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960" w:type="dxa"/>
            <w:vAlign w:val="bottom"/>
            <w:gridSpan w:val="2"/>
            <w:shd w:val="clear" w:color="auto" w:fill="CCFFCC"/>
          </w:tcPr>
          <w:p>
            <w:pPr>
              <w:spacing w:after="0" w:line="135" w:lineRule="exact"/>
              <w:rPr>
                <w:sz w:val="20"/>
                <w:szCs w:val="20"/>
                <w:color w:val="auto"/>
              </w:rPr>
            </w:pPr>
            <w:r>
              <w:rPr>
                <w:rFonts w:ascii="Arial" w:cs="Arial" w:eastAsia="Arial" w:hAnsi="Arial"/>
                <w:sz w:val="14"/>
                <w:szCs w:val="14"/>
                <w:color w:val="auto"/>
              </w:rPr>
              <w:t>Marketing</w:t>
            </w: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4"/>
                <w:szCs w:val="14"/>
                <w:color w:val="auto"/>
              </w:rPr>
              <w:t>12/31/14)</w:t>
            </w:r>
          </w:p>
        </w:tc>
        <w:tc>
          <w:tcPr>
            <w:tcW w:w="100" w:type="dxa"/>
            <w:vAlign w:val="bottom"/>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920" w:type="dxa"/>
            <w:vAlign w:val="bottom"/>
            <w:vMerge w:val="continue"/>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1960" w:type="dxa"/>
            <w:vAlign w:val="bottom"/>
            <w:gridSpan w:val="2"/>
          </w:tcPr>
          <w:p>
            <w:pPr>
              <w:spacing w:after="0"/>
              <w:rPr>
                <w:sz w:val="20"/>
                <w:szCs w:val="20"/>
                <w:color w:val="auto"/>
              </w:rPr>
            </w:pPr>
            <w:r>
              <w:rPr>
                <w:rFonts w:ascii="Arial" w:cs="Arial" w:eastAsia="Arial" w:hAnsi="Arial"/>
                <w:sz w:val="14"/>
                <w:szCs w:val="14"/>
                <w:color w:val="auto"/>
              </w:rPr>
              <w:t>Data Processing &amp; Digital</w:t>
            </w:r>
          </w:p>
        </w:tc>
        <w:tc>
          <w:tcPr>
            <w:tcW w:w="1940" w:type="dxa"/>
            <w:vAlign w:val="bottom"/>
            <w:gridSpan w:val="2"/>
          </w:tcPr>
          <w:p>
            <w:pPr>
              <w:spacing w:after="0"/>
              <w:rPr>
                <w:sz w:val="20"/>
                <w:szCs w:val="20"/>
                <w:color w:val="auto"/>
              </w:rPr>
            </w:pPr>
            <w:r>
              <w:rPr>
                <w:rFonts w:ascii="Arial" w:cs="Arial" w:eastAsia="Arial" w:hAnsi="Arial"/>
                <w:sz w:val="14"/>
                <w:szCs w:val="14"/>
                <w:color w:val="auto"/>
              </w:rPr>
              <w:t>Senior Subordinated Note (0%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3,563</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2,369</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3,598</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4"/>
                <w:szCs w:val="14"/>
                <w:color w:val="auto"/>
              </w:rPr>
              <w:t>Marketing</w:t>
            </w:r>
          </w:p>
        </w:tc>
        <w:tc>
          <w:tcPr>
            <w:tcW w:w="1940" w:type="dxa"/>
            <w:vAlign w:val="bottom"/>
            <w:gridSpan w:val="2"/>
          </w:tcPr>
          <w:p>
            <w:pPr>
              <w:spacing w:after="0" w:line="135" w:lineRule="exact"/>
              <w:rPr>
                <w:sz w:val="20"/>
                <w:szCs w:val="20"/>
                <w:color w:val="auto"/>
              </w:rPr>
            </w:pPr>
            <w:r>
              <w:rPr>
                <w:rFonts w:ascii="Arial" w:cs="Arial" w:eastAsia="Arial" w:hAnsi="Arial"/>
                <w:sz w:val="14"/>
                <w:szCs w:val="14"/>
                <w:color w:val="auto"/>
              </w:rPr>
              <w:t>Cash, Due 12/31/14)</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Data Processing &amp; Digital</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3 Note (0% Cash, Due</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299</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206</w:t>
            </w:r>
          </w:p>
        </w:tc>
        <w:tc>
          <w:tcPr>
            <w:tcW w:w="92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CFFCC"/>
          </w:tcPr>
          <w:p>
            <w:pPr>
              <w:spacing w:after="0"/>
              <w:rPr>
                <w:sz w:val="14"/>
                <w:szCs w:val="14"/>
                <w:color w:val="auto"/>
              </w:rPr>
            </w:pP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960" w:type="dxa"/>
            <w:vAlign w:val="bottom"/>
            <w:gridSpan w:val="2"/>
            <w:shd w:val="clear" w:color="auto" w:fill="CCFFCC"/>
          </w:tcPr>
          <w:p>
            <w:pPr>
              <w:spacing w:after="0" w:line="135" w:lineRule="exact"/>
              <w:rPr>
                <w:sz w:val="20"/>
                <w:szCs w:val="20"/>
                <w:color w:val="auto"/>
              </w:rPr>
            </w:pPr>
            <w:r>
              <w:rPr>
                <w:rFonts w:ascii="Arial" w:cs="Arial" w:eastAsia="Arial" w:hAnsi="Arial"/>
                <w:sz w:val="14"/>
                <w:szCs w:val="14"/>
                <w:color w:val="auto"/>
              </w:rPr>
              <w:t>Marketing</w:t>
            </w: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4"/>
                <w:szCs w:val="14"/>
                <w:color w:val="auto"/>
              </w:rPr>
              <w:t>12/31/14)</w:t>
            </w:r>
          </w:p>
        </w:tc>
        <w:tc>
          <w:tcPr>
            <w:tcW w:w="100" w:type="dxa"/>
            <w:vAlign w:val="bottom"/>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920" w:type="dxa"/>
            <w:vAlign w:val="bottom"/>
            <w:vMerge w:val="continue"/>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1960" w:type="dxa"/>
            <w:vAlign w:val="bottom"/>
            <w:gridSpan w:val="2"/>
          </w:tcPr>
          <w:p>
            <w:pPr>
              <w:spacing w:after="0"/>
              <w:rPr>
                <w:sz w:val="20"/>
                <w:szCs w:val="20"/>
                <w:color w:val="auto"/>
              </w:rPr>
            </w:pPr>
            <w:r>
              <w:rPr>
                <w:rFonts w:ascii="Arial" w:cs="Arial" w:eastAsia="Arial" w:hAnsi="Arial"/>
                <w:sz w:val="14"/>
                <w:szCs w:val="14"/>
                <w:color w:val="auto"/>
              </w:rPr>
              <w:t>Data Processing &amp; Digital</w:t>
            </w:r>
          </w:p>
        </w:tc>
        <w:tc>
          <w:tcPr>
            <w:tcW w:w="1940" w:type="dxa"/>
            <w:vAlign w:val="bottom"/>
            <w:gridSpan w:val="2"/>
          </w:tcPr>
          <w:p>
            <w:pPr>
              <w:spacing w:after="0"/>
              <w:rPr>
                <w:sz w:val="20"/>
                <w:szCs w:val="20"/>
                <w:color w:val="auto"/>
              </w:rPr>
            </w:pPr>
            <w:r>
              <w:rPr>
                <w:rFonts w:ascii="Arial" w:cs="Arial" w:eastAsia="Arial" w:hAnsi="Arial"/>
                <w:sz w:val="14"/>
                <w:szCs w:val="14"/>
                <w:color w:val="auto"/>
              </w:rPr>
              <w:t>Jr. Subordinated Note (0%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2,750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405</w:t>
            </w:r>
          </w:p>
        </w:tc>
        <w:tc>
          <w:tcPr>
            <w:tcW w:w="20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spacing w:after="0" w:line="135" w:lineRule="exact"/>
              <w:rPr>
                <w:sz w:val="20"/>
                <w:szCs w:val="20"/>
                <w:color w:val="auto"/>
              </w:rPr>
            </w:pPr>
            <w:r>
              <w:rPr>
                <w:rFonts w:ascii="Arial" w:cs="Arial" w:eastAsia="Arial" w:hAnsi="Arial"/>
                <w:sz w:val="14"/>
                <w:szCs w:val="14"/>
                <w:color w:val="auto"/>
              </w:rPr>
              <w:t>Marketing</w:t>
            </w:r>
          </w:p>
        </w:tc>
        <w:tc>
          <w:tcPr>
            <w:tcW w:w="1940" w:type="dxa"/>
            <w:vAlign w:val="bottom"/>
            <w:gridSpan w:val="2"/>
          </w:tcPr>
          <w:p>
            <w:pPr>
              <w:spacing w:after="0" w:line="135" w:lineRule="exact"/>
              <w:rPr>
                <w:sz w:val="20"/>
                <w:szCs w:val="20"/>
                <w:color w:val="auto"/>
              </w:rPr>
            </w:pPr>
            <w:r>
              <w:rPr>
                <w:rFonts w:ascii="Arial" w:cs="Arial" w:eastAsia="Arial" w:hAnsi="Arial"/>
                <w:sz w:val="14"/>
                <w:szCs w:val="14"/>
                <w:color w:val="auto"/>
              </w:rPr>
              <w:t>Cash, Due 12/31/14)</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Data Processing &amp; Digital</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4 Note (0% Cash, Due</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243</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960" w:type="dxa"/>
            <w:vAlign w:val="bottom"/>
            <w:gridSpan w:val="2"/>
            <w:shd w:val="clear" w:color="auto" w:fill="CCFFCC"/>
          </w:tcPr>
          <w:p>
            <w:pPr>
              <w:spacing w:after="0" w:line="135" w:lineRule="exact"/>
              <w:rPr>
                <w:sz w:val="20"/>
                <w:szCs w:val="20"/>
                <w:color w:val="auto"/>
              </w:rPr>
            </w:pPr>
            <w:r>
              <w:rPr>
                <w:rFonts w:ascii="Arial" w:cs="Arial" w:eastAsia="Arial" w:hAnsi="Arial"/>
                <w:sz w:val="14"/>
                <w:szCs w:val="14"/>
                <w:color w:val="auto"/>
              </w:rPr>
              <w:t>Marketing</w:t>
            </w: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4"/>
                <w:szCs w:val="14"/>
                <w:color w:val="auto"/>
              </w:rPr>
              <w:t>12/31/14)</w:t>
            </w:r>
          </w:p>
        </w:tc>
        <w:tc>
          <w:tcPr>
            <w:tcW w:w="100" w:type="dxa"/>
            <w:vAlign w:val="bottom"/>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120" w:type="dxa"/>
            <w:vAlign w:val="bottom"/>
            <w:gridSpan w:val="2"/>
            <w:vMerge w:val="continue"/>
            <w:shd w:val="clear" w:color="auto" w:fill="CCFFCC"/>
          </w:tcPr>
          <w:p>
            <w:pPr>
              <w:spacing w:after="0"/>
              <w:rPr>
                <w:sz w:val="11"/>
                <w:szCs w:val="11"/>
                <w:color w:val="auto"/>
              </w:rPr>
            </w:pPr>
          </w:p>
        </w:tc>
        <w:tc>
          <w:tcPr>
            <w:tcW w:w="106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V12 Holdings</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Data Processing &amp; Digital</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Series A-1 Preferred Stock</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Marketing</w:t>
            </w:r>
          </w:p>
        </w:tc>
        <w:tc>
          <w:tcPr>
            <w:tcW w:w="1940" w:type="dxa"/>
            <w:vAlign w:val="bottom"/>
            <w:gridSpan w:val="2"/>
          </w:tcPr>
          <w:p>
            <w:pPr>
              <w:spacing w:after="0"/>
              <w:rPr>
                <w:sz w:val="20"/>
                <w:szCs w:val="20"/>
                <w:color w:val="auto"/>
              </w:rPr>
            </w:pPr>
            <w:r>
              <w:rPr>
                <w:rFonts w:ascii="Arial" w:cs="Arial" w:eastAsia="Arial" w:hAnsi="Arial"/>
                <w:sz w:val="14"/>
                <w:szCs w:val="14"/>
                <w:color w:val="auto"/>
              </w:rPr>
              <w:t>(255,102 shares)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V12 Holdings</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Data Processing &amp; Digital</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Series A-3 Preferred Stock</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Marketing</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(88,194 shares)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V12 Holdings</w:t>
            </w:r>
          </w:p>
        </w:tc>
        <w:tc>
          <w:tcPr>
            <w:tcW w:w="1960" w:type="dxa"/>
            <w:vAlign w:val="bottom"/>
            <w:gridSpan w:val="2"/>
          </w:tcPr>
          <w:p>
            <w:pPr>
              <w:spacing w:after="0" w:line="130" w:lineRule="exact"/>
              <w:rPr>
                <w:sz w:val="20"/>
                <w:szCs w:val="20"/>
                <w:color w:val="auto"/>
              </w:rPr>
            </w:pPr>
            <w:r>
              <w:rPr>
                <w:rFonts w:ascii="Arial" w:cs="Arial" w:eastAsia="Arial" w:hAnsi="Arial"/>
                <w:sz w:val="14"/>
                <w:szCs w:val="14"/>
                <w:color w:val="auto"/>
              </w:rPr>
              <w:t>Data Processing &amp; Digital</w:t>
            </w: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Series A-5 Preferred Stock</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color w:val="auto"/>
              </w:rPr>
              <w:t>Marketing</w:t>
            </w:r>
          </w:p>
        </w:tc>
        <w:tc>
          <w:tcPr>
            <w:tcW w:w="1940" w:type="dxa"/>
            <w:vAlign w:val="bottom"/>
            <w:gridSpan w:val="2"/>
          </w:tcPr>
          <w:p>
            <w:pPr>
              <w:spacing w:after="0"/>
              <w:rPr>
                <w:sz w:val="20"/>
                <w:szCs w:val="20"/>
                <w:color w:val="auto"/>
              </w:rPr>
            </w:pPr>
            <w:r>
              <w:rPr>
                <w:rFonts w:ascii="Arial" w:cs="Arial" w:eastAsia="Arial" w:hAnsi="Arial"/>
                <w:sz w:val="14"/>
                <w:szCs w:val="14"/>
                <w:color w:val="auto"/>
              </w:rPr>
              <w:t>(20,530 shares)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V12 Holdings</w:t>
            </w:r>
          </w:p>
        </w:tc>
        <w:tc>
          <w:tcPr>
            <w:tcW w:w="19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Data Processing &amp; Digital</w:t>
            </w: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Common Stock Warrants</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Marketing</w:t>
            </w:r>
          </w:p>
        </w:tc>
        <w:tc>
          <w:tcPr>
            <w:tcW w:w="19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(2,063,629 warrants)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8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2,980</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5,061</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91"/>
        </w:trPr>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84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84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90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90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9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9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61"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3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159,104</w:t>
            </w:r>
          </w:p>
        </w:tc>
        <w:tc>
          <w:tcPr>
            <w:tcW w:w="3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189,098</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b w:val="1"/>
                <w:bCs w:val="1"/>
                <w:color w:val="auto"/>
              </w:rPr>
              <w:t>Control investments - 28.4%</w:t>
            </w: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Computer Supply Retail</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Senior Secured Debt (12%</w:t>
            </w: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Cash, 4% PIK, Due 5/24/18)</w:t>
            </w:r>
          </w:p>
        </w:tc>
        <w:tc>
          <w:tcPr>
            <w:tcW w:w="40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6,585</w:t>
            </w:r>
          </w:p>
        </w:tc>
        <w:tc>
          <w:tcPr>
            <w:tcW w:w="3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6,585</w:t>
            </w:r>
          </w:p>
        </w:tc>
        <w:tc>
          <w:tcPr>
            <w:tcW w:w="3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6,585</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260" w:type="dxa"/>
            <w:vAlign w:val="bottom"/>
          </w:tcPr>
          <w:p>
            <w:pPr>
              <w:ind w:left="460"/>
              <w:spacing w:after="0" w:line="130" w:lineRule="exact"/>
              <w:rPr>
                <w:sz w:val="20"/>
                <w:szCs w:val="20"/>
                <w:color w:val="auto"/>
              </w:rPr>
            </w:pPr>
            <w:r>
              <w:rPr>
                <w:rFonts w:ascii="Arial" w:cs="Arial" w:eastAsia="Arial" w:hAnsi="Arial"/>
                <w:sz w:val="14"/>
                <w:szCs w:val="14"/>
                <w:color w:val="auto"/>
              </w:rPr>
              <w:t>Computer Supply Retail</w:t>
            </w:r>
          </w:p>
        </w:tc>
        <w:tc>
          <w:tcPr>
            <w:tcW w:w="2040" w:type="dxa"/>
            <w:vAlign w:val="bottom"/>
          </w:tcPr>
          <w:p>
            <w:pPr>
              <w:ind w:left="160"/>
              <w:spacing w:after="0" w:line="130" w:lineRule="exact"/>
              <w:rPr>
                <w:sz w:val="20"/>
                <w:szCs w:val="20"/>
                <w:color w:val="auto"/>
              </w:rPr>
            </w:pPr>
            <w:r>
              <w:rPr>
                <w:rFonts w:ascii="Arial" w:cs="Arial" w:eastAsia="Arial" w:hAnsi="Arial"/>
                <w:sz w:val="14"/>
                <w:szCs w:val="14"/>
                <w:color w:val="auto"/>
              </w:rPr>
              <w:t>Common Stock (1,125,000</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40" w:type="dxa"/>
            <w:vAlign w:val="bottom"/>
          </w:tcPr>
          <w:p>
            <w:pPr>
              <w:ind w:left="160"/>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5"/>
                <w:szCs w:val="15"/>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40" w:type="dxa"/>
            <w:vAlign w:val="bottom"/>
            <w:tcBorders>
              <w:top w:val="single" w:sz="8" w:color="CCFFCC"/>
            </w:tcBorders>
            <w:shd w:val="clear" w:color="auto" w:fill="CCFFCC"/>
          </w:tcPr>
          <w:p>
            <w:pPr>
              <w:spacing w:after="0"/>
              <w:rPr>
                <w:sz w:val="12"/>
                <w:szCs w:val="12"/>
                <w:color w:val="auto"/>
              </w:rPr>
            </w:pPr>
          </w:p>
        </w:tc>
        <w:tc>
          <w:tcPr>
            <w:tcW w:w="2260" w:type="dxa"/>
            <w:vAlign w:val="bottom"/>
            <w:tcBorders>
              <w:top w:val="single" w:sz="8" w:color="CCFFCC"/>
            </w:tcBorders>
            <w:shd w:val="clear" w:color="auto" w:fill="CCFFCC"/>
          </w:tcPr>
          <w:p>
            <w:pPr>
              <w:spacing w:after="0"/>
              <w:rPr>
                <w:sz w:val="12"/>
                <w:szCs w:val="12"/>
                <w:color w:val="auto"/>
              </w:rPr>
            </w:pPr>
          </w:p>
        </w:tc>
        <w:tc>
          <w:tcPr>
            <w:tcW w:w="2040" w:type="dxa"/>
            <w:vAlign w:val="bottom"/>
            <w:tcBorders>
              <w:top w:val="single" w:sz="8" w:color="CCFFCC"/>
            </w:tcBorders>
            <w:shd w:val="clear" w:color="auto" w:fill="CCFFCC"/>
          </w:tcPr>
          <w:p>
            <w:pPr>
              <w:spacing w:after="0"/>
              <w:rPr>
                <w:sz w:val="12"/>
                <w:szCs w:val="12"/>
                <w:color w:val="auto"/>
              </w:rPr>
            </w:pPr>
          </w:p>
        </w:tc>
        <w:tc>
          <w:tcPr>
            <w:tcW w:w="40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7,710</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6,673</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w:t>
            </w:r>
          </w:p>
        </w:tc>
        <w:tc>
          <w:tcPr>
            <w:tcW w:w="1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1"/>
                <w:szCs w:val="11"/>
                <w:color w:val="auto"/>
              </w:rPr>
              <w:t xml:space="preserve">KBP Investments, LLC </w:t>
            </w:r>
            <w:r>
              <w:rPr>
                <w:rFonts w:ascii="Arial" w:cs="Arial" w:eastAsia="Arial" w:hAnsi="Arial"/>
                <w:sz w:val="16"/>
                <w:szCs w:val="16"/>
                <w:color w:val="auto"/>
                <w:vertAlign w:val="superscript"/>
              </w:rPr>
              <w:t>(6) (7)</w:t>
            </w:r>
          </w:p>
        </w:tc>
        <w:tc>
          <w:tcPr>
            <w:tcW w:w="2260" w:type="dxa"/>
            <w:vAlign w:val="bottom"/>
          </w:tcPr>
          <w:p>
            <w:pPr>
              <w:ind w:left="460"/>
              <w:spacing w:after="0" w:line="142" w:lineRule="exact"/>
              <w:rPr>
                <w:sz w:val="20"/>
                <w:szCs w:val="20"/>
                <w:color w:val="auto"/>
              </w:rPr>
            </w:pPr>
            <w:r>
              <w:rPr>
                <w:rFonts w:ascii="Arial" w:cs="Arial" w:eastAsia="Arial" w:hAnsi="Arial"/>
                <w:sz w:val="14"/>
                <w:szCs w:val="14"/>
                <w:color w:val="auto"/>
              </w:rPr>
              <w:t>QSR Franchisee</w:t>
            </w:r>
          </w:p>
        </w:tc>
        <w:tc>
          <w:tcPr>
            <w:tcW w:w="2040" w:type="dxa"/>
            <w:vAlign w:val="bottom"/>
          </w:tcPr>
          <w:p>
            <w:pPr>
              <w:ind w:left="160"/>
              <w:spacing w:after="0" w:line="142" w:lineRule="exact"/>
              <w:rPr>
                <w:sz w:val="20"/>
                <w:szCs w:val="20"/>
                <w:color w:val="auto"/>
              </w:rPr>
            </w:pPr>
            <w:r>
              <w:rPr>
                <w:rFonts w:ascii="Arial" w:cs="Arial" w:eastAsia="Arial" w:hAnsi="Arial"/>
                <w:sz w:val="14"/>
                <w:szCs w:val="14"/>
                <w:color w:val="auto"/>
                <w:w w:val="96"/>
              </w:rPr>
              <w:t>Class A Preferred Stock (8,270</w:t>
            </w:r>
          </w:p>
        </w:tc>
        <w:tc>
          <w:tcPr>
            <w:tcW w:w="40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8,269</w:t>
            </w: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40" w:type="dxa"/>
            <w:vAlign w:val="bottom"/>
          </w:tcPr>
          <w:p>
            <w:pPr>
              <w:ind w:left="160"/>
              <w:spacing w:after="0" w:line="135" w:lineRule="exact"/>
              <w:rPr>
                <w:sz w:val="20"/>
                <w:szCs w:val="20"/>
                <w:color w:val="auto"/>
              </w:rPr>
            </w:pPr>
            <w:r>
              <w:rPr>
                <w:rFonts w:ascii="Arial" w:cs="Arial" w:eastAsia="Arial" w:hAnsi="Arial"/>
                <w:sz w:val="14"/>
                <w:szCs w:val="14"/>
                <w:color w:val="auto"/>
              </w:rPr>
              <w:t>shares, 10% Dividend)</w:t>
            </w:r>
          </w:p>
        </w:tc>
        <w:tc>
          <w:tcPr>
            <w:tcW w:w="4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KBP Investments,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QSR Franchisee</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Class A Common Stock</w:t>
            </w: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FFCC"/>
          </w:tcPr>
          <w:p>
            <w:pPr>
              <w:spacing w:after="0"/>
              <w:rPr>
                <w:sz w:val="15"/>
                <w:szCs w:val="15"/>
                <w:color w:val="auto"/>
              </w:rPr>
            </w:pP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(380,413 shares)</w:t>
            </w:r>
          </w:p>
        </w:tc>
        <w:tc>
          <w:tcPr>
            <w:tcW w:w="400" w:type="dxa"/>
            <w:vAlign w:val="bottom"/>
            <w:shd w:val="clear" w:color="auto" w:fill="CCFFCC"/>
          </w:tcPr>
          <w:p>
            <w:pPr>
              <w:spacing w:after="0"/>
              <w:rPr>
                <w:sz w:val="15"/>
                <w:szCs w:val="15"/>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16,518</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FFCC"/>
            </w:tcBorders>
          </w:tcPr>
          <w:p>
            <w:pPr>
              <w:spacing w:after="0"/>
              <w:rPr>
                <w:sz w:val="12"/>
                <w:szCs w:val="12"/>
                <w:color w:val="auto"/>
              </w:rPr>
            </w:pPr>
          </w:p>
        </w:tc>
        <w:tc>
          <w:tcPr>
            <w:tcW w:w="2260" w:type="dxa"/>
            <w:vAlign w:val="bottom"/>
            <w:tcBorders>
              <w:bottom w:val="single" w:sz="8" w:color="CCFFCC"/>
            </w:tcBorders>
          </w:tcPr>
          <w:p>
            <w:pPr>
              <w:spacing w:after="0"/>
              <w:rPr>
                <w:sz w:val="12"/>
                <w:szCs w:val="12"/>
                <w:color w:val="auto"/>
              </w:rPr>
            </w:pPr>
          </w:p>
        </w:tc>
        <w:tc>
          <w:tcPr>
            <w:tcW w:w="2040" w:type="dxa"/>
            <w:vAlign w:val="bottom"/>
            <w:tcBorders>
              <w:bottom w:val="single" w:sz="8" w:color="CCFFCC"/>
            </w:tcBorders>
          </w:tcPr>
          <w:p>
            <w:pPr>
              <w:spacing w:after="0"/>
              <w:rPr>
                <w:sz w:val="12"/>
                <w:szCs w:val="12"/>
                <w:color w:val="auto"/>
              </w:rPr>
            </w:pPr>
          </w:p>
        </w:tc>
        <w:tc>
          <w:tcPr>
            <w:tcW w:w="40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8,269</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24,787</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w:t>
            </w:r>
          </w:p>
        </w:tc>
        <w:tc>
          <w:tcPr>
            <w:tcW w:w="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26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Market E’s, LLC</w:t>
            </w:r>
          </w:p>
        </w:tc>
        <w:tc>
          <w:tcPr>
            <w:tcW w:w="2260" w:type="dxa"/>
            <w:vAlign w:val="bottom"/>
            <w:shd w:val="clear" w:color="auto" w:fill="CCFFCC"/>
          </w:tcPr>
          <w:p>
            <w:pPr>
              <w:ind w:left="460"/>
              <w:spacing w:after="0" w:line="110" w:lineRule="exact"/>
              <w:rPr>
                <w:sz w:val="20"/>
                <w:szCs w:val="20"/>
                <w:color w:val="auto"/>
              </w:rPr>
            </w:pPr>
            <w:r>
              <w:rPr>
                <w:rFonts w:ascii="Arial" w:cs="Arial" w:eastAsia="Arial" w:hAnsi="Arial"/>
                <w:sz w:val="12"/>
                <w:szCs w:val="12"/>
                <w:color w:val="auto"/>
              </w:rPr>
              <w:t>Online Travel Sales &amp;</w:t>
            </w:r>
          </w:p>
        </w:tc>
        <w:tc>
          <w:tcPr>
            <w:tcW w:w="2040" w:type="dxa"/>
            <w:vAlign w:val="bottom"/>
            <w:shd w:val="clear" w:color="auto" w:fill="CCFFCC"/>
          </w:tcPr>
          <w:p>
            <w:pPr>
              <w:ind w:left="160"/>
              <w:spacing w:after="0" w:line="110" w:lineRule="exact"/>
              <w:rPr>
                <w:sz w:val="20"/>
                <w:szCs w:val="20"/>
                <w:color w:val="auto"/>
              </w:rPr>
            </w:pPr>
            <w:r>
              <w:rPr>
                <w:rFonts w:ascii="Arial" w:cs="Arial" w:eastAsia="Arial" w:hAnsi="Arial"/>
                <w:sz w:val="12"/>
                <w:szCs w:val="12"/>
                <w:color w:val="auto"/>
              </w:rPr>
              <w:t>Senior Secured Debt (10%</w:t>
            </w:r>
          </w:p>
        </w:tc>
        <w:tc>
          <w:tcPr>
            <w:tcW w:w="4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Cash, Due 12/31/14)</w:t>
            </w: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650</w:t>
            </w:r>
          </w:p>
        </w:tc>
        <w:tc>
          <w:tcPr>
            <w:tcW w:w="200" w:type="dxa"/>
            <w:vAlign w:val="bottom"/>
            <w:shd w:val="clear" w:color="auto" w:fill="CCFFCC"/>
          </w:tcPr>
          <w:p>
            <w:pPr>
              <w:spacing w:after="0"/>
              <w:rPr>
                <w:sz w:val="14"/>
                <w:szCs w:val="14"/>
                <w:color w:val="auto"/>
              </w:rPr>
            </w:pP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640" w:type="dxa"/>
            <w:vAlign w:val="bottom"/>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(1)(2)</w:t>
            </w:r>
          </w:p>
        </w:tc>
        <w:tc>
          <w:tcPr>
            <w:tcW w:w="2260" w:type="dxa"/>
            <w:vAlign w:val="bottom"/>
          </w:tcPr>
          <w:p>
            <w:pPr>
              <w:ind w:left="460"/>
              <w:spacing w:after="0"/>
              <w:rPr>
                <w:sz w:val="20"/>
                <w:szCs w:val="20"/>
                <w:color w:val="auto"/>
              </w:rPr>
            </w:pPr>
            <w:r>
              <w:rPr>
                <w:rFonts w:ascii="Arial" w:cs="Arial" w:eastAsia="Arial" w:hAnsi="Arial"/>
                <w:sz w:val="14"/>
                <w:szCs w:val="14"/>
                <w:color w:val="auto"/>
              </w:rPr>
              <w:t>Online Travel Sales &amp;</w:t>
            </w:r>
          </w:p>
        </w:tc>
        <w:tc>
          <w:tcPr>
            <w:tcW w:w="2040" w:type="dxa"/>
            <w:vAlign w:val="bottom"/>
          </w:tcPr>
          <w:p>
            <w:pPr>
              <w:ind w:left="160"/>
              <w:spacing w:after="0"/>
              <w:rPr>
                <w:sz w:val="20"/>
                <w:szCs w:val="20"/>
                <w:color w:val="auto"/>
              </w:rPr>
            </w:pPr>
            <w:r>
              <w:rPr>
                <w:rFonts w:ascii="Arial" w:cs="Arial" w:eastAsia="Arial" w:hAnsi="Arial"/>
                <w:sz w:val="14"/>
                <w:szCs w:val="14"/>
                <w:color w:val="auto"/>
              </w:rPr>
              <w:t>Senior Subordinated Debt</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2260" w:type="dxa"/>
            <w:vAlign w:val="bottom"/>
          </w:tcPr>
          <w:p>
            <w:pPr>
              <w:ind w:left="460"/>
              <w:spacing w:after="0" w:line="116" w:lineRule="exact"/>
              <w:rPr>
                <w:sz w:val="20"/>
                <w:szCs w:val="20"/>
                <w:color w:val="auto"/>
              </w:rPr>
            </w:pPr>
            <w:r>
              <w:rPr>
                <w:rFonts w:ascii="Arial" w:cs="Arial" w:eastAsia="Arial" w:hAnsi="Arial"/>
                <w:sz w:val="13"/>
                <w:szCs w:val="13"/>
                <w:color w:val="auto"/>
              </w:rPr>
              <w:t>Marketing</w:t>
            </w:r>
          </w:p>
        </w:tc>
        <w:tc>
          <w:tcPr>
            <w:tcW w:w="2040" w:type="dxa"/>
            <w:vAlign w:val="bottom"/>
          </w:tcPr>
          <w:p>
            <w:pPr>
              <w:ind w:left="160"/>
              <w:spacing w:after="0" w:line="116" w:lineRule="exact"/>
              <w:rPr>
                <w:sz w:val="20"/>
                <w:szCs w:val="20"/>
                <w:color w:val="auto"/>
              </w:rPr>
            </w:pPr>
            <w:r>
              <w:rPr>
                <w:rFonts w:ascii="Arial" w:cs="Arial" w:eastAsia="Arial" w:hAnsi="Arial"/>
                <w:sz w:val="13"/>
                <w:szCs w:val="13"/>
                <w:color w:val="auto"/>
              </w:rPr>
              <w:t>(14% Cash, 3% PIK, Due</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ind w:left="160"/>
              <w:spacing w:after="0"/>
              <w:rPr>
                <w:sz w:val="20"/>
                <w:szCs w:val="20"/>
                <w:color w:val="auto"/>
              </w:rPr>
            </w:pPr>
            <w:r>
              <w:rPr>
                <w:rFonts w:ascii="Arial" w:cs="Arial" w:eastAsia="Arial" w:hAnsi="Arial"/>
                <w:sz w:val="14"/>
                <w:szCs w:val="14"/>
                <w:color w:val="auto"/>
              </w:rPr>
              <w:t>12/31/14)</w:t>
            </w:r>
          </w:p>
        </w:tc>
        <w:tc>
          <w:tcPr>
            <w:tcW w:w="4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2,832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988</w:t>
            </w:r>
          </w:p>
        </w:tc>
        <w:tc>
          <w:tcPr>
            <w:tcW w:w="20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Market E’s,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Class A Preferred Stock (600</w:t>
            </w: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Market E’s, LLC</w:t>
            </w:r>
          </w:p>
        </w:tc>
        <w:tc>
          <w:tcPr>
            <w:tcW w:w="2260" w:type="dxa"/>
            <w:vAlign w:val="bottom"/>
          </w:tcPr>
          <w:p>
            <w:pPr>
              <w:ind w:left="460"/>
              <w:spacing w:after="0" w:line="130" w:lineRule="exact"/>
              <w:rPr>
                <w:sz w:val="20"/>
                <w:szCs w:val="20"/>
                <w:color w:val="auto"/>
              </w:rPr>
            </w:pPr>
            <w:r>
              <w:rPr>
                <w:rFonts w:ascii="Arial" w:cs="Arial" w:eastAsia="Arial" w:hAnsi="Arial"/>
                <w:sz w:val="14"/>
                <w:szCs w:val="14"/>
                <w:color w:val="auto"/>
              </w:rPr>
              <w:t>Online Travel Sales &amp;</w:t>
            </w:r>
          </w:p>
        </w:tc>
        <w:tc>
          <w:tcPr>
            <w:tcW w:w="2040" w:type="dxa"/>
            <w:vAlign w:val="bottom"/>
          </w:tcPr>
          <w:p>
            <w:pPr>
              <w:ind w:left="160"/>
              <w:spacing w:after="0" w:line="130" w:lineRule="exact"/>
              <w:rPr>
                <w:sz w:val="20"/>
                <w:szCs w:val="20"/>
                <w:color w:val="auto"/>
              </w:rPr>
            </w:pPr>
            <w:r>
              <w:rPr>
                <w:rFonts w:ascii="Arial" w:cs="Arial" w:eastAsia="Arial" w:hAnsi="Arial"/>
                <w:sz w:val="14"/>
                <w:szCs w:val="14"/>
                <w:color w:val="auto"/>
                <w:w w:val="96"/>
              </w:rPr>
              <w:t>Class B Preferred Stock (2,411</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260" w:type="dxa"/>
            <w:vAlign w:val="bottom"/>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tcPr>
          <w:p>
            <w:pPr>
              <w:ind w:left="160"/>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Market E’s, LLC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Online Travel Sales &amp;</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Class A Common Stock (600</w:t>
            </w: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FFCC"/>
          </w:tcPr>
          <w:p>
            <w:pPr>
              <w:spacing w:after="0"/>
              <w:rPr>
                <w:sz w:val="15"/>
                <w:szCs w:val="15"/>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Marketing</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FFCC"/>
          </w:tcPr>
          <w:p>
            <w:pPr>
              <w:spacing w:after="0"/>
              <w:rPr>
                <w:sz w:val="15"/>
                <w:szCs w:val="15"/>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FFCC"/>
            </w:tcBorders>
          </w:tcPr>
          <w:p>
            <w:pPr>
              <w:spacing w:after="0"/>
              <w:rPr>
                <w:sz w:val="12"/>
                <w:szCs w:val="12"/>
                <w:color w:val="auto"/>
              </w:rPr>
            </w:pPr>
          </w:p>
        </w:tc>
        <w:tc>
          <w:tcPr>
            <w:tcW w:w="2260" w:type="dxa"/>
            <w:vAlign w:val="bottom"/>
            <w:tcBorders>
              <w:bottom w:val="single" w:sz="8" w:color="CCFFCC"/>
            </w:tcBorders>
          </w:tcPr>
          <w:p>
            <w:pPr>
              <w:spacing w:after="0"/>
              <w:rPr>
                <w:sz w:val="12"/>
                <w:szCs w:val="12"/>
                <w:color w:val="auto"/>
              </w:rPr>
            </w:pPr>
          </w:p>
        </w:tc>
        <w:tc>
          <w:tcPr>
            <w:tcW w:w="2040" w:type="dxa"/>
            <w:vAlign w:val="bottom"/>
            <w:tcBorders>
              <w:bottom w:val="single" w:sz="8" w:color="CCFFCC"/>
            </w:tcBorders>
          </w:tcPr>
          <w:p>
            <w:pPr>
              <w:spacing w:after="0"/>
              <w:rPr>
                <w:sz w:val="12"/>
                <w:szCs w:val="12"/>
                <w:color w:val="auto"/>
              </w:rPr>
            </w:pPr>
          </w:p>
        </w:tc>
        <w:tc>
          <w:tcPr>
            <w:tcW w:w="40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4,687</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1,638</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26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Micro Precision, LLC</w:t>
            </w:r>
          </w:p>
        </w:tc>
        <w:tc>
          <w:tcPr>
            <w:tcW w:w="2260" w:type="dxa"/>
            <w:vAlign w:val="bottom"/>
            <w:shd w:val="clear" w:color="auto" w:fill="CCFFCC"/>
          </w:tcPr>
          <w:p>
            <w:pPr>
              <w:ind w:left="460"/>
              <w:spacing w:after="0" w:line="110" w:lineRule="exact"/>
              <w:rPr>
                <w:sz w:val="20"/>
                <w:szCs w:val="20"/>
                <w:color w:val="auto"/>
              </w:rPr>
            </w:pPr>
            <w:r>
              <w:rPr>
                <w:rFonts w:ascii="Arial" w:cs="Arial" w:eastAsia="Arial" w:hAnsi="Arial"/>
                <w:sz w:val="12"/>
                <w:szCs w:val="12"/>
                <w:color w:val="auto"/>
              </w:rPr>
              <w:t>Conglomerate</w:t>
            </w:r>
          </w:p>
        </w:tc>
        <w:tc>
          <w:tcPr>
            <w:tcW w:w="2040" w:type="dxa"/>
            <w:vAlign w:val="bottom"/>
            <w:shd w:val="clear" w:color="auto" w:fill="CCFFCC"/>
          </w:tcPr>
          <w:p>
            <w:pPr>
              <w:ind w:left="160"/>
              <w:spacing w:after="0" w:line="110" w:lineRule="exact"/>
              <w:rPr>
                <w:sz w:val="20"/>
                <w:szCs w:val="20"/>
                <w:color w:val="auto"/>
              </w:rPr>
            </w:pPr>
            <w:r>
              <w:rPr>
                <w:rFonts w:ascii="Arial" w:cs="Arial" w:eastAsia="Arial" w:hAnsi="Arial"/>
                <w:sz w:val="12"/>
                <w:szCs w:val="12"/>
                <w:color w:val="auto"/>
              </w:rPr>
              <w:t>Subordinated Debt (10% Cash,</w:t>
            </w:r>
          </w:p>
        </w:tc>
        <w:tc>
          <w:tcPr>
            <w:tcW w:w="4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Due 9/16/16)</w:t>
            </w: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Micro Precision, LLC</w:t>
            </w:r>
          </w:p>
        </w:tc>
        <w:tc>
          <w:tcPr>
            <w:tcW w:w="2260" w:type="dxa"/>
            <w:vAlign w:val="bottom"/>
          </w:tcPr>
          <w:p>
            <w:pPr>
              <w:ind w:left="460"/>
              <w:spacing w:after="0" w:line="130" w:lineRule="exact"/>
              <w:rPr>
                <w:sz w:val="20"/>
                <w:szCs w:val="20"/>
                <w:color w:val="auto"/>
              </w:rPr>
            </w:pPr>
            <w:r>
              <w:rPr>
                <w:rFonts w:ascii="Arial" w:cs="Arial" w:eastAsia="Arial" w:hAnsi="Arial"/>
                <w:sz w:val="14"/>
                <w:szCs w:val="14"/>
                <w:color w:val="auto"/>
              </w:rPr>
              <w:t>Conglomerate</w:t>
            </w:r>
          </w:p>
        </w:tc>
        <w:tc>
          <w:tcPr>
            <w:tcW w:w="2040" w:type="dxa"/>
            <w:vAlign w:val="bottom"/>
          </w:tcPr>
          <w:p>
            <w:pPr>
              <w:ind w:left="160"/>
              <w:spacing w:after="0" w:line="130" w:lineRule="exact"/>
              <w:rPr>
                <w:sz w:val="20"/>
                <w:szCs w:val="20"/>
                <w:color w:val="auto"/>
              </w:rPr>
            </w:pPr>
            <w:r>
              <w:rPr>
                <w:rFonts w:ascii="Arial" w:cs="Arial" w:eastAsia="Arial" w:hAnsi="Arial"/>
                <w:sz w:val="14"/>
                <w:szCs w:val="14"/>
                <w:color w:val="auto"/>
                <w:w w:val="95"/>
              </w:rPr>
              <w:t>Subordinated Debt (14% Cash,</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ind w:left="160"/>
              <w:spacing w:after="0"/>
              <w:rPr>
                <w:sz w:val="20"/>
                <w:szCs w:val="20"/>
                <w:color w:val="auto"/>
              </w:rPr>
            </w:pPr>
            <w:r>
              <w:rPr>
                <w:rFonts w:ascii="Arial" w:cs="Arial" w:eastAsia="Arial" w:hAnsi="Arial"/>
                <w:sz w:val="14"/>
                <w:szCs w:val="14"/>
                <w:color w:val="auto"/>
              </w:rPr>
              <w:t>4% PIK, Due 9/16/16)</w:t>
            </w:r>
          </w:p>
        </w:tc>
        <w:tc>
          <w:tcPr>
            <w:tcW w:w="4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3,557</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Micro Precision, LLC</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Conglomerate</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Common Stock (47 units)</w:t>
            </w: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2,210</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FFCC"/>
            </w:tcBorders>
          </w:tcPr>
          <w:p>
            <w:pPr>
              <w:spacing w:after="0"/>
              <w:rPr>
                <w:sz w:val="12"/>
                <w:szCs w:val="12"/>
                <w:color w:val="auto"/>
              </w:rPr>
            </w:pPr>
          </w:p>
        </w:tc>
        <w:tc>
          <w:tcPr>
            <w:tcW w:w="2260" w:type="dxa"/>
            <w:vAlign w:val="bottom"/>
            <w:tcBorders>
              <w:bottom w:val="single" w:sz="8" w:color="CCFFCC"/>
            </w:tcBorders>
          </w:tcPr>
          <w:p>
            <w:pPr>
              <w:spacing w:after="0"/>
              <w:rPr>
                <w:sz w:val="12"/>
                <w:szCs w:val="12"/>
                <w:color w:val="auto"/>
              </w:rPr>
            </w:pPr>
          </w:p>
        </w:tc>
        <w:tc>
          <w:tcPr>
            <w:tcW w:w="2040" w:type="dxa"/>
            <w:vAlign w:val="bottom"/>
            <w:tcBorders>
              <w:bottom w:val="single" w:sz="8" w:color="CCFFCC"/>
            </w:tcBorders>
          </w:tcPr>
          <w:p>
            <w:pPr>
              <w:spacing w:after="0"/>
              <w:rPr>
                <w:sz w:val="12"/>
                <w:szCs w:val="12"/>
                <w:color w:val="auto"/>
              </w:rPr>
            </w:pPr>
          </w:p>
        </w:tc>
        <w:tc>
          <w:tcPr>
            <w:tcW w:w="40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7,048</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7,629</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26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Navis Holdings, Inc.</w:t>
            </w:r>
          </w:p>
        </w:tc>
        <w:tc>
          <w:tcPr>
            <w:tcW w:w="2260" w:type="dxa"/>
            <w:vAlign w:val="bottom"/>
            <w:shd w:val="clear" w:color="auto" w:fill="CCFFCC"/>
          </w:tcPr>
          <w:p>
            <w:pPr>
              <w:ind w:left="460"/>
              <w:spacing w:after="0" w:line="110" w:lineRule="exact"/>
              <w:rPr>
                <w:sz w:val="20"/>
                <w:szCs w:val="20"/>
                <w:color w:val="auto"/>
              </w:rPr>
            </w:pPr>
            <w:r>
              <w:rPr>
                <w:rFonts w:ascii="Arial" w:cs="Arial" w:eastAsia="Arial" w:hAnsi="Arial"/>
                <w:sz w:val="12"/>
                <w:szCs w:val="12"/>
                <w:color w:val="auto"/>
              </w:rPr>
              <w:t>Textile Equipment</w:t>
            </w:r>
          </w:p>
        </w:tc>
        <w:tc>
          <w:tcPr>
            <w:tcW w:w="2040" w:type="dxa"/>
            <w:vAlign w:val="bottom"/>
            <w:shd w:val="clear" w:color="auto" w:fill="CCFFCC"/>
          </w:tcPr>
          <w:p>
            <w:pPr>
              <w:ind w:left="160"/>
              <w:spacing w:after="0" w:line="110" w:lineRule="exact"/>
              <w:rPr>
                <w:sz w:val="20"/>
                <w:szCs w:val="20"/>
                <w:color w:val="auto"/>
              </w:rPr>
            </w:pPr>
            <w:r>
              <w:rPr>
                <w:rFonts w:ascii="Arial" w:cs="Arial" w:eastAsia="Arial" w:hAnsi="Arial"/>
                <w:sz w:val="12"/>
                <w:szCs w:val="12"/>
                <w:color w:val="auto"/>
              </w:rPr>
              <w:t>Senior Secured Term Debt</w:t>
            </w:r>
          </w:p>
        </w:tc>
        <w:tc>
          <w:tcPr>
            <w:tcW w:w="4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rPr>
                <w:sz w:val="12"/>
                <w:szCs w:val="12"/>
                <w:color w:val="auto"/>
              </w:rPr>
            </w:pPr>
          </w:p>
        </w:tc>
        <w:tc>
          <w:tcPr>
            <w:tcW w:w="2260" w:type="dxa"/>
            <w:vAlign w:val="bottom"/>
            <w:shd w:val="clear" w:color="auto" w:fill="CCFFCC"/>
          </w:tcPr>
          <w:p>
            <w:pPr>
              <w:ind w:left="460"/>
              <w:spacing w:after="0" w:line="149" w:lineRule="exact"/>
              <w:rPr>
                <w:sz w:val="20"/>
                <w:szCs w:val="20"/>
                <w:color w:val="auto"/>
              </w:rPr>
            </w:pPr>
            <w:r>
              <w:rPr>
                <w:rFonts w:ascii="Arial" w:cs="Arial" w:eastAsia="Arial" w:hAnsi="Arial"/>
                <w:sz w:val="14"/>
                <w:szCs w:val="14"/>
                <w:color w:val="auto"/>
              </w:rPr>
              <w:t>Manufacturer</w:t>
            </w:r>
          </w:p>
        </w:tc>
        <w:tc>
          <w:tcPr>
            <w:tcW w:w="20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(17%, 3% PIK at company's</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option, Due 2/1/16)</w:t>
            </w: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6,753</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6,753</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6,753</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Navis Holdings, Inc.</w:t>
            </w:r>
          </w:p>
        </w:tc>
        <w:tc>
          <w:tcPr>
            <w:tcW w:w="2260" w:type="dxa"/>
            <w:vAlign w:val="bottom"/>
          </w:tcPr>
          <w:p>
            <w:pPr>
              <w:ind w:left="460"/>
              <w:spacing w:after="0" w:line="130" w:lineRule="exact"/>
              <w:rPr>
                <w:sz w:val="20"/>
                <w:szCs w:val="20"/>
                <w:color w:val="auto"/>
              </w:rPr>
            </w:pPr>
            <w:r>
              <w:rPr>
                <w:rFonts w:ascii="Arial" w:cs="Arial" w:eastAsia="Arial" w:hAnsi="Arial"/>
                <w:sz w:val="14"/>
                <w:szCs w:val="14"/>
                <w:color w:val="auto"/>
              </w:rPr>
              <w:t>Textile Equipment</w:t>
            </w:r>
          </w:p>
        </w:tc>
        <w:tc>
          <w:tcPr>
            <w:tcW w:w="2040" w:type="dxa"/>
            <w:vAlign w:val="bottom"/>
          </w:tcPr>
          <w:p>
            <w:pPr>
              <w:ind w:left="160"/>
              <w:spacing w:after="0" w:line="130" w:lineRule="exact"/>
              <w:rPr>
                <w:sz w:val="20"/>
                <w:szCs w:val="20"/>
                <w:color w:val="auto"/>
              </w:rPr>
            </w:pPr>
            <w:r>
              <w:rPr>
                <w:rFonts w:ascii="Arial" w:cs="Arial" w:eastAsia="Arial" w:hAnsi="Arial"/>
                <w:sz w:val="14"/>
                <w:szCs w:val="14"/>
                <w:color w:val="auto"/>
                <w:w w:val="96"/>
              </w:rPr>
              <w:t>Class A Preferred Stock (1,000</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260" w:type="dxa"/>
            <w:vAlign w:val="bottom"/>
          </w:tcPr>
          <w:p>
            <w:pPr>
              <w:ind w:left="460"/>
              <w:spacing w:after="0"/>
              <w:rPr>
                <w:sz w:val="20"/>
                <w:szCs w:val="20"/>
                <w:color w:val="auto"/>
              </w:rPr>
            </w:pPr>
            <w:r>
              <w:rPr>
                <w:rFonts w:ascii="Arial" w:cs="Arial" w:eastAsia="Arial" w:hAnsi="Arial"/>
                <w:sz w:val="14"/>
                <w:szCs w:val="14"/>
                <w:color w:val="auto"/>
              </w:rPr>
              <w:t>Manufacturer</w:t>
            </w:r>
          </w:p>
        </w:tc>
        <w:tc>
          <w:tcPr>
            <w:tcW w:w="2040" w:type="dxa"/>
            <w:vAlign w:val="bottom"/>
          </w:tcPr>
          <w:p>
            <w:pPr>
              <w:ind w:left="160"/>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1,200</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Navis Holdings,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Textile Equipment</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(300,000</w:t>
            </w: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FFCC"/>
          </w:tcPr>
          <w:p>
            <w:pPr>
              <w:spacing w:after="0"/>
              <w:rPr>
                <w:sz w:val="15"/>
                <w:szCs w:val="15"/>
                <w:color w:val="auto"/>
              </w:rPr>
            </w:pP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Manufacturer</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FFCC"/>
          </w:tcPr>
          <w:p>
            <w:pPr>
              <w:spacing w:after="0"/>
              <w:rPr>
                <w:sz w:val="15"/>
                <w:szCs w:val="15"/>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1,079</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FFCC"/>
            </w:tcBorders>
          </w:tcPr>
          <w:p>
            <w:pPr>
              <w:spacing w:after="0"/>
              <w:rPr>
                <w:sz w:val="12"/>
                <w:szCs w:val="12"/>
                <w:color w:val="auto"/>
              </w:rPr>
            </w:pPr>
          </w:p>
        </w:tc>
        <w:tc>
          <w:tcPr>
            <w:tcW w:w="2260" w:type="dxa"/>
            <w:vAlign w:val="bottom"/>
            <w:tcBorders>
              <w:bottom w:val="single" w:sz="8" w:color="CCFFCC"/>
            </w:tcBorders>
          </w:tcPr>
          <w:p>
            <w:pPr>
              <w:spacing w:after="0"/>
              <w:rPr>
                <w:sz w:val="12"/>
                <w:szCs w:val="12"/>
                <w:color w:val="auto"/>
              </w:rPr>
            </w:pPr>
          </w:p>
        </w:tc>
        <w:tc>
          <w:tcPr>
            <w:tcW w:w="2040" w:type="dxa"/>
            <w:vAlign w:val="bottom"/>
            <w:tcBorders>
              <w:bottom w:val="single" w:sz="8" w:color="CCFFCC"/>
            </w:tcBorders>
          </w:tcPr>
          <w:p>
            <w:pPr>
              <w:spacing w:after="0"/>
              <w:rPr>
                <w:sz w:val="12"/>
                <w:szCs w:val="12"/>
                <w:color w:val="auto"/>
              </w:rPr>
            </w:pPr>
          </w:p>
        </w:tc>
        <w:tc>
          <w:tcPr>
            <w:tcW w:w="40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7,754</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9,032</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2640" w:type="dxa"/>
            <w:vAlign w:val="bottom"/>
            <w:shd w:val="clear" w:color="auto" w:fill="CCFFCC"/>
          </w:tcPr>
          <w:p>
            <w:pPr>
              <w:spacing w:after="0" w:line="110" w:lineRule="exact"/>
              <w:rPr>
                <w:sz w:val="20"/>
                <w:szCs w:val="20"/>
                <w:color w:val="auto"/>
              </w:rPr>
            </w:pPr>
            <w:r>
              <w:rPr>
                <w:rFonts w:ascii="Arial" w:cs="Arial" w:eastAsia="Arial" w:hAnsi="Arial"/>
                <w:sz w:val="12"/>
                <w:szCs w:val="12"/>
                <w:color w:val="auto"/>
              </w:rPr>
              <w:t>On-Site Fuel Services, Inc.</w:t>
            </w:r>
          </w:p>
        </w:tc>
        <w:tc>
          <w:tcPr>
            <w:tcW w:w="2260" w:type="dxa"/>
            <w:vAlign w:val="bottom"/>
            <w:shd w:val="clear" w:color="auto" w:fill="CCFFCC"/>
          </w:tcPr>
          <w:p>
            <w:pPr>
              <w:ind w:left="460"/>
              <w:spacing w:after="0" w:line="110" w:lineRule="exact"/>
              <w:rPr>
                <w:sz w:val="20"/>
                <w:szCs w:val="20"/>
                <w:color w:val="auto"/>
              </w:rPr>
            </w:pPr>
            <w:r>
              <w:rPr>
                <w:rFonts w:ascii="Arial" w:cs="Arial" w:eastAsia="Arial" w:hAnsi="Arial"/>
                <w:sz w:val="12"/>
                <w:szCs w:val="12"/>
                <w:color w:val="auto"/>
              </w:rPr>
              <w:t>Fuel Transportation Services</w:t>
            </w:r>
          </w:p>
        </w:tc>
        <w:tc>
          <w:tcPr>
            <w:tcW w:w="2040" w:type="dxa"/>
            <w:vAlign w:val="bottom"/>
            <w:shd w:val="clear" w:color="auto" w:fill="CCFFCC"/>
          </w:tcPr>
          <w:p>
            <w:pPr>
              <w:ind w:left="160"/>
              <w:spacing w:after="0" w:line="110" w:lineRule="exact"/>
              <w:rPr>
                <w:sz w:val="20"/>
                <w:szCs w:val="20"/>
                <w:color w:val="auto"/>
              </w:rPr>
            </w:pPr>
            <w:r>
              <w:rPr>
                <w:rFonts w:ascii="Arial" w:cs="Arial" w:eastAsia="Arial" w:hAnsi="Arial"/>
                <w:sz w:val="12"/>
                <w:szCs w:val="12"/>
                <w:color w:val="auto"/>
              </w:rPr>
              <w:t>Subordinated Debt (14% Cash,</w:t>
            </w:r>
          </w:p>
        </w:tc>
        <w:tc>
          <w:tcPr>
            <w:tcW w:w="4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4% PIK, Due 12/19/16)</w:t>
            </w: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4,848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4,848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4,848</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On-Site Fuel Services, Inc.</w:t>
            </w:r>
          </w:p>
        </w:tc>
        <w:tc>
          <w:tcPr>
            <w:tcW w:w="2260" w:type="dxa"/>
            <w:vAlign w:val="bottom"/>
          </w:tcPr>
          <w:p>
            <w:pPr>
              <w:ind w:left="460"/>
              <w:spacing w:after="0" w:line="130" w:lineRule="exact"/>
              <w:rPr>
                <w:sz w:val="20"/>
                <w:szCs w:val="20"/>
                <w:color w:val="auto"/>
              </w:rPr>
            </w:pPr>
            <w:r>
              <w:rPr>
                <w:rFonts w:ascii="Arial" w:cs="Arial" w:eastAsia="Arial" w:hAnsi="Arial"/>
                <w:sz w:val="14"/>
                <w:szCs w:val="14"/>
                <w:color w:val="auto"/>
                <w:w w:val="99"/>
              </w:rPr>
              <w:t>Fuel Transportation Services</w:t>
            </w:r>
          </w:p>
        </w:tc>
        <w:tc>
          <w:tcPr>
            <w:tcW w:w="2040" w:type="dxa"/>
            <w:vAlign w:val="bottom"/>
          </w:tcPr>
          <w:p>
            <w:pPr>
              <w:ind w:left="160"/>
              <w:spacing w:after="0" w:line="130" w:lineRule="exact"/>
              <w:rPr>
                <w:sz w:val="20"/>
                <w:szCs w:val="20"/>
                <w:color w:val="auto"/>
              </w:rPr>
            </w:pPr>
            <w:r>
              <w:rPr>
                <w:rFonts w:ascii="Arial" w:cs="Arial" w:eastAsia="Arial" w:hAnsi="Arial"/>
                <w:sz w:val="14"/>
                <w:szCs w:val="14"/>
                <w:color w:val="auto"/>
              </w:rPr>
              <w:t>Series A Preferred Stock</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ind w:left="160"/>
              <w:spacing w:after="0"/>
              <w:rPr>
                <w:sz w:val="20"/>
                <w:szCs w:val="20"/>
                <w:color w:val="auto"/>
              </w:rPr>
            </w:pPr>
            <w:r>
              <w:rPr>
                <w:rFonts w:ascii="Arial" w:cs="Arial" w:eastAsia="Arial" w:hAnsi="Arial"/>
                <w:sz w:val="14"/>
                <w:szCs w:val="14"/>
                <w:color w:val="auto"/>
              </w:rPr>
              <w:t>(32,782 shares)</w:t>
            </w:r>
          </w:p>
        </w:tc>
        <w:tc>
          <w:tcPr>
            <w:tcW w:w="4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2,719</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64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On-Site Fuel Services, Inc. </w:t>
            </w:r>
            <w:r>
              <w:rPr>
                <w:rFonts w:ascii="Arial" w:cs="Arial" w:eastAsia="Arial" w:hAnsi="Arial"/>
                <w:sz w:val="18"/>
                <w:szCs w:val="18"/>
                <w:color w:val="auto"/>
                <w:vertAlign w:val="superscript"/>
              </w:rPr>
              <w:t>(6)</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w w:val="99"/>
              </w:rPr>
              <w:t>Fuel Transportation Services</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Series B Preferred Stock</w:t>
            </w:r>
          </w:p>
        </w:tc>
        <w:tc>
          <w:tcPr>
            <w:tcW w:w="400" w:type="dxa"/>
            <w:vAlign w:val="bottom"/>
            <w:shd w:val="clear" w:color="auto" w:fill="CCFFCC"/>
          </w:tcPr>
          <w:p>
            <w:pPr>
              <w:spacing w:after="0"/>
              <w:rPr>
                <w:sz w:val="14"/>
                <w:szCs w:val="14"/>
                <w:color w:val="auto"/>
              </w:rPr>
            </w:pPr>
          </w:p>
        </w:tc>
        <w:tc>
          <w:tcPr>
            <w:tcW w:w="68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2,707</w:t>
            </w:r>
          </w:p>
        </w:tc>
        <w:tc>
          <w:tcPr>
            <w:tcW w:w="1060" w:type="dxa"/>
            <w:vAlign w:val="bottom"/>
            <w:gridSpan w:val="3"/>
            <w:vMerge w:val="restart"/>
            <w:shd w:val="clear" w:color="auto" w:fill="CCFFCC"/>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5"/>
        </w:trPr>
        <w:tc>
          <w:tcPr>
            <w:tcW w:w="264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2040" w:type="dxa"/>
            <w:vAlign w:val="bottom"/>
            <w:shd w:val="clear" w:color="auto" w:fill="CCFFCC"/>
          </w:tcPr>
          <w:p>
            <w:pPr>
              <w:ind w:left="160"/>
              <w:spacing w:after="0" w:line="135" w:lineRule="exact"/>
              <w:rPr>
                <w:sz w:val="20"/>
                <w:szCs w:val="20"/>
                <w:color w:val="auto"/>
              </w:rPr>
            </w:pPr>
            <w:r>
              <w:rPr>
                <w:rFonts w:ascii="Arial" w:cs="Arial" w:eastAsia="Arial" w:hAnsi="Arial"/>
                <w:sz w:val="14"/>
                <w:szCs w:val="14"/>
                <w:color w:val="auto"/>
              </w:rPr>
              <w:t>(23,648 shares)</w:t>
            </w:r>
          </w:p>
        </w:tc>
        <w:tc>
          <w:tcPr>
            <w:tcW w:w="400" w:type="dxa"/>
            <w:vAlign w:val="bottom"/>
            <w:shd w:val="clear" w:color="auto" w:fill="CCFFCC"/>
          </w:tcPr>
          <w:p>
            <w:pPr>
              <w:spacing w:after="0"/>
              <w:rPr>
                <w:sz w:val="11"/>
                <w:szCs w:val="11"/>
                <w:color w:val="auto"/>
              </w:rPr>
            </w:pPr>
          </w:p>
        </w:tc>
        <w:tc>
          <w:tcPr>
            <w:tcW w:w="68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gridSpan w:val="2"/>
            <w:vMerge w:val="continue"/>
            <w:shd w:val="clear" w:color="auto" w:fill="CCFFCC"/>
          </w:tcPr>
          <w:p>
            <w:pPr>
              <w:spacing w:after="0"/>
              <w:rPr>
                <w:sz w:val="11"/>
                <w:szCs w:val="11"/>
                <w:color w:val="auto"/>
              </w:rPr>
            </w:pPr>
          </w:p>
        </w:tc>
        <w:tc>
          <w:tcPr>
            <w:tcW w:w="1060" w:type="dxa"/>
            <w:vAlign w:val="bottom"/>
            <w:gridSpan w:val="3"/>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260" w:type="dxa"/>
            <w:vAlign w:val="bottom"/>
          </w:tcPr>
          <w:p>
            <w:pPr>
              <w:ind w:left="460"/>
              <w:spacing w:after="0"/>
              <w:rPr>
                <w:sz w:val="20"/>
                <w:szCs w:val="20"/>
                <w:color w:val="auto"/>
              </w:rPr>
            </w:pPr>
            <w:r>
              <w:rPr>
                <w:rFonts w:ascii="Arial" w:cs="Arial" w:eastAsia="Arial" w:hAnsi="Arial"/>
                <w:sz w:val="14"/>
                <w:szCs w:val="14"/>
                <w:color w:val="auto"/>
                <w:w w:val="99"/>
              </w:rPr>
              <w:t>Fuel Transportation Services</w:t>
            </w:r>
          </w:p>
        </w:tc>
        <w:tc>
          <w:tcPr>
            <w:tcW w:w="2040" w:type="dxa"/>
            <w:vAlign w:val="bottom"/>
          </w:tcPr>
          <w:p>
            <w:pPr>
              <w:ind w:left="160"/>
              <w:spacing w:after="0"/>
              <w:rPr>
                <w:sz w:val="20"/>
                <w:szCs w:val="20"/>
                <w:color w:val="auto"/>
              </w:rPr>
            </w:pPr>
            <w:r>
              <w:rPr>
                <w:rFonts w:ascii="Arial" w:cs="Arial" w:eastAsia="Arial" w:hAnsi="Arial"/>
                <w:sz w:val="14"/>
                <w:szCs w:val="14"/>
                <w:color w:val="auto"/>
                <w:w w:val="94"/>
              </w:rPr>
              <w:t>Common Stock (33,107 shares)</w:t>
            </w:r>
          </w:p>
        </w:tc>
        <w:tc>
          <w:tcPr>
            <w:tcW w:w="4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640" w:type="dxa"/>
            <w:vAlign w:val="bottom"/>
            <w:tcBorders>
              <w:top w:val="single" w:sz="8" w:color="CCFFCC"/>
            </w:tcBorders>
            <w:shd w:val="clear" w:color="auto" w:fill="CCFFCC"/>
          </w:tcPr>
          <w:p>
            <w:pPr>
              <w:spacing w:after="0"/>
              <w:rPr>
                <w:sz w:val="12"/>
                <w:szCs w:val="12"/>
                <w:color w:val="auto"/>
              </w:rPr>
            </w:pPr>
          </w:p>
        </w:tc>
        <w:tc>
          <w:tcPr>
            <w:tcW w:w="2260" w:type="dxa"/>
            <w:vAlign w:val="bottom"/>
            <w:tcBorders>
              <w:top w:val="single" w:sz="8" w:color="CCFFCC"/>
            </w:tcBorders>
            <w:shd w:val="clear" w:color="auto" w:fill="CCFFCC"/>
          </w:tcPr>
          <w:p>
            <w:pPr>
              <w:spacing w:after="0"/>
              <w:rPr>
                <w:sz w:val="12"/>
                <w:szCs w:val="12"/>
                <w:color w:val="auto"/>
              </w:rPr>
            </w:pPr>
          </w:p>
        </w:tc>
        <w:tc>
          <w:tcPr>
            <w:tcW w:w="2040" w:type="dxa"/>
            <w:vAlign w:val="bottom"/>
            <w:tcBorders>
              <w:top w:val="single" w:sz="8" w:color="CCFFCC"/>
            </w:tcBorders>
            <w:shd w:val="clear" w:color="auto" w:fill="CCFFCC"/>
          </w:tcPr>
          <w:p>
            <w:pPr>
              <w:spacing w:after="0"/>
              <w:rPr>
                <w:sz w:val="12"/>
                <w:szCs w:val="12"/>
                <w:color w:val="auto"/>
              </w:rPr>
            </w:pPr>
          </w:p>
        </w:tc>
        <w:tc>
          <w:tcPr>
            <w:tcW w:w="40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10,610</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10,274</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3.8</w:t>
            </w:r>
          </w:p>
        </w:tc>
        <w:tc>
          <w:tcPr>
            <w:tcW w:w="1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1"/>
                <w:szCs w:val="11"/>
                <w:color w:val="auto"/>
              </w:rPr>
              <w:t xml:space="preserve">Print Direction, Inc. </w:t>
            </w:r>
            <w:r>
              <w:rPr>
                <w:rFonts w:ascii="Arial" w:cs="Arial" w:eastAsia="Arial" w:hAnsi="Arial"/>
                <w:sz w:val="16"/>
                <w:szCs w:val="16"/>
                <w:color w:val="auto"/>
                <w:vertAlign w:val="superscript"/>
              </w:rPr>
              <w:t>(1)</w:t>
            </w:r>
          </w:p>
        </w:tc>
        <w:tc>
          <w:tcPr>
            <w:tcW w:w="2260" w:type="dxa"/>
            <w:vAlign w:val="bottom"/>
          </w:tcPr>
          <w:p>
            <w:pPr>
              <w:ind w:left="460"/>
              <w:spacing w:after="0" w:line="142" w:lineRule="exact"/>
              <w:rPr>
                <w:sz w:val="20"/>
                <w:szCs w:val="20"/>
                <w:color w:val="auto"/>
              </w:rPr>
            </w:pPr>
            <w:r>
              <w:rPr>
                <w:rFonts w:ascii="Arial" w:cs="Arial" w:eastAsia="Arial" w:hAnsi="Arial"/>
                <w:sz w:val="14"/>
                <w:szCs w:val="14"/>
                <w:color w:val="auto"/>
              </w:rPr>
              <w:t>Printing Services</w:t>
            </w:r>
          </w:p>
        </w:tc>
        <w:tc>
          <w:tcPr>
            <w:tcW w:w="2040" w:type="dxa"/>
            <w:vAlign w:val="bottom"/>
          </w:tcPr>
          <w:p>
            <w:pPr>
              <w:ind w:left="160"/>
              <w:spacing w:after="0" w:line="142" w:lineRule="exact"/>
              <w:rPr>
                <w:sz w:val="20"/>
                <w:szCs w:val="20"/>
                <w:color w:val="auto"/>
              </w:rPr>
            </w:pPr>
            <w:r>
              <w:rPr>
                <w:rFonts w:ascii="Arial" w:cs="Arial" w:eastAsia="Arial" w:hAnsi="Arial"/>
                <w:sz w:val="14"/>
                <w:szCs w:val="14"/>
                <w:color w:val="auto"/>
                <w:w w:val="95"/>
              </w:rPr>
              <w:t>Subordinated Debt (12% Cash,</w:t>
            </w:r>
          </w:p>
        </w:tc>
        <w:tc>
          <w:tcPr>
            <w:tcW w:w="40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4,424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4,389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4,424</w:t>
            </w: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40" w:type="dxa"/>
            <w:vAlign w:val="bottom"/>
          </w:tcPr>
          <w:p>
            <w:pPr>
              <w:ind w:left="160"/>
              <w:spacing w:after="0" w:line="135" w:lineRule="exact"/>
              <w:rPr>
                <w:sz w:val="20"/>
                <w:szCs w:val="20"/>
                <w:color w:val="auto"/>
              </w:rPr>
            </w:pPr>
            <w:r>
              <w:rPr>
                <w:rFonts w:ascii="Arial" w:cs="Arial" w:eastAsia="Arial" w:hAnsi="Arial"/>
                <w:sz w:val="14"/>
                <w:szCs w:val="14"/>
                <w:color w:val="auto"/>
              </w:rPr>
              <w:t>6% PIK, Due 7/25/2018)</w:t>
            </w:r>
          </w:p>
        </w:tc>
        <w:tc>
          <w:tcPr>
            <w:tcW w:w="4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 xml:space="preserve">Print Direction, Inc. </w:t>
            </w:r>
            <w:r>
              <w:rPr>
                <w:rFonts w:ascii="Arial" w:cs="Arial" w:eastAsia="Arial" w:hAnsi="Arial"/>
                <w:sz w:val="18"/>
                <w:szCs w:val="18"/>
                <w:color w:val="auto"/>
                <w:vertAlign w:val="superscript"/>
              </w:rPr>
              <w:t>(1)</w:t>
            </w:r>
          </w:p>
        </w:tc>
        <w:tc>
          <w:tcPr>
            <w:tcW w:w="2260" w:type="dxa"/>
            <w:vAlign w:val="bottom"/>
            <w:shd w:val="clear" w:color="auto" w:fill="CCFFCC"/>
          </w:tcPr>
          <w:p>
            <w:pPr>
              <w:ind w:left="460"/>
              <w:spacing w:after="0"/>
              <w:rPr>
                <w:sz w:val="20"/>
                <w:szCs w:val="20"/>
                <w:color w:val="auto"/>
              </w:rPr>
            </w:pPr>
            <w:r>
              <w:rPr>
                <w:rFonts w:ascii="Arial" w:cs="Arial" w:eastAsia="Arial" w:hAnsi="Arial"/>
                <w:sz w:val="14"/>
                <w:szCs w:val="14"/>
                <w:color w:val="auto"/>
              </w:rPr>
              <w:t>Printing Services</w:t>
            </w: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w w:val="95"/>
              </w:rPr>
              <w:t>Subordinated Debt (14% Cash,</w:t>
            </w:r>
          </w:p>
        </w:tc>
        <w:tc>
          <w:tcPr>
            <w:tcW w:w="400" w:type="dxa"/>
            <w:vAlign w:val="bottom"/>
            <w:shd w:val="clear" w:color="auto" w:fill="CCFFCC"/>
          </w:tcPr>
          <w:p>
            <w:pPr>
              <w:spacing w:after="0"/>
              <w:rPr>
                <w:sz w:val="14"/>
                <w:szCs w:val="14"/>
                <w:color w:val="auto"/>
              </w:rPr>
            </w:pPr>
          </w:p>
        </w:tc>
        <w:tc>
          <w:tcPr>
            <w:tcW w:w="68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4,600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4,600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6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4,600</w:t>
            </w:r>
          </w:p>
        </w:tc>
        <w:tc>
          <w:tcPr>
            <w:tcW w:w="1060" w:type="dxa"/>
            <w:vAlign w:val="bottom"/>
            <w:gridSpan w:val="3"/>
            <w:vMerge w:val="restart"/>
            <w:shd w:val="clear" w:color="auto" w:fill="CCFFCC"/>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264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2040" w:type="dxa"/>
            <w:vAlign w:val="bottom"/>
            <w:shd w:val="clear" w:color="auto" w:fill="CCFFCC"/>
          </w:tcPr>
          <w:p>
            <w:pPr>
              <w:ind w:left="160"/>
              <w:spacing w:after="0" w:line="135" w:lineRule="exact"/>
              <w:rPr>
                <w:sz w:val="20"/>
                <w:szCs w:val="20"/>
                <w:color w:val="auto"/>
              </w:rPr>
            </w:pPr>
            <w:r>
              <w:rPr>
                <w:rFonts w:ascii="Arial" w:cs="Arial" w:eastAsia="Arial" w:hAnsi="Arial"/>
                <w:sz w:val="14"/>
                <w:szCs w:val="14"/>
                <w:color w:val="auto"/>
              </w:rPr>
              <w:t>Due 7/31/18)</w:t>
            </w:r>
          </w:p>
        </w:tc>
        <w:tc>
          <w:tcPr>
            <w:tcW w:w="400" w:type="dxa"/>
            <w:vAlign w:val="bottom"/>
            <w:shd w:val="clear" w:color="auto" w:fill="CCFFCC"/>
          </w:tcPr>
          <w:p>
            <w:pPr>
              <w:spacing w:after="0"/>
              <w:rPr>
                <w:sz w:val="11"/>
                <w:szCs w:val="11"/>
                <w:color w:val="auto"/>
              </w:rPr>
            </w:pPr>
          </w:p>
        </w:tc>
        <w:tc>
          <w:tcPr>
            <w:tcW w:w="68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gridSpan w:val="2"/>
            <w:vMerge w:val="continue"/>
            <w:shd w:val="clear" w:color="auto" w:fill="CCFFCC"/>
          </w:tcPr>
          <w:p>
            <w:pPr>
              <w:spacing w:after="0"/>
              <w:rPr>
                <w:sz w:val="11"/>
                <w:szCs w:val="11"/>
                <w:color w:val="auto"/>
              </w:rPr>
            </w:pPr>
          </w:p>
        </w:tc>
        <w:tc>
          <w:tcPr>
            <w:tcW w:w="1060" w:type="dxa"/>
            <w:vAlign w:val="bottom"/>
            <w:gridSpan w:val="3"/>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Print Direction, Inc.</w:t>
            </w:r>
          </w:p>
        </w:tc>
        <w:tc>
          <w:tcPr>
            <w:tcW w:w="2260" w:type="dxa"/>
            <w:vAlign w:val="bottom"/>
          </w:tcPr>
          <w:p>
            <w:pPr>
              <w:ind w:left="460"/>
              <w:spacing w:after="0" w:line="149" w:lineRule="exact"/>
              <w:rPr>
                <w:sz w:val="20"/>
                <w:szCs w:val="20"/>
                <w:color w:val="auto"/>
              </w:rPr>
            </w:pPr>
            <w:r>
              <w:rPr>
                <w:rFonts w:ascii="Arial" w:cs="Arial" w:eastAsia="Arial" w:hAnsi="Arial"/>
                <w:sz w:val="14"/>
                <w:szCs w:val="14"/>
                <w:color w:val="auto"/>
              </w:rPr>
              <w:t>Printing Services</w:t>
            </w:r>
          </w:p>
        </w:tc>
        <w:tc>
          <w:tcPr>
            <w:tcW w:w="2040" w:type="dxa"/>
            <w:vAlign w:val="bottom"/>
          </w:tcPr>
          <w:p>
            <w:pPr>
              <w:ind w:left="160"/>
              <w:spacing w:after="0" w:line="149" w:lineRule="exact"/>
              <w:rPr>
                <w:sz w:val="20"/>
                <w:szCs w:val="20"/>
                <w:color w:val="auto"/>
              </w:rPr>
            </w:pPr>
            <w:r>
              <w:rPr>
                <w:rFonts w:ascii="Arial" w:cs="Arial" w:eastAsia="Arial" w:hAnsi="Arial"/>
                <w:sz w:val="14"/>
                <w:szCs w:val="14"/>
                <w:color w:val="auto"/>
                <w:w w:val="94"/>
              </w:rPr>
              <w:t>Common Stock (19,363 shares)</w:t>
            </w:r>
          </w:p>
        </w:tc>
        <w:tc>
          <w:tcPr>
            <w:tcW w:w="4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7,110</w:t>
            </w:r>
          </w:p>
        </w:tc>
        <w:tc>
          <w:tcPr>
            <w:tcW w:w="10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Print Direction, Inc.</w:t>
            </w:r>
          </w:p>
        </w:tc>
        <w:tc>
          <w:tcPr>
            <w:tcW w:w="2260" w:type="dxa"/>
            <w:vAlign w:val="bottom"/>
            <w:shd w:val="clear" w:color="auto" w:fill="CCFFCC"/>
          </w:tcPr>
          <w:p>
            <w:pPr>
              <w:ind w:left="460"/>
              <w:spacing w:after="0" w:line="130" w:lineRule="exact"/>
              <w:rPr>
                <w:sz w:val="20"/>
                <w:szCs w:val="20"/>
                <w:color w:val="auto"/>
              </w:rPr>
            </w:pPr>
            <w:r>
              <w:rPr>
                <w:rFonts w:ascii="Arial" w:cs="Arial" w:eastAsia="Arial" w:hAnsi="Arial"/>
                <w:sz w:val="14"/>
                <w:szCs w:val="14"/>
                <w:color w:val="auto"/>
              </w:rPr>
              <w:t>Printing Services</w:t>
            </w:r>
          </w:p>
        </w:tc>
        <w:tc>
          <w:tcPr>
            <w:tcW w:w="20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Warrants (3%</w:t>
            </w: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FFCC"/>
          </w:tcPr>
          <w:p>
            <w:pPr>
              <w:spacing w:after="0"/>
              <w:rPr>
                <w:sz w:val="15"/>
                <w:szCs w:val="15"/>
                <w:color w:val="auto"/>
              </w:rPr>
            </w:pPr>
          </w:p>
        </w:tc>
        <w:tc>
          <w:tcPr>
            <w:tcW w:w="2260" w:type="dxa"/>
            <w:vAlign w:val="bottom"/>
            <w:shd w:val="clear" w:color="auto" w:fill="CCFFCC"/>
          </w:tcPr>
          <w:p>
            <w:pPr>
              <w:spacing w:after="0"/>
              <w:rPr>
                <w:sz w:val="15"/>
                <w:szCs w:val="15"/>
                <w:color w:val="auto"/>
              </w:rPr>
            </w:pPr>
          </w:p>
        </w:tc>
        <w:tc>
          <w:tcPr>
            <w:tcW w:w="20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fully diluted)</w:t>
            </w:r>
          </w:p>
        </w:tc>
        <w:tc>
          <w:tcPr>
            <w:tcW w:w="400" w:type="dxa"/>
            <w:vAlign w:val="bottom"/>
            <w:shd w:val="clear" w:color="auto" w:fill="CCFFCC"/>
          </w:tcPr>
          <w:p>
            <w:pPr>
              <w:spacing w:after="0"/>
              <w:rPr>
                <w:sz w:val="15"/>
                <w:szCs w:val="15"/>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CFFCC"/>
          </w:tcPr>
          <w:p>
            <w:pPr>
              <w:spacing w:after="0"/>
              <w:rPr>
                <w:sz w:val="15"/>
                <w:szCs w:val="15"/>
                <w:color w:val="auto"/>
              </w:rPr>
            </w:pP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FFCC"/>
            </w:tcBorders>
          </w:tcPr>
          <w:p>
            <w:pPr>
              <w:spacing w:after="0"/>
              <w:rPr>
                <w:sz w:val="12"/>
                <w:szCs w:val="12"/>
                <w:color w:val="auto"/>
              </w:rPr>
            </w:pPr>
          </w:p>
        </w:tc>
        <w:tc>
          <w:tcPr>
            <w:tcW w:w="2260" w:type="dxa"/>
            <w:vAlign w:val="bottom"/>
            <w:tcBorders>
              <w:bottom w:val="single" w:sz="8" w:color="CCFFCC"/>
            </w:tcBorders>
          </w:tcPr>
          <w:p>
            <w:pPr>
              <w:spacing w:after="0"/>
              <w:rPr>
                <w:sz w:val="12"/>
                <w:szCs w:val="12"/>
                <w:color w:val="auto"/>
              </w:rPr>
            </w:pPr>
          </w:p>
        </w:tc>
        <w:tc>
          <w:tcPr>
            <w:tcW w:w="2040" w:type="dxa"/>
            <w:vAlign w:val="bottom"/>
            <w:tcBorders>
              <w:bottom w:val="single" w:sz="8" w:color="CCFFCC"/>
            </w:tcBorders>
          </w:tcPr>
          <w:p>
            <w:pPr>
              <w:spacing w:after="0"/>
              <w:rPr>
                <w:sz w:val="12"/>
                <w:szCs w:val="12"/>
                <w:color w:val="auto"/>
              </w:rPr>
            </w:pPr>
          </w:p>
        </w:tc>
        <w:tc>
          <w:tcPr>
            <w:tcW w:w="40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11,979</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16,448</w:t>
            </w:r>
          </w:p>
        </w:tc>
        <w:tc>
          <w:tcPr>
            <w:tcW w:w="2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w:t>
            </w:r>
          </w:p>
        </w:tc>
        <w:tc>
          <w:tcPr>
            <w:tcW w:w="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6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Sub Total Control investments</w:t>
            </w:r>
          </w:p>
        </w:tc>
        <w:tc>
          <w:tcPr>
            <w:tcW w:w="2260" w:type="dxa"/>
            <w:vAlign w:val="bottom"/>
            <w:shd w:val="clear" w:color="auto" w:fill="CCFFCC"/>
          </w:tcPr>
          <w:p>
            <w:pPr>
              <w:spacing w:after="0"/>
              <w:rPr>
                <w:sz w:val="12"/>
                <w:szCs w:val="12"/>
                <w:color w:val="auto"/>
              </w:rPr>
            </w:pPr>
          </w:p>
        </w:tc>
        <w:tc>
          <w:tcPr>
            <w:tcW w:w="20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tcBorders>
              <w:bottom w:val="single" w:sz="8" w:color="auto"/>
            </w:tcBorders>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58,057</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tcBorders>
              <w:bottom w:val="single" w:sz="8" w:color="auto"/>
            </w:tcBorders>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76,481</w:t>
            </w:r>
          </w:p>
        </w:tc>
        <w:tc>
          <w:tcPr>
            <w:tcW w:w="200" w:type="dxa"/>
            <w:vAlign w:val="bottom"/>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28.4</w:t>
            </w:r>
          </w:p>
        </w:tc>
        <w:tc>
          <w:tcPr>
            <w:tcW w:w="1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6"/>
        </w:trPr>
        <w:tc>
          <w:tcPr>
            <w:tcW w:w="264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 - 135.7%</w:t>
            </w:r>
          </w:p>
        </w:tc>
        <w:tc>
          <w:tcPr>
            <w:tcW w:w="2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301,299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364,719</w:t>
            </w:r>
          </w:p>
        </w:tc>
        <w:tc>
          <w:tcPr>
            <w:tcW w:w="2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135.7</w:t>
            </w:r>
          </w:p>
        </w:tc>
        <w:tc>
          <w:tcPr>
            <w:tcW w:w="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 maturity date of the original investment has been extended.</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Due to deterioration in credit quality, this investment is on non- accrual status.</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The debt investment is accruing interest based on the terms of the forebearance agreement.</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All debt investments are income producing. Equity and warrant investments are non-income producing, unless otherwise noted.</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Percentages are based on net assets of $268,670 as of December 31, 2013.</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The equity investment is income producing, based on cash rate disclosed.</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During the fourth quarter of 2013, the Company accepted a consent fee that waives its right to dividends through September 30, 2014.</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The equity investment has an exercisable put option.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Capitala Finance Corp. (the “Company”, “we”, “us”, and “our”) is a newly formed,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In addition, for U.S. federal income tax purposes, the Company intends to elect to be treated as a regulated investment company (“RIC”), under Subchapter M of the Internal Revenue Code of 1986, as amended (the “Code”) commencing with our tax year ending August 31, 2014.</w:t>
      </w:r>
    </w:p>
    <w:p>
      <w:pPr>
        <w:spacing w:after="0" w:line="182"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58"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158"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March 31, 2014, the Company had 12,974,420 shares of common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accompanying unaudited financial statements are presented in conformity with United States generally accepted accounting principles (“U.S. GAAP”) for interim financial information and pursuant to the requirements for reporting on Form 10-Q and Article 10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for the period ended December 31, 2013.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ind w:firstLine="881"/>
        <w:spacing w:after="0" w:line="293" w:lineRule="auto"/>
        <w:rPr>
          <w:sz w:val="20"/>
          <w:szCs w:val="20"/>
          <w:color w:val="auto"/>
        </w:rPr>
      </w:pPr>
      <w:r>
        <w:rPr>
          <w:rFonts w:ascii="Arial" w:cs="Arial" w:eastAsia="Arial" w:hAnsi="Arial"/>
          <w:sz w:val="16"/>
          <w:szCs w:val="16"/>
          <w:color w:val="auto"/>
        </w:rPr>
        <w:t xml:space="preserve">The consolidated financial statements of the Company include the accounts of the Company and its wholly-owned subsidiaries as described in the Formation Transactions presented in Note 1. The transactions related to Fund II, Fund III, and the Florida Sidecar constitute an exchange of shares between entities under common control and will be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 such, the results of the Company’s operations and cash flows for the three months ended March 31, 2013 have been presented on a combined basis in order to provide comparative information with respect to prior periods. The Formation Transactions also included an asset acquisition of certain assets in Fund I and Fund III Parent.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acquired were recorded at fair value at the date of acquisition, September 24, 2013.</w:t>
      </w:r>
    </w:p>
    <w:p>
      <w:pPr>
        <w:spacing w:after="0" w:line="165"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Company’s financial position as of March 31, 2014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40" w:firstLine="881"/>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In accordance with ASC Topic 280 -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has determined that it has a single reporting segment and operating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Cash and cash equivalents include deposits in money market accounts.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40" w:firstLine="881"/>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ASC 820 defines fair value, establishes a framework used to measure fair value and requires disclosures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In determining fair value, our board of directors (the “Board”) uses various valuation approaches, and engages a third-party valuation firm, which provides an independent review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right="60" w:firstLine="881"/>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(as defined below).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7"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Senior and Subordinated Secured Loans</w:t>
      </w:r>
    </w:p>
    <w:p>
      <w:pPr>
        <w:spacing w:after="0" w:line="225" w:lineRule="exact"/>
        <w:rPr>
          <w:sz w:val="20"/>
          <w:szCs w:val="20"/>
          <w:color w:val="auto"/>
        </w:rPr>
      </w:pPr>
    </w:p>
    <w:p>
      <w:pPr>
        <w:ind w:right="120" w:firstLine="881"/>
        <w:spacing w:after="0" w:line="293" w:lineRule="auto"/>
        <w:rPr>
          <w:sz w:val="20"/>
          <w:szCs w:val="20"/>
          <w:color w:val="auto"/>
        </w:rPr>
      </w:pPr>
      <w:r>
        <w:rPr>
          <w:rFonts w:ascii="Arial" w:cs="Arial" w:eastAsia="Arial" w:hAnsi="Arial"/>
          <w:sz w:val="16"/>
          <w:szCs w:val="16"/>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will evaluate the value of the collateral utilizing the same framework described above for a performing loan to determine the value of the Level 3 debt instrument.</w:t>
      </w:r>
    </w:p>
    <w:p>
      <w:pPr>
        <w:spacing w:after="0" w:line="165" w:lineRule="exact"/>
        <w:rPr>
          <w:sz w:val="20"/>
          <w:szCs w:val="20"/>
          <w:color w:val="auto"/>
        </w:rPr>
      </w:pPr>
    </w:p>
    <w:p>
      <w:pPr>
        <w:jc w:val="both"/>
        <w:ind w:right="100" w:firstLine="881"/>
        <w:spacing w:after="0" w:line="259" w:lineRule="auto"/>
        <w:rPr>
          <w:sz w:val="20"/>
          <w:szCs w:val="20"/>
          <w:color w:val="auto"/>
        </w:rPr>
      </w:pPr>
      <w:r>
        <w:rPr>
          <w:rFonts w:ascii="Arial" w:cs="Arial" w:eastAsia="Arial" w:hAnsi="Arial"/>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Investments in Private Companies</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Our Board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Our Board will ascribe value to warrants based on the fair value of holdings to which they are associated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i w:val="1"/>
          <w:iCs w:val="1"/>
          <w:color w:val="auto"/>
        </w:rPr>
        <w:t xml:space="preserve">Interest Income and Paid-in Kind Interest: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i w:val="1"/>
          <w:iCs w:val="1"/>
          <w:color w:val="auto"/>
        </w:rPr>
        <w:t xml:space="preserve">Non-accrual income: </w:t>
      </w:r>
      <w:r>
        <w:rPr>
          <w:rFonts w:ascii="Arial" w:cs="Arial" w:eastAsia="Arial" w:hAnsi="Arial"/>
          <w:sz w:val="17"/>
          <w:szCs w:val="17"/>
          <w:color w:val="auto"/>
        </w:rPr>
        <w:t>Generally, when interest and/or principal payments on a loan become materially past due, or if the Company otherwise does</w:t>
      </w:r>
      <w:r>
        <w:rPr>
          <w:rFonts w:ascii="Arial" w:cs="Arial" w:eastAsia="Arial" w:hAnsi="Arial"/>
          <w:sz w:val="17"/>
          <w:szCs w:val="17"/>
          <w:i w:val="1"/>
          <w:iCs w:val="1"/>
          <w:color w:val="auto"/>
        </w:rPr>
        <w:t xml:space="preserve"> </w:t>
      </w:r>
      <w:r>
        <w:rPr>
          <w:rFonts w:ascii="Arial" w:cs="Arial" w:eastAsia="Arial" w:hAnsi="Arial"/>
          <w:sz w:val="17"/>
          <w:szCs w:val="17"/>
          <w:color w:val="auto"/>
        </w:rPr>
        <w:t>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closing and/or commitment fees associated with investments in portfolio companies are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General and administrative expenses are accrued as incurred. The Company’s general and administrative expenses include personnel expenses allocable to the Company under the Administration Agreement, legal and audit fees, director fees, director and officer insurance, and other expenses payable under the Administration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Costs incurred to issue the SBA-guaranteed debentures payable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2014 and December 31, 2013, the Company had no outstanding unfunded commitments.</w:t>
      </w:r>
    </w:p>
    <w:p>
      <w:pPr>
        <w:spacing w:after="0" w:line="225"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20" w:firstLine="881"/>
        <w:spacing w:after="0" w:line="264" w:lineRule="auto"/>
        <w:rPr>
          <w:sz w:val="20"/>
          <w:szCs w:val="20"/>
          <w:color w:val="auto"/>
        </w:rPr>
      </w:pPr>
      <w:r>
        <w:rPr>
          <w:rFonts w:ascii="Arial" w:cs="Arial" w:eastAsia="Arial" w:hAnsi="Arial"/>
          <w:sz w:val="18"/>
          <w:szCs w:val="18"/>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2014 and December 31, 2013,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2014 and December 31,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three month periods ended March 31, 2014 and March 31, 2013.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capital gains, if any, are generally distributed at least annually, although we may decide to retain such capital gains for reinvestment.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ind w:right="240" w:firstLine="881"/>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his/her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00" w:firstLine="881"/>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right="80" w:firstLine="881"/>
        <w:spacing w:after="0" w:line="279" w:lineRule="auto"/>
        <w:rPr>
          <w:sz w:val="20"/>
          <w:szCs w:val="20"/>
          <w:color w:val="auto"/>
        </w:rPr>
      </w:pPr>
      <w:r>
        <w:rPr>
          <w:rFonts w:ascii="Arial" w:cs="Arial" w:eastAsia="Arial" w:hAnsi="Arial"/>
          <w:sz w:val="17"/>
          <w:szCs w:val="17"/>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loan-to-liquidation values with each loan and the collateral underlying the loan.</w:t>
      </w:r>
    </w:p>
    <w:p>
      <w:pPr>
        <w:spacing w:after="0" w:line="170" w:lineRule="exact"/>
        <w:rPr>
          <w:sz w:val="20"/>
          <w:szCs w:val="20"/>
          <w:color w:val="auto"/>
        </w:rPr>
      </w:pPr>
    </w:p>
    <w:p>
      <w:pPr>
        <w:jc w:val="both"/>
        <w:ind w:right="60" w:firstLine="881"/>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 xml:space="preserve">In June, 2013 the Financial Accounting Standards Board (“FASB”) issued Accounting Standards Update (“ASU”) No 2013-08,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 Investment Companies (Topic 946), Amendments to the Scope, Measurement, and Disclosure 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in this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affect the scope, measurement, and disclosure requirements for investment companies under U.S. generally accepted accounting principles,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Early adoption is prohibited. The Company has adopted this standard and the required disclosures are presented in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 As of March 31, 2014, our portfolio consisted of investments in 43 portfolio companies with a fair value of approximately $391.2 million.</w:t>
      </w:r>
    </w:p>
    <w:p>
      <w:pPr>
        <w:spacing w:after="0" w:line="193"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During the three months ended March 31, 2014, we made approximately $41.1 million of investments in new or existing portfolio companies and had approximately $10.7 million in exits and repayments resulting in net investments of approximately $30.4 million for the period. During the three months ended March 31, 2013, we made approximately $21.1 million of investments in new or existing portfolio companies and had approximately $13.0 million in exits and repayments resulting in net investments of approximately $8.1 million for the period.</w:t>
      </w:r>
    </w:p>
    <w:p>
      <w:pPr>
        <w:spacing w:after="0" w:line="171"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During the three month period ended March 31, 2014, all investments were made to portfolio companies in which the Company was not previously contractually obligated to provide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month period ended March 31, 2014, the Company did not lead any syndicates. During the three months ended March 31, 2014, the Company helped Print Direction, Inc. obtain a $3.5 million senior revolving credit facility.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5" w:name="page26"/>
    <w:bookmarkEnd w:id="25"/>
    <w:p>
      <w:pPr>
        <w:ind w:left="880"/>
        <w:spacing w:after="0"/>
        <w:rPr>
          <w:sz w:val="20"/>
          <w:szCs w:val="20"/>
          <w:color w:val="auto"/>
        </w:rPr>
      </w:pPr>
      <w:r>
        <w:rPr>
          <w:rFonts w:ascii="Arial" w:cs="Arial" w:eastAsia="Arial" w:hAnsi="Arial"/>
          <w:sz w:val="18"/>
          <w:szCs w:val="18"/>
          <w:color w:val="auto"/>
        </w:rPr>
        <w:t>The composition of our investments as of March 31, 2014, at amortized cost and fair value were as follows (dollars in thousands):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Investments at</w:t>
            </w:r>
          </w:p>
        </w:tc>
        <w:tc>
          <w:tcPr>
            <w:tcW w:w="80" w:type="dxa"/>
            <w:vAlign w:val="bottom"/>
          </w:tcPr>
          <w:p>
            <w:pPr>
              <w:spacing w:after="0"/>
              <w:rPr>
                <w:sz w:val="18"/>
                <w:szCs w:val="18"/>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Investments at</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48"/>
        </w:trPr>
        <w:tc>
          <w:tcPr>
            <w:tcW w:w="504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6"/>
              </w:rPr>
              <w:t>Amortized Cost</w:t>
            </w:r>
          </w:p>
        </w:tc>
        <w:tc>
          <w:tcPr>
            <w:tcW w:w="80" w:type="dxa"/>
            <w:vAlign w:val="bottom"/>
          </w:tcPr>
          <w:p>
            <w:pPr>
              <w:spacing w:after="0"/>
              <w:rPr>
                <w:sz w:val="21"/>
                <w:szCs w:val="21"/>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Senior Secured Debt</w:t>
            </w: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136,581</w:t>
            </w:r>
          </w:p>
        </w:tc>
        <w:tc>
          <w:tcPr>
            <w:tcW w:w="100" w:type="dxa"/>
            <w:vAlign w:val="bottom"/>
            <w:vMerge w:val="continue"/>
            <w:shd w:val="clear" w:color="auto" w:fill="CCFFCC"/>
          </w:tcPr>
          <w:p>
            <w:pPr>
              <w:spacing w:after="0"/>
              <w:rPr>
                <w:sz w:val="18"/>
                <w:szCs w:val="18"/>
                <w:color w:val="auto"/>
              </w:rPr>
            </w:pPr>
          </w:p>
        </w:tc>
        <w:tc>
          <w:tcPr>
            <w:tcW w:w="80" w:type="dxa"/>
            <w:vAlign w:val="bottom"/>
            <w:vMerge w:val="continue"/>
            <w:shd w:val="clear" w:color="auto" w:fill="CCFFCC"/>
          </w:tcPr>
          <w:p>
            <w:pPr>
              <w:spacing w:after="0"/>
              <w:rPr>
                <w:sz w:val="18"/>
                <w:szCs w:val="18"/>
                <w:color w:val="auto"/>
              </w:rPr>
            </w:pPr>
          </w:p>
        </w:tc>
        <w:tc>
          <w:tcPr>
            <w:tcW w:w="14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134,508</w:t>
            </w:r>
          </w:p>
        </w:tc>
        <w:tc>
          <w:tcPr>
            <w:tcW w:w="180" w:type="dxa"/>
            <w:vAlign w:val="bottom"/>
            <w:shd w:val="clear" w:color="auto" w:fill="CCFFCC"/>
          </w:tcPr>
          <w:p>
            <w:pPr>
              <w:spacing w:after="0"/>
              <w:rPr>
                <w:sz w:val="18"/>
                <w:szCs w:val="18"/>
                <w:color w:val="auto"/>
              </w:rPr>
            </w:pPr>
          </w:p>
        </w:tc>
        <w:tc>
          <w:tcPr>
            <w:tcW w:w="1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133,060</w:t>
            </w:r>
          </w:p>
        </w:tc>
        <w:tc>
          <w:tcPr>
            <w:tcW w:w="1540" w:type="dxa"/>
            <w:vAlign w:val="bottom"/>
            <w:gridSpan w:val="3"/>
          </w:tcPr>
          <w:p>
            <w:pPr>
              <w:jc w:val="right"/>
              <w:ind w:right="17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130,181</w:t>
            </w: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Equity and Warrants</w:t>
            </w:r>
          </w:p>
        </w:tc>
        <w:tc>
          <w:tcPr>
            <w:tcW w:w="34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63,843</w:t>
            </w:r>
          </w:p>
        </w:tc>
        <w:tc>
          <w:tcPr>
            <w:tcW w:w="1540" w:type="dxa"/>
            <w:vAlign w:val="bottom"/>
            <w:gridSpan w:val="3"/>
            <w:shd w:val="clear" w:color="auto" w:fill="CCFFCC"/>
          </w:tcPr>
          <w:p>
            <w:pPr>
              <w:jc w:val="right"/>
              <w:ind w:right="17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126,492</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391,181</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composition of our investments as of December 31, 2013, at amortized cost and fair value were as follows (dollars in thousands):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Investments at</w:t>
            </w:r>
          </w:p>
        </w:tc>
        <w:tc>
          <w:tcPr>
            <w:tcW w:w="80" w:type="dxa"/>
            <w:vAlign w:val="bottom"/>
          </w:tcPr>
          <w:p>
            <w:pPr>
              <w:spacing w:after="0"/>
              <w:rPr>
                <w:sz w:val="18"/>
                <w:szCs w:val="18"/>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Investments at</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6"/>
              </w:rPr>
              <w:t>Amortized Cost</w:t>
            </w:r>
          </w:p>
        </w:tc>
        <w:tc>
          <w:tcPr>
            <w:tcW w:w="80" w:type="dxa"/>
            <w:vAlign w:val="bottom"/>
          </w:tcPr>
          <w:p>
            <w:pPr>
              <w:spacing w:after="0"/>
              <w:rPr>
                <w:sz w:val="20"/>
                <w:szCs w:val="20"/>
                <w:color w:val="auto"/>
              </w:rPr>
            </w:pP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Senior Secured Debt</w:t>
            </w: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103,457</w:t>
            </w:r>
          </w:p>
        </w:tc>
        <w:tc>
          <w:tcPr>
            <w:tcW w:w="100" w:type="dxa"/>
            <w:vAlign w:val="bottom"/>
            <w:vMerge w:val="continue"/>
            <w:shd w:val="clear" w:color="auto" w:fill="CCFFCC"/>
          </w:tcPr>
          <w:p>
            <w:pPr>
              <w:spacing w:after="0"/>
              <w:rPr>
                <w:sz w:val="18"/>
                <w:szCs w:val="18"/>
                <w:color w:val="auto"/>
              </w:rPr>
            </w:pPr>
          </w:p>
        </w:tc>
        <w:tc>
          <w:tcPr>
            <w:tcW w:w="80" w:type="dxa"/>
            <w:vAlign w:val="bottom"/>
            <w:vMerge w:val="continue"/>
            <w:shd w:val="clear" w:color="auto" w:fill="CCFFCC"/>
          </w:tcPr>
          <w:p>
            <w:pPr>
              <w:spacing w:after="0"/>
              <w:rPr>
                <w:sz w:val="18"/>
                <w:szCs w:val="18"/>
                <w:color w:val="auto"/>
              </w:rPr>
            </w:pPr>
          </w:p>
        </w:tc>
        <w:tc>
          <w:tcPr>
            <w:tcW w:w="14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102,071</w:t>
            </w:r>
          </w:p>
        </w:tc>
        <w:tc>
          <w:tcPr>
            <w:tcW w:w="180" w:type="dxa"/>
            <w:vAlign w:val="bottom"/>
            <w:shd w:val="clear" w:color="auto" w:fill="CCFFCC"/>
          </w:tcPr>
          <w:p>
            <w:pPr>
              <w:spacing w:after="0"/>
              <w:rPr>
                <w:sz w:val="18"/>
                <w:szCs w:val="18"/>
                <w:color w:val="auto"/>
              </w:rPr>
            </w:pPr>
          </w:p>
        </w:tc>
        <w:tc>
          <w:tcPr>
            <w:tcW w:w="1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136,638</w:t>
            </w:r>
          </w:p>
        </w:tc>
        <w:tc>
          <w:tcPr>
            <w:tcW w:w="1540" w:type="dxa"/>
            <w:vAlign w:val="bottom"/>
            <w:gridSpan w:val="3"/>
          </w:tcPr>
          <w:p>
            <w:pPr>
              <w:jc w:val="right"/>
              <w:ind w:right="17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133,710</w:t>
            </w: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Equity and Warrants</w:t>
            </w:r>
          </w:p>
        </w:tc>
        <w:tc>
          <w:tcPr>
            <w:tcW w:w="34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61,204</w:t>
            </w:r>
          </w:p>
        </w:tc>
        <w:tc>
          <w:tcPr>
            <w:tcW w:w="1540" w:type="dxa"/>
            <w:vAlign w:val="bottom"/>
            <w:gridSpan w:val="3"/>
            <w:shd w:val="clear" w:color="auto" w:fill="CCFFCC"/>
          </w:tcPr>
          <w:p>
            <w:pPr>
              <w:jc w:val="right"/>
              <w:ind w:right="17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128,938</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60" w:firstLine="881"/>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1420" w:hanging="426"/>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248" w:lineRule="exact"/>
        <w:rPr>
          <w:rFonts w:ascii="Arial" w:cs="Arial" w:eastAsia="Arial" w:hAnsi="Arial"/>
          <w:sz w:val="16"/>
          <w:szCs w:val="16"/>
          <w:color w:val="auto"/>
        </w:rPr>
      </w:pPr>
    </w:p>
    <w:p>
      <w:pPr>
        <w:ind w:left="1420" w:hanging="426"/>
        <w:spacing w:after="0"/>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2—Valuations based on inputs other than quoted prices in active markets, which are either directly or indirectly observable.</w:t>
      </w:r>
    </w:p>
    <w:p>
      <w:pPr>
        <w:spacing w:after="0" w:line="236" w:lineRule="exact"/>
        <w:rPr>
          <w:rFonts w:ascii="Arial" w:cs="Arial" w:eastAsia="Arial" w:hAnsi="Arial"/>
          <w:sz w:val="17"/>
          <w:szCs w:val="17"/>
          <w:color w:val="auto"/>
        </w:rPr>
      </w:pPr>
    </w:p>
    <w:p>
      <w:pPr>
        <w:ind w:left="1420" w:hanging="426"/>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In estimating fair value of portfolio investments, the Company starts with the cost basis of the investment, which includes amortized original issue discount and PIK interest and dividends,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6" w:name="page27"/>
    <w:bookmarkEnd w:id="26"/>
    <w:p>
      <w:pPr>
        <w:ind w:left="98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When available, the Company may assign a pricing multiple or value its equity investments based on the value of recent investment transactions in the subject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right="260" w:firstLine="881"/>
        <w:spacing w:after="0" w:line="264" w:lineRule="auto"/>
        <w:rPr>
          <w:sz w:val="20"/>
          <w:szCs w:val="20"/>
          <w:color w:val="auto"/>
        </w:rPr>
      </w:pPr>
      <w:r>
        <w:rPr>
          <w:rFonts w:ascii="Arial" w:cs="Arial" w:eastAsia="Arial" w:hAnsi="Arial"/>
          <w:sz w:val="18"/>
          <w:szCs w:val="18"/>
          <w:color w:val="auto"/>
        </w:rPr>
        <w:t>The income approach utilizes a discounted cash flow methodology in which the Company estimates fair value based on the present value of a stream of expected cash flows discounted at a market rate of interest. The determination of a discount rate, or required rate of return, takes into account the portfolio company’s fundamentals and perceived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March 31, 2014 (dollars in thousands), according to the fair value hierarchy:</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5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Senior Secured Debt</w:t>
            </w:r>
          </w:p>
        </w:tc>
        <w:tc>
          <w:tcPr>
            <w:tcW w:w="920" w:type="dxa"/>
            <w:vAlign w:val="bottom"/>
            <w:tcBorders>
              <w:top w:val="single" w:sz="8" w:color="auto"/>
            </w:tcBorders>
            <w:shd w:val="clear" w:color="auto" w:fill="CCFFCC"/>
          </w:tcPr>
          <w:p>
            <w:pPr>
              <w:jc w:val="right"/>
              <w:ind w:right="7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ind w:right="75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134,508</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134,508</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130,181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130,181</w:t>
            </w:r>
          </w:p>
        </w:tc>
        <w:tc>
          <w:tcPr>
            <w:tcW w:w="80" w:type="dxa"/>
            <w:vAlign w:val="bottom"/>
          </w:tcPr>
          <w:p>
            <w:pPr>
              <w:spacing w:after="0"/>
              <w:rPr>
                <w:sz w:val="18"/>
                <w:szCs w:val="18"/>
                <w:color w:val="auto"/>
              </w:rPr>
            </w:pPr>
          </w:p>
        </w:tc>
      </w:tr>
      <w:tr>
        <w:trPr>
          <w:trHeight w:val="230"/>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Equity and Warrants</w:t>
            </w:r>
          </w:p>
        </w:tc>
        <w:tc>
          <w:tcPr>
            <w:tcW w:w="920" w:type="dxa"/>
            <w:vAlign w:val="bottom"/>
            <w:shd w:val="clear" w:color="auto" w:fill="CCFFCC"/>
          </w:tcPr>
          <w:p>
            <w:pPr>
              <w:spacing w:after="0"/>
              <w:rPr>
                <w:sz w:val="19"/>
                <w:szCs w:val="19"/>
                <w:color w:val="auto"/>
              </w:rPr>
            </w:pP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spacing w:after="0"/>
              <w:rPr>
                <w:sz w:val="19"/>
                <w:szCs w:val="19"/>
                <w:color w:val="auto"/>
              </w:rPr>
            </w:pP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126,492</w:t>
            </w:r>
          </w:p>
        </w:tc>
        <w:tc>
          <w:tcPr>
            <w:tcW w:w="2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126,492</w:t>
            </w:r>
          </w:p>
        </w:tc>
        <w:tc>
          <w:tcPr>
            <w:tcW w:w="80" w:type="dxa"/>
            <w:vAlign w:val="bottom"/>
            <w:shd w:val="clear" w:color="auto" w:fill="CCFFC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391,181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2013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5160" w:type="dxa"/>
            <w:vAlign w:val="bottom"/>
            <w:tcBorders>
              <w:bottom w:val="single" w:sz="8" w:color="CCFFCC"/>
            </w:tcBorders>
          </w:tcPr>
          <w:p>
            <w:pPr>
              <w:spacing w:after="0"/>
              <w:rPr>
                <w:sz w:val="19"/>
                <w:szCs w:val="19"/>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8"/>
              </w:rPr>
              <w:t>Level 1</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CFFC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FFCC"/>
            </w:tcBorders>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46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Debt</w:t>
            </w:r>
          </w:p>
        </w:tc>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75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102,071</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102,071</w:t>
            </w: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133,710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133,710</w:t>
            </w:r>
          </w:p>
        </w:tc>
        <w:tc>
          <w:tcPr>
            <w:tcW w:w="4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Equity and Warrants</w:t>
            </w:r>
          </w:p>
        </w:tc>
        <w:tc>
          <w:tcPr>
            <w:tcW w:w="920" w:type="dxa"/>
            <w:vAlign w:val="bottom"/>
            <w:shd w:val="clear" w:color="auto" w:fill="CCFFCC"/>
          </w:tcPr>
          <w:p>
            <w:pPr>
              <w:spacing w:after="0"/>
              <w:rPr>
                <w:sz w:val="19"/>
                <w:szCs w:val="19"/>
                <w:color w:val="auto"/>
              </w:rPr>
            </w:pP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spacing w:after="0"/>
              <w:rPr>
                <w:sz w:val="19"/>
                <w:szCs w:val="19"/>
                <w:color w:val="auto"/>
              </w:rPr>
            </w:pP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128,938</w:t>
            </w:r>
          </w:p>
        </w:tc>
        <w:tc>
          <w:tcPr>
            <w:tcW w:w="2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128,938</w:t>
            </w: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29"/>
        </w:trPr>
        <w:tc>
          <w:tcPr>
            <w:tcW w:w="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7" w:name="page28"/>
    <w:bookmarkEnd w:id="27"/>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Senior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Secured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Subordinated</w:t>
            </w: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Debt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January 1, 2014</w:t>
            </w: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102,071</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133,710</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128,938</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Change in classification due to restructure</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Repayments</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(9,045)</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(1,252)</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(10,728)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2,618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41,100</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Payment in-kind interest and dividends, net of payments received</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Gain on sale</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1,158</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Increase/(decrease) in net unrealized appreciation</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(5,085)</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(5,723)</w:t>
            </w:r>
          </w:p>
        </w:tc>
      </w:tr>
      <w:tr>
        <w:trPr>
          <w:trHeight w:val="223"/>
        </w:trPr>
        <w:tc>
          <w:tcPr>
            <w:tcW w:w="56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March 31, 2014</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134,508</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130,181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126,492</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391,181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2013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Senior</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Secured</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Subordinated</w:t>
            </w: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Debt</w:t>
            </w:r>
          </w:p>
        </w:tc>
        <w:tc>
          <w:tcPr>
            <w:tcW w:w="10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January 1, 2013</w:t>
            </w: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73,861</w:t>
            </w:r>
          </w:p>
        </w:tc>
        <w:tc>
          <w:tcPr>
            <w:tcW w:w="2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101,659</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108,411</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283,931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Repayments</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(13,000)</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6,472</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13,800</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871</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21,143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Payment in-kind interest and dividends, net of payments received</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Increase/(decrease) in net unrealized appreciation</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r>
      <w:tr>
        <w:trPr>
          <w:trHeight w:val="223"/>
        </w:trPr>
        <w:tc>
          <w:tcPr>
            <w:tcW w:w="56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March 31, 2013</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80,385</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101,689</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109,514</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291,588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net change in unrealized depreciation on investments held as of March 31, 2014 and March 31, 2013, was $(5.7) million and $(0.7) million, respectively, and is included in net unrealized appreciation on investments in the consolidated statements of operations.</w:t>
      </w:r>
    </w:p>
    <w:p>
      <w:pPr>
        <w:spacing w:after="0" w:line="170"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March 31, 2014 were as follows (dollars in thousands, except EBITDA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Valuation Approach</w:t>
            </w:r>
          </w:p>
        </w:tc>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Level 3 Input</w:t>
            </w:r>
          </w:p>
        </w:tc>
        <w:tc>
          <w:tcPr>
            <w:tcW w:w="120" w:type="dxa"/>
            <w:vAlign w:val="bottom"/>
          </w:tcPr>
          <w:p>
            <w:pPr>
              <w:spacing w:after="0"/>
              <w:rPr>
                <w:sz w:val="20"/>
                <w:szCs w:val="20"/>
                <w:color w:val="auto"/>
              </w:rPr>
            </w:pPr>
          </w:p>
        </w:tc>
        <w:tc>
          <w:tcPr>
            <w:tcW w:w="2040" w:type="dxa"/>
            <w:vAlign w:val="bottom"/>
          </w:tcPr>
          <w:p>
            <w:pPr>
              <w:ind w:left="400"/>
              <w:spacing w:after="0"/>
              <w:rPr>
                <w:sz w:val="20"/>
                <w:szCs w:val="20"/>
                <w:color w:val="auto"/>
              </w:rPr>
            </w:pPr>
            <w:r>
              <w:rPr>
                <w:rFonts w:ascii="Arial" w:cs="Arial" w:eastAsia="Arial" w:hAnsi="Arial"/>
                <w:sz w:val="18"/>
                <w:szCs w:val="18"/>
                <w:b w:val="1"/>
                <w:bCs w:val="1"/>
                <w:color w:val="auto"/>
              </w:rPr>
              <w:t>Range of Inputs</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Subordinated debt and second lien</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Required Rate of Return</w:t>
            </w:r>
          </w:p>
        </w:tc>
        <w:tc>
          <w:tcPr>
            <w:tcW w:w="216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7.0% - 18.0%</w:t>
            </w:r>
          </w:p>
        </w:tc>
        <w:tc>
          <w:tcPr>
            <w:tcW w:w="144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FFCC"/>
          </w:tcPr>
          <w:p>
            <w:pPr>
              <w:jc w:val="right"/>
              <w:ind w:right="2360"/>
              <w:spacing w:after="0"/>
              <w:rPr>
                <w:sz w:val="20"/>
                <w:szCs w:val="20"/>
                <w:color w:val="auto"/>
              </w:rPr>
            </w:pPr>
            <w:r>
              <w:rPr>
                <w:rFonts w:ascii="Arial" w:cs="Arial" w:eastAsia="Arial" w:hAnsi="Arial"/>
                <w:sz w:val="18"/>
                <w:szCs w:val="18"/>
                <w:color w:val="auto"/>
              </w:rPr>
              <w:t>notes</w:t>
            </w: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Leverage Ratio</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 1x – 4.9x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3.2x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108,111</w:t>
            </w: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Income</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$1.8 million-$27.9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$11.6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Subordinated debt and second lien</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820" w:type="dxa"/>
            <w:vAlign w:val="bottom"/>
            <w:gridSpan w:val="2"/>
            <w:shd w:val="clear" w:color="auto" w:fill="CCFFCC"/>
          </w:tcPr>
          <w:p>
            <w:pPr>
              <w:ind w:left="140"/>
              <w:spacing w:after="0" w:line="201" w:lineRule="exact"/>
              <w:rPr>
                <w:sz w:val="20"/>
                <w:szCs w:val="20"/>
                <w:color w:val="auto"/>
              </w:rPr>
            </w:pPr>
            <w:r>
              <w:rPr>
                <w:rFonts w:ascii="Arial" w:cs="Arial" w:eastAsia="Arial" w:hAnsi="Arial"/>
                <w:sz w:val="18"/>
                <w:szCs w:val="18"/>
                <w:color w:val="auto"/>
              </w:rPr>
              <w:t>Enterprise Value</w:t>
            </w: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FFCC"/>
          </w:tcPr>
          <w:p>
            <w:pPr>
              <w:jc w:val="right"/>
              <w:ind w:right="2360"/>
              <w:spacing w:after="0"/>
              <w:rPr>
                <w:sz w:val="20"/>
                <w:szCs w:val="20"/>
                <w:color w:val="auto"/>
              </w:rPr>
            </w:pPr>
            <w:r>
              <w:rPr>
                <w:rFonts w:ascii="Arial" w:cs="Arial" w:eastAsia="Arial" w:hAnsi="Arial"/>
                <w:sz w:val="18"/>
                <w:szCs w:val="18"/>
                <w:color w:val="auto"/>
              </w:rPr>
              <w:t>notes</w:t>
            </w: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Waterfall and Asset</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Multiple</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4.0x – 5.0x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4.2x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22,070</w:t>
            </w:r>
          </w:p>
        </w:tc>
        <w:tc>
          <w:tcPr>
            <w:tcW w:w="17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20"/>
                <w:szCs w:val="20"/>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$1.3 million - $1.6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$1.4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Senior debt and first lien notes</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Required Rate of Return</w:t>
            </w:r>
          </w:p>
        </w:tc>
        <w:tc>
          <w:tcPr>
            <w:tcW w:w="216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12.0% - 25.0%</w:t>
            </w:r>
          </w:p>
        </w:tc>
        <w:tc>
          <w:tcPr>
            <w:tcW w:w="144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Leverage Ratio</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0.3x – 7.1x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134,508</w:t>
            </w: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w w:val="97"/>
              </w:rPr>
              <w:t>Income and Asset (1)</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9"/>
              </w:rPr>
              <w:t>$1.1 million- $29.7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$10.1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Equity shares and warrants</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Multiple</w:t>
            </w:r>
          </w:p>
        </w:tc>
        <w:tc>
          <w:tcPr>
            <w:tcW w:w="12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Enterprise Value</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2.5x – 9.5x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7.1x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126,492</w:t>
            </w: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Waterfall</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Transaction Price</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4"/>
              </w:rPr>
              <w:t>$1.6 million -$229.0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$24.8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4660" w:hanging="5288"/>
        <w:spacing w:after="0" w:line="778"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$28.9 million in subordinated and senior notes were valued using the asset approach.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right="36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2013 were as follows (dollars in thousands, except EBITDA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Valuation Approach</w:t>
            </w:r>
          </w:p>
        </w:tc>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Level 3 Input</w:t>
            </w:r>
          </w:p>
        </w:tc>
        <w:tc>
          <w:tcPr>
            <w:tcW w:w="120" w:type="dxa"/>
            <w:vAlign w:val="bottom"/>
          </w:tcPr>
          <w:p>
            <w:pPr>
              <w:spacing w:after="0"/>
              <w:rPr>
                <w:sz w:val="20"/>
                <w:szCs w:val="20"/>
                <w:color w:val="auto"/>
              </w:rPr>
            </w:pPr>
          </w:p>
        </w:tc>
        <w:tc>
          <w:tcPr>
            <w:tcW w:w="2040" w:type="dxa"/>
            <w:vAlign w:val="bottom"/>
          </w:tcPr>
          <w:p>
            <w:pPr>
              <w:ind w:left="400"/>
              <w:spacing w:after="0"/>
              <w:rPr>
                <w:sz w:val="20"/>
                <w:szCs w:val="20"/>
                <w:color w:val="auto"/>
              </w:rPr>
            </w:pPr>
            <w:r>
              <w:rPr>
                <w:rFonts w:ascii="Arial" w:cs="Arial" w:eastAsia="Arial" w:hAnsi="Arial"/>
                <w:sz w:val="18"/>
                <w:szCs w:val="18"/>
                <w:b w:val="1"/>
                <w:bCs w:val="1"/>
                <w:color w:val="auto"/>
              </w:rPr>
              <w:t>Range of Inputs</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Subordinated debt and second lien</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Required Rate of Return</w:t>
            </w:r>
          </w:p>
        </w:tc>
        <w:tc>
          <w:tcPr>
            <w:tcW w:w="216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7.0% - 18.0%</w:t>
            </w:r>
          </w:p>
        </w:tc>
        <w:tc>
          <w:tcPr>
            <w:tcW w:w="144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notes</w:t>
            </w: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Leverage Ratio</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1.2x – 4.6x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3.1x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111,711</w:t>
            </w: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Income</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$2.3 million-$25.8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$11.2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Subordinated debt and second lien</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820" w:type="dxa"/>
            <w:vAlign w:val="bottom"/>
            <w:gridSpan w:val="2"/>
            <w:shd w:val="clear" w:color="auto" w:fill="CCFFCC"/>
          </w:tcPr>
          <w:p>
            <w:pPr>
              <w:ind w:left="140"/>
              <w:spacing w:after="0" w:line="201" w:lineRule="exact"/>
              <w:rPr>
                <w:sz w:val="20"/>
                <w:szCs w:val="20"/>
                <w:color w:val="auto"/>
              </w:rPr>
            </w:pPr>
            <w:r>
              <w:rPr>
                <w:rFonts w:ascii="Arial" w:cs="Arial" w:eastAsia="Arial" w:hAnsi="Arial"/>
                <w:sz w:val="18"/>
                <w:szCs w:val="18"/>
                <w:color w:val="auto"/>
              </w:rPr>
              <w:t>Enterprise Value</w:t>
            </w: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notes</w:t>
            </w: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Waterfall and Asset</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Multiple</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4.3x – 11.5x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21,999</w:t>
            </w:r>
          </w:p>
        </w:tc>
        <w:tc>
          <w:tcPr>
            <w:tcW w:w="17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20"/>
                <w:szCs w:val="20"/>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$1.3 million - $2.2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$2.0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Senior debt and first lien notes</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Required Rate of Return</w:t>
            </w:r>
          </w:p>
        </w:tc>
        <w:tc>
          <w:tcPr>
            <w:tcW w:w="216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10.0% - 24.5%</w:t>
            </w:r>
          </w:p>
        </w:tc>
        <w:tc>
          <w:tcPr>
            <w:tcW w:w="144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Leverage Ratio</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1.2x – 9.9x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102,071</w:t>
            </w: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w w:val="97"/>
              </w:rPr>
              <w:t>Income and Asset (1)</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9"/>
              </w:rPr>
              <w:t>$0.6 million- $29.7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$11.2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Equity shares and warrants</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Multiple</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1.6x – 9.5x</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7.1x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Enterprise Value</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4"/>
              </w:rPr>
              <w:t>$1.4 million -$229.0 million</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$23.8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128,938</w:t>
            </w:r>
          </w:p>
        </w:tc>
        <w:tc>
          <w:tcPr>
            <w:tcW w:w="18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Waterfall</w:t>
            </w: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Transaction Price</w:t>
            </w:r>
          </w:p>
        </w:tc>
        <w:tc>
          <w:tcPr>
            <w:tcW w:w="21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n/a</w:t>
            </w:r>
          </w:p>
        </w:tc>
        <w:tc>
          <w:tcPr>
            <w:tcW w:w="14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18.6 million in subordinated and senior notes were valued using the asset approach.</w:t>
      </w:r>
    </w:p>
    <w:p>
      <w:pPr>
        <w:spacing w:after="0" w:line="225"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debt and equity investments are required rate of return, adjusted EBITDA, EBITDA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or transaction prices will result in a higher (lower) estimate of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right="420" w:firstLine="881"/>
        <w:spacing w:after="0" w:line="276" w:lineRule="auto"/>
        <w:rPr>
          <w:sz w:val="20"/>
          <w:szCs w:val="20"/>
          <w:color w:val="auto"/>
        </w:rPr>
      </w:pPr>
      <w:r>
        <w:rPr>
          <w:rFonts w:ascii="Arial" w:cs="Arial" w:eastAsia="Arial" w:hAnsi="Arial"/>
          <w:sz w:val="17"/>
          <w:szCs w:val="17"/>
          <w:color w:val="auto"/>
        </w:rPr>
        <w:t>On September 24, 2013, the Company entered into an investment advisory agreement (the “Investment Advisory Agreement”) with our Investment Advisor, which was approved by the Board of the Company on June 10, 2013. The initial term of the Investment Advisory Agreement is two years, with automatic, one-year renewals at the end of each year subject to certain approvals by our Board and/or our stockholders. Subject to the overall supervision of our Board, our investment adviser manages our day-to-day operations, and provides investment advisory and management services to us. Under the terms of our Investment Advisory Agreement, The Investment Advisor:</w:t>
      </w:r>
    </w:p>
    <w:p>
      <w:pPr>
        <w:spacing w:after="0" w:line="173" w:lineRule="exact"/>
        <w:rPr>
          <w:sz w:val="20"/>
          <w:szCs w:val="20"/>
          <w:color w:val="auto"/>
        </w:rPr>
      </w:pPr>
    </w:p>
    <w:p>
      <w:pPr>
        <w:ind w:left="1420" w:right="220" w:hanging="426"/>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170" w:lineRule="exact"/>
        <w:rPr>
          <w:rFonts w:ascii="Arial" w:cs="Arial" w:eastAsia="Arial" w:hAnsi="Arial"/>
          <w:sz w:val="18"/>
          <w:szCs w:val="18"/>
          <w:color w:val="auto"/>
        </w:rPr>
      </w:pPr>
    </w:p>
    <w:p>
      <w:pPr>
        <w:ind w:left="1420" w:right="460" w:hanging="426"/>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1420" w:hanging="42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20" w:firstLine="881"/>
        <w:spacing w:after="0" w:line="270"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will initially be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has agreed to waive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82"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Prior to the formation transaction, the management fee charged by each Legacy Fund for each fiscal quarter was the lesser of (a) an amount equal to an annual rate of .625% of the sum of (i) the Legacy Fund’s regulatory capital and (ii) the amount of an assumed two tiers of outstanding leverage based on such regulatory capital, or (b) an amount negotiated between the general partner and the management company. The management fee was reduced by certain fees ultimately received by the Management Company from the portfolio companies. Payments of the management fee were made quarterly in advance. Certain direct expenses such as legal, audit, tax, and limited partner expense were the responsibility of the Legacy Fund.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69" w:lineRule="exact"/>
        <w:rPr>
          <w:sz w:val="20"/>
          <w:szCs w:val="20"/>
          <w:color w:val="auto"/>
        </w:rPr>
      </w:pPr>
    </w:p>
    <w:p>
      <w:pPr>
        <w:ind w:left="1420" w:hanging="426"/>
        <w:spacing w:after="0"/>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our pre-incentive fee net investment income does not exceed the hurdle of 2.0%;</w:t>
      </w:r>
    </w:p>
    <w:p>
      <w:pPr>
        <w:spacing w:after="0" w:line="236" w:lineRule="exact"/>
        <w:rPr>
          <w:rFonts w:ascii="Arial" w:cs="Arial" w:eastAsia="Arial" w:hAnsi="Arial"/>
          <w:sz w:val="17"/>
          <w:szCs w:val="17"/>
          <w:color w:val="auto"/>
        </w:rPr>
      </w:pPr>
    </w:p>
    <w:p>
      <w:pPr>
        <w:ind w:left="1420" w:right="120" w:hanging="426"/>
        <w:spacing w:after="0" w:line="25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adviser with 20% of our pre-incentive fee net investment income as if a hurdle did not apply if this net investment income exceeds 2.5% in any calendar quarter; and</w:t>
      </w:r>
    </w:p>
    <w:p>
      <w:pPr>
        <w:spacing w:after="0" w:line="188" w:lineRule="exact"/>
        <w:rPr>
          <w:rFonts w:ascii="Arial" w:cs="Arial" w:eastAsia="Arial" w:hAnsi="Arial"/>
          <w:sz w:val="18"/>
          <w:szCs w:val="18"/>
          <w:color w:val="auto"/>
        </w:rPr>
      </w:pPr>
    </w:p>
    <w:p>
      <w:pPr>
        <w:ind w:left="1420" w:right="140" w:hanging="426"/>
        <w:spacing w:after="0" w:line="264"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our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jc w:val="both"/>
        <w:ind w:right="100" w:firstLine="881"/>
        <w:spacing w:after="0" w:line="286" w:lineRule="auto"/>
        <w:rPr>
          <w:sz w:val="20"/>
          <w:szCs w:val="20"/>
          <w:color w:val="auto"/>
        </w:rPr>
      </w:pPr>
      <w:r>
        <w:rPr>
          <w:rFonts w:ascii="Arial" w:cs="Arial" w:eastAsia="Arial" w:hAnsi="Arial"/>
          <w:sz w:val="17"/>
          <w:szCs w:val="17"/>
          <w:color w:val="auto"/>
        </w:rPr>
        <w:t>For the three months ended March 31, 2014 and 2013 we incurred $2.0 million and $0.8 million in base management fees, respectively. For the three months ended March 31, 2014 and 2013, our investment advisor waived $0.1 million and $0.0 million, respectively. For the three months ended March 31, 2014 and 2013, we incurred $1.4 million and $0, respectively, in incentive fees related to pre-incentive fee net investment income.</w:t>
      </w:r>
    </w:p>
    <w:p>
      <w:pPr>
        <w:spacing w:after="0" w:line="166"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On September 24, 2013, the Company entered into a separate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right="100" w:firstLine="881"/>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will have an initial term of two years and may be renewed with the approval of our Board.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At March 31, 2014 and December 31, 2013, the Company had the following receivables from (payables to) related parties relating to certain capital contributions, management fees, incentive fees, and reimbursable expenses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0" w:type="dxa"/>
            <w:vAlign w:val="bottom"/>
          </w:tcPr>
          <w:p>
            <w:pPr>
              <w:spacing w:after="0"/>
              <w:rPr>
                <w:sz w:val="20"/>
                <w:szCs w:val="20"/>
                <w:color w:val="auto"/>
              </w:rPr>
            </w:pPr>
          </w:p>
        </w:tc>
        <w:tc>
          <w:tcPr>
            <w:tcW w:w="61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CapitalSouth Corporation</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Shareholders/Limited Partners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CapitalSouth Fund III, L.P.</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Capitala Investment Advisors.</w:t>
            </w: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(2,670)</w:t>
            </w:r>
          </w:p>
        </w:tc>
      </w:tr>
      <w:tr>
        <w:trPr>
          <w:trHeight w:val="223"/>
        </w:trPr>
        <w:tc>
          <w:tcPr>
            <w:tcW w:w="20" w:type="dxa"/>
            <w:vAlign w:val="bottom"/>
          </w:tcPr>
          <w:p>
            <w:pPr>
              <w:spacing w:after="0"/>
              <w:rPr>
                <w:sz w:val="19"/>
                <w:szCs w:val="19"/>
                <w:color w:val="auto"/>
              </w:rPr>
            </w:pPr>
          </w:p>
        </w:tc>
        <w:tc>
          <w:tcPr>
            <w:tcW w:w="6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“Incentive fee payable” and “Due to related parties.”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 times, the Company maintains deposit accounts and certificates of deposit with financial institutions that are shareholders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Total deposits with these financial institutions were approximately $0.6 million and $2.8 million at March 31, 2014 and December 31, 2013,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The Company, through its two wholly-owned subsidiaries, uses debenture leverage provided through the SBA to fund a portion of its investment portfolio. As of March 31, 2014, the Company has issued $192.2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March 31, 2014, Fund II and Fund III had total assets of approximately $376.5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ind w:right="140" w:firstLine="881"/>
        <w:spacing w:after="0" w:line="293" w:lineRule="auto"/>
        <w:rPr>
          <w:sz w:val="20"/>
          <w:szCs w:val="20"/>
          <w:color w:val="auto"/>
        </w:rPr>
      </w:pPr>
      <w:r>
        <w:rPr>
          <w:rFonts w:ascii="Arial" w:cs="Arial" w:eastAsia="Arial" w:hAnsi="Arial"/>
          <w:sz w:val="16"/>
          <w:szCs w:val="16"/>
          <w:color w:val="auto"/>
        </w:rPr>
        <w:t>For the three months ended March 31, 2014 and March 31, 2013 we recorded $2.2 million and $2.1 million, respectively, of interest, annual charges, and financing expenses related to the SBA guaranteed debentures, of which $2.0 million and $1.9 million, respectively, was attributable to interest expense and annual charges, and $0.2 million and $0.2 million, respectively, was attributable to amortization of commitment and upfront fees. The weighted average interest rate for all SBA-guaranteed debentures as of March 31, 2014 and December 31, 2013 was 3.51% and 3.57%, respectively. In addition to the stated interest rate, the SBA also charges an annual fee on all SBA-guaranteed debentures issued, which is included in the Company’s interest expense. The weighted average annual fee for all SBA-guaranteed debentures as of March 31, 2014 and December 31, 2013 was 0.48% and 0.50%, respectively.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March 31, 2014 and December 31, 2013, the Company’s issued and outstanding SBA-guaranteed debentures mature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Date of Pooling</w:t>
            </w:r>
          </w:p>
        </w:tc>
        <w:tc>
          <w:tcPr>
            <w:tcW w:w="180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Fixed Maturity Date</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 Rate</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SBA Annual Charge</w:t>
            </w:r>
          </w:p>
        </w:tc>
        <w:tc>
          <w:tcPr>
            <w:tcW w:w="1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March 1, 2004</w:t>
            </w:r>
          </w:p>
        </w:tc>
        <w:tc>
          <w:tcPr>
            <w:tcW w:w="120" w:type="dxa"/>
            <w:vAlign w:val="bottom"/>
            <w:vMerge w:val="continue"/>
            <w:shd w:val="clear" w:color="auto" w:fill="CCFFCC"/>
          </w:tcPr>
          <w:p>
            <w:pPr>
              <w:spacing w:after="0"/>
              <w:rPr>
                <w:sz w:val="18"/>
                <w:szCs w:val="18"/>
                <w:color w:val="auto"/>
              </w:rPr>
            </w:pPr>
          </w:p>
        </w:tc>
        <w:tc>
          <w:tcPr>
            <w:tcW w:w="1580" w:type="dxa"/>
            <w:vAlign w:val="bottom"/>
            <w:shd w:val="clear" w:color="auto" w:fill="CCFFCC"/>
          </w:tcPr>
          <w:p>
            <w:pPr>
              <w:spacing w:after="0"/>
              <w:rPr>
                <w:sz w:val="20"/>
                <w:szCs w:val="20"/>
                <w:color w:val="auto"/>
              </w:rPr>
            </w:pPr>
            <w:r>
              <w:rPr>
                <w:rFonts w:ascii="Arial" w:cs="Arial" w:eastAsia="Arial" w:hAnsi="Arial"/>
                <w:sz w:val="18"/>
                <w:szCs w:val="18"/>
                <w:color w:val="auto"/>
              </w:rPr>
              <w:t>March 1, 2014</w:t>
            </w:r>
          </w:p>
        </w:tc>
        <w:tc>
          <w:tcPr>
            <w:tcW w:w="100" w:type="dxa"/>
            <w:vAlign w:val="bottom"/>
            <w:vMerge w:val="continue"/>
            <w:shd w:val="clear" w:color="auto" w:fill="CCFFCC"/>
          </w:tcPr>
          <w:p>
            <w:pPr>
              <w:spacing w:after="0"/>
              <w:rPr>
                <w:sz w:val="18"/>
                <w:szCs w:val="18"/>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4.120%</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0.855%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September 1, 2004</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September 1, 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4.684%</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0.855%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September 1, 2005</w:t>
            </w:r>
          </w:p>
        </w:tc>
        <w:tc>
          <w:tcPr>
            <w:tcW w:w="180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September 1, 2015</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4.941%</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0.871%</w:t>
            </w:r>
          </w:p>
        </w:tc>
        <w:tc>
          <w:tcPr>
            <w:tcW w:w="1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March 1, 2006</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March 1, 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5.524%</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0.871%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September 1, 2006</w:t>
            </w:r>
          </w:p>
        </w:tc>
        <w:tc>
          <w:tcPr>
            <w:tcW w:w="180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September 1, 2016</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5.535%</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0.941%</w:t>
            </w: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March 1, 2009</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March 1, 2019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4.620%</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0.941%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September 1, 2010</w:t>
            </w:r>
          </w:p>
        </w:tc>
        <w:tc>
          <w:tcPr>
            <w:tcW w:w="180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September 1, 2020</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3.215%</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0.285%</w:t>
            </w:r>
          </w:p>
        </w:tc>
        <w:tc>
          <w:tcPr>
            <w:tcW w:w="1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March 1, 2011</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March 1, 2021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March 1, 2011</w:t>
            </w:r>
          </w:p>
        </w:tc>
        <w:tc>
          <w:tcPr>
            <w:tcW w:w="180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March 1, 2021</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4.084%</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0.285%</w:t>
            </w:r>
          </w:p>
        </w:tc>
        <w:tc>
          <w:tcPr>
            <w:tcW w:w="1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March 1, 2012</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March 1, 2022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March 1, 2012</w:t>
            </w:r>
          </w:p>
        </w:tc>
        <w:tc>
          <w:tcPr>
            <w:tcW w:w="180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March 1, 2022</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2.766%</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0.515%</w:t>
            </w:r>
          </w:p>
        </w:tc>
        <w:tc>
          <w:tcPr>
            <w:tcW w:w="1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March 1, 2013</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March 1, 2023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35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5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2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58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192,200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202,200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881"/>
        <w:spacing w:after="0" w:line="257" w:lineRule="auto"/>
        <w:rPr>
          <w:sz w:val="20"/>
          <w:szCs w:val="20"/>
          <w:color w:val="auto"/>
        </w:rPr>
      </w:pPr>
      <w:r>
        <w:rPr>
          <w:rFonts w:ascii="Arial" w:cs="Arial" w:eastAsia="Arial" w:hAnsi="Arial"/>
          <w:sz w:val="18"/>
          <w:szCs w:val="18"/>
          <w:color w:val="auto"/>
        </w:rPr>
        <w:t>ASC Topic 820 requires disclosure of the fair value of financial instruments for which it is practical to estimate such value. The Company estimates that the fair value of its SBA-guaranteed debentures is approximately $193.5 million and $200.7 million as of March 31, 2014 and December 31, 2013, respectively. The fair value estimate was based on future contractual cash payments discounted at market interest rates to borrow from the SBA as of the measurement date. Because the market interest rate is considered an unobservable input, SBA-guaranteed debentures are considered a level 3 financial instrument in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229" w:lineRule="exact"/>
        <w:rPr>
          <w:sz w:val="20"/>
          <w:szCs w:val="20"/>
          <w:color w:val="auto"/>
        </w:rPr>
      </w:pPr>
    </w:p>
    <w:p>
      <w:pPr>
        <w:ind w:right="60" w:firstLine="881"/>
        <w:spacing w:after="0" w:line="293"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$5,000 and each chairman of any other committee receives an annual fee of $5,000 for their additional services, if any, in these capacities. For the three months ended March 31, 2014 and March 31, 2013, the Company recognized director fee expense of $102,000 and $0, respectively. No compensation is expected to be paid to directors who are “interested persons” of the Company, as such term is defined in Section 2(a)(19) of the 1940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right="80" w:firstLine="881"/>
        <w:spacing w:after="0" w:line="297" w:lineRule="auto"/>
        <w:rPr>
          <w:sz w:val="20"/>
          <w:szCs w:val="20"/>
          <w:color w:val="auto"/>
        </w:rPr>
      </w:pPr>
      <w:r>
        <w:rPr>
          <w:rFonts w:ascii="Arial" w:cs="Arial" w:eastAsia="Arial" w:hAnsi="Arial"/>
          <w:sz w:val="16"/>
          <w:szCs w:val="16"/>
          <w:color w:val="auto"/>
        </w:rPr>
        <w:t>On September 24, 2013, we issued 8,974,420 shares of common stock to the limited partners of the Legacy Funds, in exchange for 100% of their membership interests or certain investment assets of such Legacy Fund, as the case may be. On September 30, 2013, we issued 4,000,000 shares of common stock in connection with the closing of our IPO. The shares issued in the IPO were priced at $20.00 per share. We received proceeds of $74.25 million in the IPO, net of underwriters’ discounts and commissions totaling $4.0 million and offering expenses totaling $1.75 million. The Legacy Funds bore the other expenses associated with the offering. As of March 31, 2014, the Company had 12,974,420 shares of common stock outstanding.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 holds a control interest, as defined by the 1940 Act, in four majority owned portfolio companies that are not consolidated in the Company’s consolidated financial statements. Below is a brief description of each portfolio company, along with summarized financial information as of March 31, 2014 and December 31, 2013, and for the three month periods ended March 31, 2014 and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Print Direction, Inc., incorporated in Georgia on May 11, 2006, is a professional printing services firm serving customers, particular fast food, retail, and other similar chains, through the United States. Print Direction, Inc. also provides warehousing and distribution services for these customers. The income the Company generated from Print Direction, Inc. which includes all interest, dividends, PIK interest and dividends, fees, and unrealized appreciation was $1.1 million and $0.5 million for the three months ended March 31, 2014 and March 31,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3"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was $0.9 million and $0.3 million for the three months ended March 31, 2014 and March 31,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Micro Precision, LLC, formed on August 5, 2011 as a Delaware LLC, is a prime contractor supplying critical parts and mechanical assemblies to the United States Department of Defense as well as designer and manufacturer of locomotive air horns. The loss the Company generated from Micro Precision, LLC, which includes all interest, dividends, PIK interest and dividends, fees, and unrealized appreciation was $388 thousand and $24 thousand for the three months ended March 31, 2014 and March 31, 2013,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3"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income/(loss) the Company generated from On-Site Fuel Service, Inc. which includes all interest, dividends, PIK interest and dividends, fees, and unrealized appreciation was ($0.4) million and $0.2 million for the three months ended March 31, 2014 and March 31, 2013, respectively.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6"/>
                <w:szCs w:val="16"/>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80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r>
      <w:tr>
        <w:trPr>
          <w:trHeight w:val="223"/>
        </w:trPr>
        <w:tc>
          <w:tcPr>
            <w:tcW w:w="81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10,158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3,002</w:t>
            </w:r>
          </w:p>
        </w:tc>
        <w:tc>
          <w:tcPr>
            <w:tcW w:w="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3,828</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10,496</w:t>
            </w:r>
          </w:p>
        </w:tc>
      </w:tr>
      <w:tr>
        <w:trPr>
          <w:trHeight w:val="223"/>
        </w:trPr>
        <w:tc>
          <w:tcPr>
            <w:tcW w:w="81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17,512</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14,324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(7,354)</w:t>
            </w:r>
          </w:p>
        </w:tc>
        <w:tc>
          <w:tcPr>
            <w:tcW w:w="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(2,631)</w:t>
            </w:r>
          </w:p>
        </w:tc>
      </w:tr>
      <w:tr>
        <w:trPr>
          <w:trHeight w:val="20"/>
        </w:trPr>
        <w:tc>
          <w:tcPr>
            <w:tcW w:w="80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Print Direction, Inc.</w:t>
            </w:r>
          </w:p>
        </w:tc>
        <w:tc>
          <w:tcPr>
            <w:tcW w:w="356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3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FFCC"/>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goods sold</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profit</w:t>
            </w:r>
          </w:p>
        </w:tc>
        <w:tc>
          <w:tcPr>
            <w:tcW w:w="35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38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3,833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w:t>
            </w:r>
          </w:p>
        </w:tc>
        <w:tc>
          <w:tcPr>
            <w:tcW w:w="35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560" w:type="dxa"/>
            <w:vAlign w:val="bottom"/>
            <w:vMerge w:val="restart"/>
          </w:tcPr>
          <w:p>
            <w:pPr>
              <w:jc w:val="right"/>
              <w:ind w:right="24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3" w:name="page34"/>
    <w:bookmarkEnd w:id="3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6"/>
                <w:szCs w:val="16"/>
                <w:color w:val="auto"/>
              </w:rPr>
            </w:pPr>
          </w:p>
        </w:tc>
      </w:tr>
      <w:tr>
        <w:trPr>
          <w:trHeight w:val="234"/>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Navis Holdings, Inc.</w:t>
            </w: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1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5,216</w:t>
            </w:r>
          </w:p>
        </w:tc>
        <w:tc>
          <w:tcPr>
            <w:tcW w:w="100" w:type="dxa"/>
            <w:vAlign w:val="bottom"/>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2,698</w:t>
            </w:r>
          </w:p>
        </w:tc>
        <w:tc>
          <w:tcPr>
            <w:tcW w:w="3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1,761</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7,053</w:t>
            </w: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9,841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8,814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Total equity</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1,994</w:t>
            </w:r>
          </w:p>
        </w:tc>
        <w:tc>
          <w:tcPr>
            <w:tcW w:w="3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1,735</w:t>
            </w:r>
          </w:p>
        </w:tc>
      </w:tr>
      <w:tr>
        <w:trPr>
          <w:trHeight w:val="20"/>
        </w:trPr>
        <w:tc>
          <w:tcPr>
            <w:tcW w:w="69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Statements of Operations - Navis Holdings, Inc.</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FFCC"/>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4,078</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4,729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2,407</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3,279</w:t>
            </w:r>
          </w:p>
        </w:tc>
        <w:tc>
          <w:tcPr>
            <w:tcW w:w="80" w:type="dxa"/>
            <w:vAlign w:val="bottom"/>
          </w:tcPr>
          <w:p>
            <w:pPr>
              <w:spacing w:after="0"/>
              <w:rPr>
                <w:sz w:val="19"/>
                <w:szCs w:val="19"/>
                <w:color w:val="auto"/>
              </w:rPr>
            </w:pP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300" w:type="dxa"/>
            <w:vAlign w:val="bottom"/>
            <w:tcBorders>
              <w:top w:val="single" w:sz="8" w:color="auto"/>
              <w:bottom w:val="single" w:sz="8" w:color="auto"/>
            </w:tcBorders>
            <w:shd w:val="clear" w:color="auto" w:fill="CCFFCC"/>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1,671</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280" w:type="dxa"/>
            <w:vAlign w:val="bottom"/>
            <w:tcBorders>
              <w:top w:val="single" w:sz="8" w:color="auto"/>
              <w:bottom w:val="single" w:sz="8" w:color="auto"/>
            </w:tcBorders>
            <w:shd w:val="clear" w:color="auto" w:fill="CCFFCC"/>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1,450</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FFCC"/>
          </w:tcPr>
          <w:p>
            <w:pPr>
              <w:jc w:val="right"/>
              <w:ind w:right="11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3"/>
              </w:rPr>
              <w:t>1,236</w:t>
            </w:r>
          </w:p>
        </w:tc>
        <w:tc>
          <w:tcPr>
            <w:tcW w:w="1300" w:type="dxa"/>
            <w:vAlign w:val="bottom"/>
            <w:gridSpan w:val="2"/>
            <w:shd w:val="clear" w:color="auto" w:fill="CCFFCC"/>
          </w:tcPr>
          <w:p>
            <w:pPr>
              <w:jc w:val="right"/>
              <w:ind w:right="1121"/>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3"/>
              </w:rPr>
              <w:t>1,192</w:t>
            </w:r>
          </w:p>
        </w:tc>
        <w:tc>
          <w:tcPr>
            <w:tcW w:w="80" w:type="dxa"/>
            <w:vAlign w:val="bottom"/>
            <w:shd w:val="clear" w:color="auto" w:fill="CCFFC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FFC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Micro Precision, LLC</w:t>
            </w:r>
          </w:p>
        </w:tc>
        <w:tc>
          <w:tcPr>
            <w:tcW w:w="284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2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7,053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FFCC"/>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Noncurrent assets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15,618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assets</w:t>
            </w:r>
          </w:p>
        </w:tc>
        <w:tc>
          <w:tcPr>
            <w:tcW w:w="28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22,646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3220" w:type="dxa"/>
            <w:vAlign w:val="bottom"/>
            <w:gridSpan w:val="3"/>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2,871</w:t>
            </w:r>
          </w:p>
        </w:tc>
        <w:tc>
          <w:tcPr>
            <w:tcW w:w="3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13,630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8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equity</w:t>
            </w:r>
          </w:p>
        </w:tc>
        <w:tc>
          <w:tcPr>
            <w:tcW w:w="3220" w:type="dxa"/>
            <w:vAlign w:val="bottom"/>
            <w:gridSpan w:val="3"/>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6,211</w:t>
            </w:r>
          </w:p>
        </w:tc>
        <w:tc>
          <w:tcPr>
            <w:tcW w:w="3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6,171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2840" w:type="dxa"/>
            <w:vAlign w:val="bottom"/>
            <w:tcBorders>
              <w:top w:val="single" w:sz="8" w:color="CCFFCC"/>
              <w:bottom w:val="single" w:sz="8" w:color="CCFFCC"/>
            </w:tcBorders>
            <w:vMerge w:val="restart"/>
          </w:tcPr>
          <w:p>
            <w:pPr>
              <w:jc w:val="right"/>
              <w:ind w:right="139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4" w:name="page35"/>
    <w:bookmarkEnd w:id="3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FFCC"/>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4,045</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5,401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2,515</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3,275</w:t>
            </w:r>
          </w:p>
        </w:tc>
        <w:tc>
          <w:tcPr>
            <w:tcW w:w="80" w:type="dxa"/>
            <w:vAlign w:val="bottom"/>
          </w:tcPr>
          <w:p>
            <w:pPr>
              <w:spacing w:after="0"/>
              <w:rPr>
                <w:sz w:val="19"/>
                <w:szCs w:val="19"/>
                <w:color w:val="auto"/>
              </w:rPr>
            </w:pP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300" w:type="dxa"/>
            <w:vAlign w:val="bottom"/>
            <w:tcBorders>
              <w:top w:val="single" w:sz="8" w:color="auto"/>
              <w:bottom w:val="single" w:sz="8" w:color="auto"/>
            </w:tcBorders>
            <w:shd w:val="clear" w:color="auto" w:fill="CCFFCC"/>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1,530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280" w:type="dxa"/>
            <w:vAlign w:val="bottom"/>
            <w:tcBorders>
              <w:top w:val="single" w:sz="8" w:color="auto"/>
              <w:bottom w:val="single" w:sz="8" w:color="auto"/>
            </w:tcBorders>
            <w:shd w:val="clear" w:color="auto" w:fill="CCFFCC"/>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2,126</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FFCC"/>
          </w:tcPr>
          <w:p>
            <w:pPr>
              <w:jc w:val="right"/>
              <w:ind w:right="11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3"/>
              </w:rPr>
              <w:t>1,488</w:t>
            </w:r>
          </w:p>
        </w:tc>
        <w:tc>
          <w:tcPr>
            <w:tcW w:w="1300" w:type="dxa"/>
            <w:vAlign w:val="bottom"/>
            <w:gridSpan w:val="2"/>
            <w:shd w:val="clear" w:color="auto" w:fill="CCFFCC"/>
          </w:tcPr>
          <w:p>
            <w:pPr>
              <w:jc w:val="right"/>
              <w:ind w:right="1121"/>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3"/>
              </w:rPr>
              <w:t>1,605</w:t>
            </w:r>
          </w:p>
        </w:tc>
        <w:tc>
          <w:tcPr>
            <w:tcW w:w="80" w:type="dxa"/>
            <w:vAlign w:val="bottom"/>
            <w:shd w:val="clear" w:color="auto" w:fill="CCFFC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5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6"/>
                <w:szCs w:val="16"/>
                <w:color w:val="auto"/>
              </w:rPr>
            </w:pPr>
          </w:p>
        </w:tc>
      </w:tr>
      <w:tr>
        <w:trPr>
          <w:trHeight w:val="234"/>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1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17,206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15,578</w:t>
            </w:r>
          </w:p>
        </w:tc>
        <w:tc>
          <w:tcPr>
            <w:tcW w:w="100" w:type="dxa"/>
            <w:vAlign w:val="bottom"/>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17,817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18,124</w:t>
            </w: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35,023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33,702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14,809</w:t>
            </w:r>
          </w:p>
        </w:tc>
        <w:tc>
          <w:tcPr>
            <w:tcW w:w="3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12,666</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11,442</w:t>
            </w: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26,174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24,108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Total equity</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8,849</w:t>
            </w:r>
          </w:p>
        </w:tc>
        <w:tc>
          <w:tcPr>
            <w:tcW w:w="3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9,594</w:t>
            </w:r>
          </w:p>
        </w:tc>
      </w:tr>
      <w:tr>
        <w:trPr>
          <w:trHeight w:val="20"/>
        </w:trPr>
        <w:tc>
          <w:tcPr>
            <w:tcW w:w="69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7"/>
          </w:tcPr>
          <w:p>
            <w:pPr>
              <w:jc w:val="right"/>
              <w:ind w:right="112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March 31,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gridSpan w:val="2"/>
          </w:tcPr>
          <w:p>
            <w:pPr>
              <w:spacing w:after="0"/>
              <w:rPr>
                <w:sz w:val="16"/>
                <w:szCs w:val="16"/>
                <w:color w:val="auto"/>
              </w:rPr>
            </w:pPr>
          </w:p>
        </w:tc>
      </w:tr>
      <w:tr>
        <w:trPr>
          <w:trHeight w:val="234"/>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r>
      <w:tr>
        <w:trPr>
          <w:trHeight w:val="21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57,530</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61,776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55,151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59,102</w:t>
            </w:r>
          </w:p>
        </w:tc>
        <w:tc>
          <w:tcPr>
            <w:tcW w:w="80" w:type="dxa"/>
            <w:vAlign w:val="bottom"/>
          </w:tcPr>
          <w:p>
            <w:pPr>
              <w:spacing w:after="0"/>
              <w:rPr>
                <w:sz w:val="19"/>
                <w:szCs w:val="19"/>
                <w:color w:val="auto"/>
              </w:rPr>
            </w:pP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2,379</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3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3,124</w:t>
            </w:r>
          </w:p>
        </w:tc>
        <w:tc>
          <w:tcPr>
            <w:tcW w:w="28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2,911</w:t>
            </w:r>
          </w:p>
        </w:tc>
        <w:tc>
          <w:tcPr>
            <w:tcW w:w="80" w:type="dxa"/>
            <w:vAlign w:val="bottom"/>
            <w:shd w:val="clear" w:color="auto" w:fill="CCFFC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(237)</w:t>
            </w: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5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 xml:space="preserve">In accordance with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March 31, 2014, there were no dilutive shares.</w:t>
      </w: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91" w:right="499" w:bottom="1440" w:gutter="0" w:footer="0" w:header="0"/>
        </w:sectPr>
      </w:pPr>
    </w:p>
    <w:bookmarkStart w:id="35" w:name="page36"/>
    <w:bookmarkEnd w:id="35"/>
    <w:p>
      <w:pPr>
        <w:ind w:right="180" w:firstLine="648"/>
        <w:spacing w:after="0" w:line="277"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three months ended March 31, 2014 and March 31, 2013 (dollars in thousands except share and per share data):</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three months ended</w:t>
            </w:r>
          </w:p>
        </w:tc>
      </w:tr>
      <w:tr>
        <w:trPr>
          <w:trHeight w:val="198"/>
        </w:trPr>
        <w:tc>
          <w:tcPr>
            <w:tcW w:w="7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March 31,</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w:t>
            </w:r>
          </w:p>
        </w:tc>
        <w:tc>
          <w:tcPr>
            <w:tcW w:w="18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75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Net increase in net assets from operations</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12,974,420</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increase in net assets per share from operations-basic and diluted</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Dividend</w:t>
      </w:r>
    </w:p>
    <w:p>
      <w:pPr>
        <w:spacing w:after="0" w:line="229"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Shareholders have the option to receive payment of the dividend in cash, shares of common stock, or a combination of cash and common stock.</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Company’s dividend declarations and distributions through March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Record Date</w:t>
            </w:r>
          </w:p>
        </w:tc>
        <w:tc>
          <w:tcPr>
            <w:tcW w:w="3020" w:type="dxa"/>
            <w:vAlign w:val="bottom"/>
            <w:gridSpan w:val="2"/>
          </w:tcPr>
          <w:p>
            <w:pPr>
              <w:ind w:left="920"/>
              <w:spacing w:after="0"/>
              <w:rPr>
                <w:sz w:val="20"/>
                <w:szCs w:val="20"/>
                <w:color w:val="auto"/>
              </w:rPr>
            </w:pPr>
            <w:r>
              <w:rPr>
                <w:rFonts w:ascii="Arial" w:cs="Arial" w:eastAsia="Arial" w:hAnsi="Arial"/>
                <w:sz w:val="18"/>
                <w:szCs w:val="18"/>
                <w:b w:val="1"/>
                <w:bCs w:val="1"/>
                <w:color w:val="auto"/>
              </w:rPr>
              <w:t>Payment Date</w:t>
            </w:r>
          </w:p>
        </w:tc>
        <w:tc>
          <w:tcPr>
            <w:tcW w:w="30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November 11, 2013</w:t>
            </w:r>
          </w:p>
        </w:tc>
        <w:tc>
          <w:tcPr>
            <w:tcW w:w="120" w:type="dxa"/>
            <w:vAlign w:val="bottom"/>
            <w:tcBorders>
              <w:top w:val="single" w:sz="8" w:color="CCFFCC"/>
            </w:tcBorders>
            <w:shd w:val="clear" w:color="auto" w:fill="CCFFCC"/>
          </w:tcPr>
          <w:p>
            <w:pPr>
              <w:spacing w:after="0"/>
              <w:rPr>
                <w:sz w:val="19"/>
                <w:szCs w:val="19"/>
                <w:color w:val="auto"/>
              </w:rPr>
            </w:pPr>
          </w:p>
        </w:tc>
        <w:tc>
          <w:tcPr>
            <w:tcW w:w="25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December 10, 2013</w:t>
            </w:r>
          </w:p>
        </w:tc>
        <w:tc>
          <w:tcPr>
            <w:tcW w:w="100" w:type="dxa"/>
            <w:vAlign w:val="bottom"/>
            <w:tcBorders>
              <w:top w:val="single" w:sz="8" w:color="CCFFCC"/>
            </w:tcBorders>
            <w:shd w:val="clear" w:color="auto" w:fill="CCFFCC"/>
          </w:tcPr>
          <w:p>
            <w:pPr>
              <w:spacing w:after="0"/>
              <w:rPr>
                <w:sz w:val="19"/>
                <w:szCs w:val="19"/>
                <w:color w:val="auto"/>
              </w:rPr>
            </w:pPr>
          </w:p>
        </w:tc>
        <w:tc>
          <w:tcPr>
            <w:tcW w:w="2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December 30, 2013</w:t>
            </w:r>
          </w:p>
        </w:tc>
        <w:tc>
          <w:tcPr>
            <w:tcW w:w="100" w:type="dxa"/>
            <w:vAlign w:val="bottom"/>
            <w:tcBorders>
              <w:top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FFCC"/>
            </w:tcBorders>
            <w:shd w:val="clear" w:color="auto" w:fill="CCFFCC"/>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Total Dividends Declared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Record Date</w:t>
            </w:r>
          </w:p>
        </w:tc>
        <w:tc>
          <w:tcPr>
            <w:tcW w:w="3020" w:type="dxa"/>
            <w:vAlign w:val="bottom"/>
            <w:gridSpan w:val="2"/>
          </w:tcPr>
          <w:p>
            <w:pPr>
              <w:ind w:left="920"/>
              <w:spacing w:after="0"/>
              <w:rPr>
                <w:sz w:val="20"/>
                <w:szCs w:val="20"/>
                <w:color w:val="auto"/>
              </w:rPr>
            </w:pPr>
            <w:r>
              <w:rPr>
                <w:rFonts w:ascii="Arial" w:cs="Arial" w:eastAsia="Arial" w:hAnsi="Arial"/>
                <w:sz w:val="18"/>
                <w:szCs w:val="18"/>
                <w:b w:val="1"/>
                <w:bCs w:val="1"/>
                <w:color w:val="auto"/>
              </w:rPr>
              <w:t>Payment Date</w:t>
            </w:r>
          </w:p>
        </w:tc>
        <w:tc>
          <w:tcPr>
            <w:tcW w:w="30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February 27, 2014</w:t>
            </w:r>
          </w:p>
        </w:tc>
        <w:tc>
          <w:tcPr>
            <w:tcW w:w="120" w:type="dxa"/>
            <w:vAlign w:val="bottom"/>
            <w:tcBorders>
              <w:top w:val="single" w:sz="8" w:color="CCFFCC"/>
            </w:tcBorders>
            <w:shd w:val="clear" w:color="auto" w:fill="CCFFCC"/>
          </w:tcPr>
          <w:p>
            <w:pPr>
              <w:spacing w:after="0"/>
              <w:rPr>
                <w:sz w:val="19"/>
                <w:szCs w:val="19"/>
                <w:color w:val="auto"/>
              </w:rPr>
            </w:pPr>
          </w:p>
        </w:tc>
        <w:tc>
          <w:tcPr>
            <w:tcW w:w="25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tcBorders>
              <w:top w:val="single" w:sz="8" w:color="CCFFCC"/>
            </w:tcBorders>
            <w:shd w:val="clear" w:color="auto" w:fill="CCFFCC"/>
          </w:tcPr>
          <w:p>
            <w:pPr>
              <w:spacing w:after="0"/>
              <w:rPr>
                <w:sz w:val="19"/>
                <w:szCs w:val="19"/>
                <w:color w:val="auto"/>
              </w:rPr>
            </w:pPr>
          </w:p>
        </w:tc>
        <w:tc>
          <w:tcPr>
            <w:tcW w:w="2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March 26, 2014</w:t>
            </w:r>
          </w:p>
        </w:tc>
        <w:tc>
          <w:tcPr>
            <w:tcW w:w="100" w:type="dxa"/>
            <w:vAlign w:val="bottom"/>
            <w:tcBorders>
              <w:top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FFCC"/>
            </w:tcBorders>
            <w:shd w:val="clear" w:color="auto" w:fill="CCFFCC"/>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Total Dividends Declared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vMerge w:val="restart"/>
          </w:tcPr>
          <w:p>
            <w:pPr>
              <w:jc w:val="right"/>
              <w:ind w:right="3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is a schedule of financial highlights for the three months ended March 31, 2014 (dollars in thousands, except share and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2014</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5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Per share data:</w:t>
            </w: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investment income(1)</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Net realized gain on investments</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decrease in unrealized appreciation on investments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increase in stockholders’ equity</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12,974,420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Ratio/Supplemental data:</w:t>
            </w: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assets(4)</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Ratio of incentive fee to average net assets(4)</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Ratio of debt related expenses to average net assets(4)</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w w:val="90"/>
              </w:rPr>
              <w:t>Ratio of other operating expenses, net of management fee waiver to average net assets(4)</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Ratio of total expenses to average net assets(4)</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Portfolio turnover rate(3)</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Average Debt Outstanding(5)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Average Debt Outstanding per common share</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Asset Coverage ratio per unit(6)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2" w:lineRule="exact"/>
        <w:rPr>
          <w:rFonts w:ascii="Arial" w:cs="Arial" w:eastAsia="Arial" w:hAnsi="Arial"/>
          <w:sz w:val="16"/>
          <w:szCs w:val="16"/>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jc w:val="both"/>
        <w:ind w:left="440" w:right="340" w:hanging="432"/>
        <w:spacing w:after="0" w:line="255"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indebtness not represented by senior securities, to the aggregate amount of senior securities representing indebtness. Asset coverage per unit is expressed in terms of dollar amounts per $1,000 of indebtness.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three month period ended March 31, 2014.</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April 1, 2014, the Company received $8.0 million in principal prepayments on AAE Acquisition, LLC senior secured term debt.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April 28, 2014, the Company originated a $250 thousand line of credit to Market E’s, LLC that has a contractual interest rate of 10%.</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37" w:name="page38"/>
    <w:bookmarkEnd w:id="37"/>
    <w:p>
      <w:pPr>
        <w:ind w:right="280" w:firstLine="881"/>
        <w:spacing w:after="0" w:line="277" w:lineRule="auto"/>
        <w:rPr>
          <w:sz w:val="20"/>
          <w:szCs w:val="20"/>
          <w:color w:val="auto"/>
        </w:rPr>
      </w:pPr>
      <w:r>
        <w:rPr>
          <w:rFonts w:ascii="Arial" w:cs="Arial" w:eastAsia="Arial" w:hAnsi="Arial"/>
          <w:sz w:val="18"/>
          <w:szCs w:val="18"/>
          <w:color w:val="auto"/>
        </w:rPr>
        <w:t>On May 5, 2014, the Company originated a $1.0 million subordinated loan to Sparus Holdings, Inc that has a contractual interest rate of 12% cash, 2% PIK.</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On May 8, 2014, the Company originated a $3.8 million senior term loan and a $1.1 million delayed draw term loan in U.S. Wells Services, LLC that have a contractual rate of Libor + 11.5%.</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May 8, 2014, the Company’s Board declared a quarterly dividend of $0.47 per share payable on June 26, 2014 to holders of record as of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9, 2014.</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237" w:lineRule="exact"/>
        <w:rPr>
          <w:sz w:val="20"/>
          <w:szCs w:val="20"/>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420" w:right="600" w:hanging="426"/>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exemptive relief from the SEC to co-invest and to engage in joint restructuring transactions or joint follow-on investments;</w:t>
      </w:r>
    </w:p>
    <w:p>
      <w:pPr>
        <w:spacing w:after="0" w:line="170"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420" w:right="40" w:hanging="426"/>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420" w:hanging="426"/>
        <w:spacing w:after="0"/>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420" w:hanging="426"/>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(the “Investment Advisor”), and Capitala Advisors Corp. (the “Administrator”) provides the administrative services necessary for us to operate.</w:t>
      </w:r>
    </w:p>
    <w:p>
      <w:pPr>
        <w:spacing w:after="0" w:line="188"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We provide capital to smaller and lower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171" w:lineRule="exact"/>
        <w:rPr>
          <w:sz w:val="20"/>
          <w:szCs w:val="20"/>
          <w:color w:val="auto"/>
        </w:rPr>
      </w:pPr>
    </w:p>
    <w:p>
      <w:pPr>
        <w:ind w:right="140" w:firstLine="881"/>
        <w:spacing w:after="0" w:line="286" w:lineRule="auto"/>
        <w:rPr>
          <w:sz w:val="20"/>
          <w:szCs w:val="20"/>
          <w:color w:val="auto"/>
        </w:rPr>
      </w:pPr>
      <w:r>
        <w:rPr>
          <w:rFonts w:ascii="Arial" w:cs="Arial" w:eastAsia="Arial" w:hAnsi="Arial"/>
          <w:sz w:val="17"/>
          <w:szCs w:val="17"/>
          <w:color w:val="auto"/>
        </w:rPr>
        <w:t xml:space="preserve">We invest in mezzanine and senior subordinated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borrowers’ financial sponsors.</w:t>
      </w:r>
    </w:p>
    <w:p>
      <w:pPr>
        <w:spacing w:after="0" w:line="166"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for U.S. federal income tax purposes, we must distribute at least 90% of our net ordinary income and realized net short-term capital gains in excess of realized net long-term capital losses, if any, for the taxable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78"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March 31, 2014, the Company had 12,974,420 shares of common stock outstanding.</w:t>
      </w:r>
    </w:p>
    <w:p>
      <w:pPr>
        <w:spacing w:after="0" w:line="178"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At the time of the Formation Transactions, our portfolio consisted of: (i) approximately $326.3 million in investments; (ii) an aggregate of approximately $67.1 million in cash, interest receivable and other assets; and (iii) liabilities of approximately $202.2 million of SBA-guaranteed debt payable. We have two SBIC-licensed subsidiaries that have elected to be treated as BDCs under the 1940 Act. We may also seek other forms of leverage and borrow funds to make investments, including before we have fully invested the proceeds of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 xml:space="preserve">The accompanying consolidated financial statements have been prepared on the accrual basis of accounting in conformity with U.S. generally accepted accounting principles (“U.S. GAAP”). The consolidated financial statements of the Company include the accounts of the Company and its wholly-owned subsidiaries as described in the Formation Transactions presented in Note 1 to our Consolidated Financial Statements. The transactions related to Fund II, Fund III, and the Florida Sidecar constitute an exchange of shares between entities under common control and will be accounted for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 such, the results of the Company’s operations and cash flows for the three months ended March 31, 2013, have been presented on a combined basis in order to provide comparative information with respect to prior periods. The Formation Transactions also included an asset acquisition of certain assets in Fund I and Fund III Parent.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were recorded at fair value at the date of acquisition, September 24, 2013.</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ind w:firstLine="881"/>
        <w:spacing w:after="0" w:line="279" w:lineRule="auto"/>
        <w:rPr>
          <w:sz w:val="20"/>
          <w:szCs w:val="20"/>
          <w:color w:val="auto"/>
        </w:rPr>
      </w:pPr>
      <w:r>
        <w:rPr>
          <w:rFonts w:ascii="Arial" w:cs="Arial" w:eastAsia="Arial" w:hAnsi="Arial"/>
          <w:sz w:val="17"/>
          <w:szCs w:val="17"/>
          <w:color w:val="auto"/>
        </w:rPr>
        <w:t>The Company’s financial position as of March 31, 2014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Adviser, our allocable portion of overhead and other expenses incurred by our Administrator in performing its obligations under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spacing w:after="0" w:line="171" w:lineRule="exact"/>
        <w:rPr>
          <w:sz w:val="20"/>
          <w:szCs w:val="20"/>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1420" w:right="200" w:hanging="426"/>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170"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1420" w:right="160" w:hanging="426"/>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(the “Exchange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1420" w:hanging="42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1420" w:hanging="426"/>
        <w:spacing w:after="0" w:line="25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our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ASC 820 defines fair value, establishes a framework used to measure fair value and requires disclosures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In accordance with ASC 820, the Company has categorized its financial instruments carried at fair value, based on the priority of the valuation technique, into a three-level fair value hierarchy as discussed in Note 3 to our Consolidated Financial Statements.</w:t>
      </w:r>
    </w:p>
    <w:p>
      <w:pPr>
        <w:spacing w:after="0" w:line="171"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they review.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left="880" w:right="360"/>
        <w:spacing w:after="0" w:line="314"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Valuations based on unadjusted quoted prices in active markets for identical assets or liabilities that the Company has the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42" w:lineRule="exact"/>
        <w:rPr>
          <w:sz w:val="20"/>
          <w:szCs w:val="20"/>
          <w:color w:val="auto"/>
        </w:rPr>
      </w:pPr>
    </w:p>
    <w:p>
      <w:pPr>
        <w:ind w:left="880" w:right="3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Senior and Subordinated Secured Loans</w:t>
      </w:r>
    </w:p>
    <w:p>
      <w:pPr>
        <w:spacing w:after="0" w:line="225" w:lineRule="exact"/>
        <w:rPr>
          <w:sz w:val="20"/>
          <w:szCs w:val="20"/>
          <w:color w:val="auto"/>
        </w:rPr>
      </w:pPr>
    </w:p>
    <w:p>
      <w:pPr>
        <w:ind w:right="120" w:firstLine="881"/>
        <w:spacing w:after="0" w:line="293" w:lineRule="auto"/>
        <w:rPr>
          <w:sz w:val="20"/>
          <w:szCs w:val="20"/>
          <w:color w:val="auto"/>
        </w:rPr>
      </w:pPr>
      <w:r>
        <w:rPr>
          <w:rFonts w:ascii="Arial" w:cs="Arial" w:eastAsia="Arial" w:hAnsi="Arial"/>
          <w:sz w:val="16"/>
          <w:szCs w:val="16"/>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will evaluate the value of the collateral utilizing the same framework described above for a performing loan to determine the value of the Level 3 debt instrument.</w:t>
      </w:r>
    </w:p>
    <w:p>
      <w:pPr>
        <w:spacing w:after="0" w:line="165" w:lineRule="exact"/>
        <w:rPr>
          <w:sz w:val="20"/>
          <w:szCs w:val="20"/>
          <w:color w:val="auto"/>
        </w:rPr>
      </w:pPr>
    </w:p>
    <w:p>
      <w:pPr>
        <w:jc w:val="both"/>
        <w:ind w:right="100" w:firstLine="881"/>
        <w:spacing w:after="0" w:line="259" w:lineRule="auto"/>
        <w:rPr>
          <w:sz w:val="20"/>
          <w:szCs w:val="20"/>
          <w:color w:val="auto"/>
        </w:rPr>
      </w:pPr>
      <w:r>
        <w:rPr>
          <w:rFonts w:ascii="Arial" w:cs="Arial" w:eastAsia="Arial" w:hAnsi="Arial"/>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Investments in Private Companies</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Our Board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right="320" w:firstLine="881"/>
        <w:spacing w:after="0" w:line="264" w:lineRule="auto"/>
        <w:rPr>
          <w:sz w:val="20"/>
          <w:szCs w:val="20"/>
          <w:color w:val="auto"/>
        </w:rPr>
      </w:pPr>
      <w:r>
        <w:rPr>
          <w:rFonts w:ascii="Arial" w:cs="Arial" w:eastAsia="Arial" w:hAnsi="Arial"/>
          <w:sz w:val="18"/>
          <w:szCs w:val="18"/>
          <w:color w:val="auto"/>
        </w:rPr>
        <w:t>Our Board will ascribe value to warrants based on fair value holdings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i w:val="1"/>
          <w:iCs w:val="1"/>
          <w:color w:val="auto"/>
        </w:rPr>
        <w:t xml:space="preserve">Interest Income and Paid-in Kind Interest: </w:t>
      </w:r>
      <w:r>
        <w:rPr>
          <w:rFonts w:ascii="Arial" w:cs="Arial" w:eastAsia="Arial" w:hAnsi="Arial"/>
          <w:sz w:val="17"/>
          <w:szCs w:val="17"/>
          <w:color w:val="auto"/>
        </w:rPr>
        <w:t>Interest income is recorded on the accrual basis to the extent that such amounts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i w:val="1"/>
          <w:iCs w:val="1"/>
          <w:color w:val="auto"/>
        </w:rPr>
        <w:t xml:space="preserve">Non-accrual income: </w:t>
      </w:r>
      <w:r>
        <w:rPr>
          <w:rFonts w:ascii="Arial" w:cs="Arial" w:eastAsia="Arial" w:hAnsi="Arial"/>
          <w:sz w:val="18"/>
          <w:szCs w:val="18"/>
          <w:color w:val="auto"/>
        </w:rPr>
        <w:t>Generally, when interest and/or principal payments on a loan become materially past due, or if the Company otherwise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3" w:name="page44"/>
    <w:bookmarkEnd w:id="43"/>
    <w:p>
      <w:pPr>
        <w:ind w:right="20" w:firstLine="881"/>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closing and/or commitment fees associated with investments in portfolio companies are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Prior to the Formation Transaction,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w:t>
      </w:r>
    </w:p>
    <w:p>
      <w:pPr>
        <w:spacing w:after="0" w:line="188" w:lineRule="exact"/>
        <w:rPr>
          <w:sz w:val="20"/>
          <w:szCs w:val="20"/>
          <w:color w:val="auto"/>
        </w:rPr>
      </w:pPr>
    </w:p>
    <w:p>
      <w:pPr>
        <w:jc w:val="both"/>
        <w:ind w:right="80" w:firstLine="881"/>
        <w:spacing w:after="0" w:line="286" w:lineRule="auto"/>
        <w:rPr>
          <w:sz w:val="20"/>
          <w:szCs w:val="20"/>
          <w:color w:val="auto"/>
        </w:rPr>
      </w:pPr>
      <w:r>
        <w:rPr>
          <w:rFonts w:ascii="Arial" w:cs="Arial" w:eastAsia="Arial" w:hAnsi="Arial"/>
          <w:sz w:val="17"/>
          <w:szCs w:val="17"/>
          <w:color w:val="auto"/>
        </w:rPr>
        <w:t>The Company intends to elect to be treated for federal income tax purposes, and intends to qualify annually thereafter, as a Regulated Investment Company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2014 and December 31, 2013,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2014 and December 31,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three month periods ended March 31, 2014 and March 31, 2013.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March 31, 2014, our portfolio consisted of investments in 43 portfolio companies with a fair value of approximately $391.2 million.</w:t>
      </w:r>
    </w:p>
    <w:p>
      <w:pPr>
        <w:spacing w:after="0" w:line="237" w:lineRule="exact"/>
        <w:rPr>
          <w:sz w:val="20"/>
          <w:szCs w:val="20"/>
          <w:color w:val="auto"/>
        </w:rPr>
      </w:pPr>
    </w:p>
    <w:p>
      <w:pPr>
        <w:jc w:val="both"/>
        <w:ind w:right="40" w:firstLine="881"/>
        <w:spacing w:after="0" w:line="279" w:lineRule="auto"/>
        <w:rPr>
          <w:sz w:val="20"/>
          <w:szCs w:val="20"/>
          <w:color w:val="auto"/>
        </w:rPr>
      </w:pPr>
      <w:r>
        <w:rPr>
          <w:rFonts w:ascii="Arial" w:cs="Arial" w:eastAsia="Arial" w:hAnsi="Arial"/>
          <w:sz w:val="17"/>
          <w:szCs w:val="17"/>
          <w:color w:val="auto"/>
        </w:rPr>
        <w:t>During the three months ended March 31, 2014, we made approximately $41.1 million of investments in new or existing portfolio companies and had approximately $10.7 million in exits and repayments resulting in net investments of approximately $30.4 million for the period. During the three months ended March 31, 2013, we made approximately $21.1 million of investments in new or existing portfolio companies and had approximately $13.0 million in exits and repayments resulting in net investments of approximately $8.1 million for the period.</w:t>
      </w:r>
    </w:p>
    <w:p>
      <w:pPr>
        <w:spacing w:after="0" w:line="171" w:lineRule="exact"/>
        <w:rPr>
          <w:sz w:val="20"/>
          <w:szCs w:val="20"/>
          <w:color w:val="auto"/>
        </w:rPr>
      </w:pPr>
    </w:p>
    <w:p>
      <w:pPr>
        <w:ind w:right="140" w:firstLine="738"/>
        <w:spacing w:after="0" w:line="257" w:lineRule="auto"/>
        <w:rPr>
          <w:sz w:val="20"/>
          <w:szCs w:val="20"/>
          <w:color w:val="auto"/>
        </w:rPr>
      </w:pPr>
      <w:r>
        <w:rPr>
          <w:rFonts w:ascii="Arial" w:cs="Arial" w:eastAsia="Arial" w:hAnsi="Arial"/>
          <w:sz w:val="18"/>
          <w:szCs w:val="18"/>
          <w:color w:val="auto"/>
        </w:rPr>
        <w:t>As of March 31, 2014, our average portfolio company investment and our largest portfolio company investment at amortized cost and fair value was approximately $7.8 million and $9.1 million, and $25.4 million and $25.4 million, respectively. As of March 31, 2014, the Company had approximately $57.6 million of cash and cash equivalents. As of December 31, 2013, our average portfolio company investment and our largest portfolio company investment at amortized cost and fair value was approximately $7.3 million and $8.9 million, and $25.3 million and $25.3 million, respectively. As of December 31, 2013, the Company had $101.6 million of cash and cash equivalents</w:t>
      </w:r>
    </w:p>
    <w:p>
      <w:pPr>
        <w:spacing w:after="0" w:line="188"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March 31,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Investments at</w:t>
            </w:r>
          </w:p>
        </w:tc>
        <w:tc>
          <w:tcPr>
            <w:tcW w:w="160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Percentage of</w:t>
            </w: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Investments at</w:t>
            </w:r>
          </w:p>
        </w:tc>
        <w:tc>
          <w:tcPr>
            <w:tcW w:w="15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Amortized Cost</w:t>
            </w:r>
          </w:p>
        </w:tc>
        <w:tc>
          <w:tcPr>
            <w:tcW w:w="160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5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6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Debt</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136,581</w:t>
            </w:r>
          </w:p>
        </w:tc>
        <w:tc>
          <w:tcPr>
            <w:tcW w:w="18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134,508</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Subordinated Debt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133,060</w:t>
            </w:r>
          </w:p>
        </w:tc>
        <w:tc>
          <w:tcPr>
            <w:tcW w:w="18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130,181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Equity and Warrants</w:t>
            </w: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63,843</w:t>
            </w:r>
          </w:p>
        </w:tc>
        <w:tc>
          <w:tcPr>
            <w:tcW w:w="16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126,492</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57,566</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57,566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391,050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448,747</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45" w:name="page46"/>
    <w:bookmarkEnd w:id="45"/>
    <w:p>
      <w:pPr>
        <w:ind w:right="38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2013 (dollars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Investments at</w:t>
            </w:r>
          </w:p>
        </w:tc>
        <w:tc>
          <w:tcPr>
            <w:tcW w:w="160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Percentage of</w:t>
            </w:r>
          </w:p>
        </w:tc>
        <w:tc>
          <w:tcPr>
            <w:tcW w:w="1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Investments at</w:t>
            </w:r>
          </w:p>
        </w:tc>
        <w:tc>
          <w:tcPr>
            <w:tcW w:w="15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30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Amortized Cost</w:t>
            </w:r>
          </w:p>
        </w:tc>
        <w:tc>
          <w:tcPr>
            <w:tcW w:w="18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FFCC"/>
            </w:tcBorders>
          </w:tcPr>
          <w:p>
            <w:pPr>
              <w:spacing w:after="0"/>
              <w:rPr>
                <w:sz w:val="20"/>
                <w:szCs w:val="20"/>
                <w:color w:val="auto"/>
              </w:rPr>
            </w:pP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103,457</w:t>
            </w:r>
          </w:p>
        </w:tc>
        <w:tc>
          <w:tcPr>
            <w:tcW w:w="18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102,071</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136,638</w:t>
            </w:r>
          </w:p>
        </w:tc>
        <w:tc>
          <w:tcPr>
            <w:tcW w:w="18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133,710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61,204</w:t>
            </w:r>
          </w:p>
        </w:tc>
        <w:tc>
          <w:tcPr>
            <w:tcW w:w="16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128,938</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101,622</w:t>
            </w:r>
          </w:p>
        </w:tc>
        <w:tc>
          <w:tcPr>
            <w:tcW w:w="180" w:type="dxa"/>
            <w:vAlign w:val="bottom"/>
          </w:tcPr>
          <w:p>
            <w:pPr>
              <w:spacing w:after="0"/>
              <w:rPr>
                <w:sz w:val="19"/>
                <w:szCs w:val="19"/>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101,622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43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402,921</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466,341</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881"/>
        <w:spacing w:after="0" w:line="286" w:lineRule="auto"/>
        <w:rPr>
          <w:sz w:val="20"/>
          <w:szCs w:val="20"/>
          <w:color w:val="auto"/>
        </w:rPr>
      </w:pPr>
      <w:r>
        <w:rPr>
          <w:rFonts w:ascii="Arial" w:cs="Arial" w:eastAsia="Arial" w:hAnsi="Arial"/>
          <w:sz w:val="17"/>
          <w:szCs w:val="17"/>
          <w:color w:val="auto"/>
        </w:rPr>
        <w:t>As of March 31, 2014, our income-bearing investment portfolio, which represented nearly 68% of our total portfolio, had a weighted average yield of approximately 13.8% all bearing a fixed rate of interest. As of December 31, 2013, our income-bearing investment portfolio, which represented nearly 65% of our total portfolio, had a weighted average yield of approximately 13.7% all bearing a fixed rate of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tcPr>
          <w:p>
            <w:pPr>
              <w:spacing w:after="0"/>
              <w:rPr>
                <w:sz w:val="20"/>
                <w:szCs w:val="20"/>
                <w:color w:val="auto"/>
              </w:rPr>
            </w:pPr>
          </w:p>
        </w:tc>
        <w:tc>
          <w:tcPr>
            <w:tcW w:w="30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 2013</w:t>
            </w:r>
          </w:p>
        </w:tc>
        <w:tc>
          <w:tcPr>
            <w:tcW w:w="580" w:type="dxa"/>
            <w:vAlign w:val="bottom"/>
          </w:tcPr>
          <w:p>
            <w:pPr>
              <w:spacing w:after="0"/>
              <w:rPr>
                <w:sz w:val="20"/>
                <w:szCs w:val="20"/>
                <w:color w:val="auto"/>
              </w:rPr>
            </w:pPr>
          </w:p>
        </w:tc>
      </w:tr>
      <w:tr>
        <w:trPr>
          <w:trHeight w:val="191"/>
        </w:trPr>
        <w:tc>
          <w:tcPr>
            <w:tcW w:w="4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6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Investments</w:t>
            </w:r>
          </w:p>
        </w:tc>
        <w:tc>
          <w:tcPr>
            <w:tcW w:w="15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of</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at</w:t>
            </w:r>
          </w:p>
        </w:tc>
        <w:tc>
          <w:tcPr>
            <w:tcW w:w="15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580" w:type="dxa"/>
            <w:vAlign w:val="bottom"/>
          </w:tcPr>
          <w:p>
            <w:pPr>
              <w:spacing w:after="0"/>
              <w:rPr>
                <w:sz w:val="18"/>
                <w:szCs w:val="18"/>
                <w:color w:val="auto"/>
              </w:rPr>
            </w:pPr>
          </w:p>
        </w:tc>
      </w:tr>
      <w:tr>
        <w:trPr>
          <w:trHeight w:val="234"/>
        </w:trPr>
        <w:tc>
          <w:tcPr>
            <w:tcW w:w="436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8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FFCC"/>
            </w:tcBorders>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Oil &amp; Gas Services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25,430</w:t>
            </w:r>
          </w:p>
        </w:tc>
        <w:tc>
          <w:tcPr>
            <w:tcW w:w="2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25,321</w:t>
            </w:r>
          </w:p>
        </w:tc>
        <w:tc>
          <w:tcPr>
            <w:tcW w:w="2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24,651</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QSR Franchisee</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24,135</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24,787</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22,809</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Professional Employer Organization</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22,082</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22,677</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21,333</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Printing Services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18,618</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16,448</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Footwear Retail</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15,327</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14,807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Oil &amp; Gas Engineering and Consulting Services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15,000</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Personal Product Manufacturer</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13,707</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14,073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QSR Franchisor</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13,270</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14,622</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Specialty Clothing</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12,461</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12,724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Retail Display &amp; Security Services</w:t>
            </w: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11,965</w:t>
            </w:r>
          </w:p>
        </w:tc>
        <w:tc>
          <w:tcPr>
            <w:tcW w:w="2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10,823</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11,372</w:t>
            </w:r>
          </w:p>
        </w:tc>
        <w:tc>
          <w:tcPr>
            <w:tcW w:w="220" w:type="dxa"/>
            <w:vAlign w:val="bottom"/>
          </w:tcPr>
          <w:p>
            <w:pPr>
              <w:spacing w:after="0"/>
              <w:rPr>
                <w:sz w:val="18"/>
                <w:szCs w:val="18"/>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Culinary Products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10,536</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10,302</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Aerospace Parts Manufacturer</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9,934</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Fuel Transportation Services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9,643</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10,274</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9,609</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9,031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Dental Practice Management</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9,002</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9,273</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8,300</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Energy Services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8,064</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8,783</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Conglomerate</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7,081</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7,630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Computer Supply Retail</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6,651</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6,673</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Western Wear Retail</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6,288</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4,774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Produce Distribution</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5,900</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6,631</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Replacement Window Manufacturer</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5,528</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Advertising &amp; Marketing Services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5,257</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4,911</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Environmental Services Products</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5,253</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Data Processing &amp; Digital Marketing</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5,061</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5,061</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4,184</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3,886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Metal Recycler</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3,950</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3,950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Petroleum Equipment Supplier</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3,624</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3,624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Industrial Manufacturing</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3,451</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3,440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Specialty Defense Contractor</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2,799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Building Supplies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2,609</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2,509</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Quick Lube Services</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1,866</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Industrial Boiler Manufacturer</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1,736</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1,536</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Online Travel Sales &amp; Marketing</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In-Home Healthcare Services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642</w:t>
            </w:r>
          </w:p>
        </w:tc>
        <w:tc>
          <w:tcPr>
            <w:tcW w:w="16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748</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IT Hosting Services</w:t>
            </w: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r>
      <w:tr>
        <w:trPr>
          <w:trHeight w:val="223"/>
        </w:trPr>
        <w:tc>
          <w:tcPr>
            <w:tcW w:w="43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391,181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364,719</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4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39</w:t>
            </w: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886" w:gutter="0" w:footer="0" w:header="0"/>
        </w:sectPr>
      </w:pPr>
    </w:p>
    <w:bookmarkStart w:id="46" w:name="page47"/>
    <w:bookmarkEnd w:id="46"/>
    <w:p>
      <w:pPr>
        <w:ind w:right="160" w:firstLine="881"/>
        <w:spacing w:after="0" w:line="302" w:lineRule="auto"/>
        <w:rPr>
          <w:sz w:val="20"/>
          <w:szCs w:val="20"/>
          <w:color w:val="auto"/>
        </w:rPr>
      </w:pPr>
      <w:r>
        <w:rPr>
          <w:rFonts w:ascii="Arial" w:cs="Arial" w:eastAsia="Arial" w:hAnsi="Arial"/>
          <w:sz w:val="16"/>
          <w:szCs w:val="16"/>
          <w:color w:val="auto"/>
        </w:rPr>
        <w:t>With the exception of an $8.3 million investment in an internationally headquartered company, all investments made by the Company as of March 31, 2014 and December 31, 2013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at March 31, 2014 and December 31, 2013 (dollars in thousands):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At March 31, 2014</w:t>
            </w:r>
          </w:p>
        </w:tc>
        <w:tc>
          <w:tcPr>
            <w:tcW w:w="140" w:type="dxa"/>
            <w:vAlign w:val="bottom"/>
          </w:tcPr>
          <w:p>
            <w:pPr>
              <w:spacing w:after="0"/>
              <w:rPr>
                <w:sz w:val="20"/>
                <w:szCs w:val="20"/>
                <w:color w:val="auto"/>
              </w:rPr>
            </w:pPr>
          </w:p>
        </w:tc>
        <w:tc>
          <w:tcPr>
            <w:tcW w:w="29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At December 31, 2013</w:t>
            </w:r>
          </w:p>
        </w:tc>
      </w:tr>
      <w:tr>
        <w:trPr>
          <w:trHeight w:val="191"/>
        </w:trPr>
        <w:tc>
          <w:tcPr>
            <w:tcW w:w="4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gridSpan w:val="2"/>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6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Investments</w:t>
            </w:r>
          </w:p>
        </w:tc>
        <w:tc>
          <w:tcPr>
            <w:tcW w:w="15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6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at</w:t>
            </w:r>
          </w:p>
        </w:tc>
        <w:tc>
          <w:tcPr>
            <w:tcW w:w="15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428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6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FFC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FFCC"/>
            </w:tcBorders>
            <w:gridSpan w:val="2"/>
          </w:tcPr>
          <w:p>
            <w:pPr>
              <w:spacing w:after="0"/>
              <w:rPr>
                <w:sz w:val="20"/>
                <w:szCs w:val="20"/>
                <w:color w:val="auto"/>
              </w:rPr>
            </w:pPr>
          </w:p>
        </w:tc>
      </w:tr>
      <w:tr>
        <w:trPr>
          <w:trHeight w:val="210"/>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South</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251,920</w:t>
            </w:r>
          </w:p>
        </w:tc>
        <w:tc>
          <w:tcPr>
            <w:tcW w:w="18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254,143</w:t>
            </w:r>
          </w:p>
        </w:tc>
        <w:tc>
          <w:tcPr>
            <w:tcW w:w="20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69.7%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87,298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66,637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Northeast</w:t>
            </w:r>
          </w:p>
        </w:tc>
        <w:tc>
          <w:tcPr>
            <w:tcW w:w="16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23,133</w:t>
            </w:r>
          </w:p>
        </w:tc>
        <w:tc>
          <w:tcPr>
            <w:tcW w:w="16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23,436</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Midwest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20,530</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20,503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8,300</w:t>
            </w:r>
          </w:p>
        </w:tc>
        <w:tc>
          <w:tcPr>
            <w:tcW w:w="16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391,181</w:t>
            </w:r>
          </w:p>
        </w:tc>
        <w:tc>
          <w:tcPr>
            <w:tcW w:w="1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2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Investment Advisor regularly assesses the risk profile of each of our investments and rates each of them based on the following categories, which we refer to as the Investment Advisor’s investment credit rating: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Credit Rating</w:t>
            </w:r>
          </w:p>
        </w:tc>
        <w:tc>
          <w:tcPr>
            <w:tcW w:w="9460" w:type="dxa"/>
            <w:vAlign w:val="bottom"/>
          </w:tcPr>
          <w:p>
            <w:pPr>
              <w:spacing w:after="0"/>
              <w:rPr>
                <w:sz w:val="20"/>
                <w:szCs w:val="20"/>
                <w:color w:val="auto"/>
              </w:rPr>
            </w:pPr>
            <w:r>
              <w:rPr>
                <w:rFonts w:ascii="Arial" w:cs="Arial" w:eastAsia="Arial" w:hAnsi="Arial"/>
                <w:sz w:val="18"/>
                <w:szCs w:val="18"/>
                <w:b w:val="1"/>
                <w:bCs w:val="1"/>
                <w:color w:val="auto"/>
              </w:rPr>
              <w:t>Definition</w:t>
            </w:r>
          </w:p>
        </w:tc>
      </w:tr>
      <w:tr>
        <w:trPr>
          <w:trHeight w:val="432"/>
        </w:trPr>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9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Investments that are performing above expectations.</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6"/>
              </w:rPr>
              <w:t>Investments that are performing within expectations, with risks that are neutral or favorable compared to risks at the time of</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origination.</w:t>
            </w:r>
          </w:p>
        </w:tc>
      </w:tr>
      <w:tr>
        <w:trPr>
          <w:trHeight w:val="432"/>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All new loans are rated ‘2’.</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2"/>
              </w:rPr>
              <w:t>Investments that are performing below expectations and that require closer monitoring, but where no loss of interest, dividend or</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principal is expected.</w:t>
            </w:r>
          </w:p>
        </w:tc>
      </w:tr>
      <w:tr>
        <w:trPr>
          <w:trHeight w:val="432"/>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5"/>
              </w:rPr>
              <w:t>Companies rated ‘3’ may be out of compliance with financial covenants, however, loan payments are generally not past due.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Investments that are performing below expectations and for which risk has increased materially since origination.</w:t>
            </w:r>
          </w:p>
        </w:tc>
      </w:tr>
      <w:tr>
        <w:trPr>
          <w:trHeight w:val="432"/>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Some loss of interest or dividend is expected but no loss of principal.</w:t>
            </w:r>
          </w:p>
        </w:tc>
      </w:tr>
      <w:tr>
        <w:trPr>
          <w:trHeight w:val="418"/>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2"/>
              </w:rPr>
              <w:t>In addition to the borrower being generally out of compliance with debt covenants, loan payments may be past due (but generally</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not more than 180 days past due).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2"/>
              </w:rPr>
              <w:t>Investments that are performing substantially below expectations and whose risks have increased substantially since origination.</w:t>
            </w:r>
          </w:p>
        </w:tc>
      </w:tr>
      <w:tr>
        <w:trPr>
          <w:trHeight w:val="432"/>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Most or all of the debt covenants are out of compliance and payments are substantially delinquent.</w:t>
            </w:r>
          </w:p>
        </w:tc>
      </w:tr>
      <w:tr>
        <w:trPr>
          <w:trHeight w:val="432"/>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Some loss of principal is expected.</w:t>
            </w:r>
          </w:p>
        </w:tc>
      </w:tr>
      <w:tr>
        <w:trPr>
          <w:trHeight w:val="432"/>
        </w:trPr>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882" w:right="239" w:bottom="1440" w:gutter="0" w:footer="0" w:header="0"/>
        </w:sectPr>
      </w:pPr>
    </w:p>
    <w:bookmarkStart w:id="47" w:name="page48"/>
    <w:bookmarkEnd w:id="47"/>
    <w:p>
      <w:pPr>
        <w:ind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2014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Investments</w:t>
            </w:r>
          </w:p>
        </w:tc>
        <w:tc>
          <w:tcPr>
            <w:tcW w:w="16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at Fair</w:t>
            </w:r>
          </w:p>
        </w:tc>
        <w:tc>
          <w:tcPr>
            <w:tcW w:w="16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of Total</w:t>
            </w:r>
          </w:p>
        </w:tc>
        <w:tc>
          <w:tcPr>
            <w:tcW w:w="0" w:type="dxa"/>
            <w:vAlign w:val="bottom"/>
          </w:tcPr>
          <w:p>
            <w:pPr>
              <w:spacing w:after="0"/>
              <w:rPr>
                <w:sz w:val="1"/>
                <w:szCs w:val="1"/>
                <w:color w:val="auto"/>
              </w:rPr>
            </w:pPr>
          </w:p>
        </w:tc>
      </w:tr>
      <w:tr>
        <w:trPr>
          <w:trHeight w:val="24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Investment Performance Rating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3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189,803</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125,367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68,687</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5</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391,181</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2013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Investments</w:t>
            </w:r>
          </w:p>
        </w:tc>
        <w:tc>
          <w:tcPr>
            <w:tcW w:w="16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at Fair</w:t>
            </w:r>
          </w:p>
        </w:tc>
        <w:tc>
          <w:tcPr>
            <w:tcW w:w="160" w:type="dxa"/>
            <w:vAlign w:val="bottom"/>
          </w:tcPr>
          <w:p>
            <w:pPr>
              <w:spacing w:after="0"/>
              <w:rPr>
                <w:sz w:val="18"/>
                <w:szCs w:val="18"/>
                <w:color w:val="auto"/>
              </w:rPr>
            </w:pP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of Total</w:t>
            </w:r>
          </w:p>
        </w:tc>
        <w:tc>
          <w:tcPr>
            <w:tcW w:w="0" w:type="dxa"/>
            <w:vAlign w:val="bottom"/>
          </w:tcPr>
          <w:p>
            <w:pPr>
              <w:spacing w:after="0"/>
              <w:rPr>
                <w:sz w:val="1"/>
                <w:szCs w:val="1"/>
                <w:color w:val="auto"/>
              </w:rPr>
            </w:pPr>
          </w:p>
        </w:tc>
      </w:tr>
      <w:tr>
        <w:trPr>
          <w:trHeight w:val="24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Investment Performance Rating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3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183,194</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129,721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44,680</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5</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As of March 31, 2014, the Company had four portfolio investments on non-accrual status with a total principal amount of $10.1 million, amortized cost of $8.5 million and a fair value of $5.6 million, which represented 2.6%, 2.2% and 1.4% of the investment portfolio, respectively. As of December 31, 2013 the Company had four portfolio investments on non-accrual status with a total principal amount of $12.1 million, amortized cost of $10.3 million and a fair value of $6.5 million representing 3.3%, 2.8% and 1.8% of the investment portfolio,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Operating results for the three and nine months ended March 31, 2014 and March 31, 2013 are as follows (dollars in thousands):</w:t>
      </w:r>
    </w:p>
    <w:p>
      <w:pPr>
        <w:sectPr>
          <w:pgSz w:w="11900" w:h="16838" w:orient="portrait"/>
          <w:cols w:equalWidth="0" w:num="1">
            <w:col w:w="11420"/>
          </w:cols>
          <w:pgMar w:left="240" w:top="8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expenses, net</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gains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decrease in unrealized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Net increase in net assets resulting from operations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r>
      <w:tr>
        <w:trPr>
          <w:trHeight w:val="25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12,374</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6,271</w:t>
            </w:r>
          </w:p>
        </w:tc>
        <w:tc>
          <w:tcPr>
            <w:tcW w:w="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5,721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3,289</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780"/>
          </w:cols>
          <w:pgMar w:left="240" w:top="882"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48" w:name="page49"/>
    <w:bookmarkEnd w:id="48"/>
    <w:p>
      <w:pPr>
        <w:ind w:left="88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composition of our investment income for the three months ended March 31, 2014 and March 31, 2013 was as follows (dollars in thousands):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9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Interest and fee income</w:t>
            </w:r>
          </w:p>
        </w:tc>
        <w:tc>
          <w:tcPr>
            <w:tcW w:w="1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8,013</w:t>
            </w:r>
          </w:p>
        </w:tc>
        <w:tc>
          <w:tcPr>
            <w:tcW w:w="3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Dividend income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Payment-in-kind interest and dividend income</w:t>
            </w:r>
          </w:p>
        </w:tc>
        <w:tc>
          <w:tcPr>
            <w:tcW w:w="1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from cash and cash equivalents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12,374</w:t>
            </w:r>
          </w:p>
        </w:tc>
        <w:tc>
          <w:tcPr>
            <w:tcW w:w="16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For the three months ended March 31, 2014, total investment income increased $6.1 million, or 97.3% compared to the three months ended March 31, 2013. The increase from the prior period relates to higher dividend income mostly from recapitalizations of control investments, and higher loan and fee income resulting from an increasing investment portfolio.</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expenses for the three months ended March 31, 2014 and March 31, 2013 was as follows (dollars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three months ended</w:t>
            </w:r>
          </w:p>
        </w:tc>
      </w:tr>
      <w:tr>
        <w:trPr>
          <w:trHeight w:val="191"/>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5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and amortization of deferred financing fees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2,199</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Management fees, net of management fee waiver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Incentive fees</w:t>
            </w:r>
          </w:p>
        </w:tc>
        <w:tc>
          <w:tcPr>
            <w:tcW w:w="1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FFC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6,653</w:t>
            </w:r>
          </w:p>
        </w:tc>
        <w:tc>
          <w:tcPr>
            <w:tcW w:w="16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2,982</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881"/>
        <w:spacing w:after="0" w:line="286" w:lineRule="auto"/>
        <w:rPr>
          <w:sz w:val="20"/>
          <w:szCs w:val="20"/>
          <w:color w:val="auto"/>
        </w:rPr>
      </w:pPr>
      <w:r>
        <w:rPr>
          <w:rFonts w:ascii="Arial" w:cs="Arial" w:eastAsia="Arial" w:hAnsi="Arial"/>
          <w:sz w:val="17"/>
          <w:szCs w:val="17"/>
          <w:color w:val="auto"/>
        </w:rPr>
        <w:t>For the three months ended March 31, 2014, operating expenses increased $3.7 million, or 123.1% compared to the three months ended March 31, 2013. The increase from the prior period is attributable to incentive and management fees under the new advisory agreements along with increased general and administrative expenses due to regulatory and reporting costs subsequent to our IPO on September 30, 2013.</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jc w:val="both"/>
        <w:ind w:right="200" w:firstLine="881"/>
        <w:spacing w:after="0" w:line="277" w:lineRule="auto"/>
        <w:rPr>
          <w:sz w:val="20"/>
          <w:szCs w:val="20"/>
          <w:color w:val="auto"/>
        </w:rPr>
      </w:pPr>
      <w:r>
        <w:rPr>
          <w:rFonts w:ascii="Arial" w:cs="Arial" w:eastAsia="Arial" w:hAnsi="Arial"/>
          <w:sz w:val="18"/>
          <w:szCs w:val="18"/>
          <w:color w:val="auto"/>
        </w:rPr>
        <w:t>During the three months ended March 31, 2014, we recognized $1.2 million of net realized gains on our portfolio investments. During the three months ended March 31, 2013, we recognized no net realized gains on portfolio investments.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jc w:val="both"/>
        <w:ind w:right="200" w:firstLine="881"/>
        <w:spacing w:after="0" w:line="264" w:lineRule="auto"/>
        <w:rPr>
          <w:sz w:val="20"/>
          <w:szCs w:val="20"/>
          <w:color w:val="auto"/>
        </w:rPr>
      </w:pPr>
      <w:r>
        <w:rPr>
          <w:rFonts w:ascii="Arial" w:cs="Arial" w:eastAsia="Arial" w:hAnsi="Arial"/>
          <w:sz w:val="18"/>
          <w:szCs w:val="18"/>
          <w:color w:val="auto"/>
        </w:rPr>
        <w:t>Net change in unrealized appreciation on investments reflects the net change in the fair value of our investment portfolio. For the three months ended March 31, 2014, we had a $5.7 million decrease in unrealized appreciation on portfolio investments. For the three months ended March 31, 2013, we had a $0.7 million decrease in unrealized appreciation on portfolio investments.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right="440" w:firstLine="881"/>
        <w:spacing w:after="0" w:line="312" w:lineRule="auto"/>
        <w:rPr>
          <w:sz w:val="20"/>
          <w:szCs w:val="20"/>
          <w:color w:val="auto"/>
        </w:rPr>
      </w:pPr>
      <w:r>
        <w:rPr>
          <w:rFonts w:ascii="Arial" w:cs="Arial" w:eastAsia="Arial" w:hAnsi="Arial"/>
          <w:sz w:val="16"/>
          <w:szCs w:val="16"/>
          <w:color w:val="auto"/>
        </w:rPr>
        <w:t>For the three months ended March 31, 2014, we recorded a net increase in net assets resulting from operations of $1.2 million. Based on the weighted average shares of common stock outstanding for the three months ended March 31, 2014 our per share net increase in net assets resulting from operations was $0.09. For the three months ended March 31, 2013, we recorded a net increase in net assets resulting from operations of $2.6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to the $74.25 million of net proceeds from our IPO, we intend to continue to generate cash from future offerings of securities and cash flows from operations, including earnings on investments in our portfolio and future investments, as well as interest earned from the temporary investment of cash in U.S. government securities and other high-quality debt investments that mature in one year or less. In addition to our existing SBA-guaranteed debentures, we may, if permitted by regulation, seek to issue additional SBA-guaranteed debentures as well as other forms of leverage and borrow funds to make investments, including before we have fully invested the proceeds of this offering.</w:t>
      </w:r>
    </w:p>
    <w:p>
      <w:pPr>
        <w:spacing w:after="0" w:line="173"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As of March 31, 2014, we had $57.6 million in cash and cash equivalents, and our net assets totaled $263.8 million. On January 15, 2014, the Company filed a registration statement on form N-2 in connection with the registration of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right="2680" w:firstLine="881"/>
        <w:spacing w:after="0" w:line="277" w:lineRule="auto"/>
        <w:rPr>
          <w:sz w:val="20"/>
          <w:szCs w:val="20"/>
          <w:color w:val="auto"/>
        </w:rPr>
      </w:pPr>
      <w:r>
        <w:rPr>
          <w:rFonts w:ascii="Arial" w:cs="Arial" w:eastAsia="Arial" w:hAnsi="Arial"/>
          <w:sz w:val="18"/>
          <w:szCs w:val="18"/>
          <w:color w:val="auto"/>
        </w:rPr>
        <w:t>A summary of the Company’s significant contractual payment obligations as of March 31, 2014 is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10"/>
          </w:tcPr>
          <w:p>
            <w:pPr>
              <w:ind w:left="10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86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Less Than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1 - 3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3 - 5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6"/>
              </w:rPr>
              <w:t>More Than</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860" w:type="dxa"/>
            <w:vAlign w:val="bottom"/>
          </w:tcPr>
          <w:p>
            <w:pPr>
              <w:spacing w:after="0"/>
              <w:rPr>
                <w:sz w:val="20"/>
                <w:szCs w:val="20"/>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5 Years</w:t>
            </w:r>
          </w:p>
        </w:tc>
        <w:tc>
          <w:tcPr>
            <w:tcW w:w="20" w:type="dxa"/>
            <w:vAlign w:val="bottom"/>
          </w:tcPr>
          <w:p>
            <w:pPr>
              <w:spacing w:after="0"/>
              <w:rPr>
                <w:sz w:val="20"/>
                <w:szCs w:val="20"/>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4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SBA-Guaranteed Debentures</w:t>
            </w:r>
          </w:p>
        </w:tc>
        <w:tc>
          <w:tcPr>
            <w:tcW w:w="1020" w:type="dxa"/>
            <w:vAlign w:val="bottom"/>
            <w:tcBorders>
              <w:top w:val="single" w:sz="8" w:color="auto"/>
              <w:bottom w:val="single" w:sz="8" w:color="auto"/>
            </w:tcBorders>
            <w:shd w:val="clear" w:color="auto" w:fill="CCFFCC"/>
          </w:tcPr>
          <w:p>
            <w:pPr>
              <w:jc w:val="right"/>
              <w:ind w:right="85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26,500</w:t>
            </w: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FFCC"/>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165,700</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7"/>
              </w:rPr>
              <w:t>$ 192,200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20" w:type="dxa"/>
            <w:vAlign w:val="bottom"/>
            <w:tcBorders>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$ 192,200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In order to qualify as a RIC and to avoid U.S. federal corporate level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right="380" w:firstLine="881"/>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Mr. Alala, our chief executive officer, president and chairman of our Board, is the managing partner and chief investment officer of our Investment Advisor, and Mr. Broyhill, a member of our Board, has an indirect controlling interest in the Investment Advisor.</w:t>
      </w:r>
    </w:p>
    <w:p>
      <w:pPr>
        <w:spacing w:after="0" w:line="181"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In addition, the Investment Advisor’s investment team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had the opportunity to co-invest 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178"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is the chief executive officer, president and a director of our Administrator, and Mr. Broyhill, a member of our Board, is the trustee of a trust that has a controlling interest in our Administrator.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April 1, 2014, the Company received $8.0 million in principal prepayments on AAE Acquisition, LLC senior secured term debt.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April 28, 2014, the Company originated a $250 thousand line of credit in Market E’s, LLC that has a contractual interest rate of 10%.</w:t>
      </w:r>
    </w:p>
    <w:p>
      <w:pPr>
        <w:spacing w:after="0" w:line="237"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On May 5, 2014, the Company originated a $1.0 million subordinated loan to Sparus Holdings, Inc that has a contractual interest rate of 12% cash, 2% PIK.</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On May 8, 2014, the Company originated a $3.8 million senior term loan and a $1.1 million delayed draw term loan in U.S. Well Services, LLC that have a contractual rate of Libor + 11.5%.</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May 8, 2014, the Company’s Board declared a quarterly dividend of $0.47 per share payable on June 26, 2014 to holders of record as of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9, 2014.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Our investment income will generally not be affected by changes in various interest rates, including the London Interbank Offered Rate (“LIBOR”), as assets and liabilities are fixed as of March 31, 2014. We may hedge against interest rate fluctuations by using standard hedging instruments such as futures, options and forward contracts subject to the requirements of the 1940 Act. For the three months ended March 31, 2014, we did not engage in hedging activities.</w:t>
      </w:r>
    </w:p>
    <w:p>
      <w:pPr>
        <w:spacing w:after="0" w:line="188" w:lineRule="exact"/>
        <w:rPr>
          <w:sz w:val="20"/>
          <w:szCs w:val="20"/>
          <w:color w:val="auto"/>
        </w:rPr>
      </w:pPr>
    </w:p>
    <w:p>
      <w:pPr>
        <w:ind w:right="500" w:firstLine="881"/>
        <w:spacing w:after="0" w:line="342" w:lineRule="auto"/>
        <w:rPr>
          <w:sz w:val="20"/>
          <w:szCs w:val="20"/>
          <w:color w:val="auto"/>
        </w:rPr>
      </w:pPr>
      <w:r>
        <w:rPr>
          <w:rFonts w:ascii="Arial" w:cs="Arial" w:eastAsia="Arial" w:hAnsi="Arial"/>
          <w:sz w:val="16"/>
          <w:szCs w:val="16"/>
          <w:color w:val="auto"/>
        </w:rPr>
        <w:t>Assuming that the statement of assets and liabilities as of March 31, 2014 remains constant and that we take no actions to alter our existing interest rate sensitivity, there would be no impact to interest income or net investment income as the result of changes in variable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As of March 31, 2014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300" w:firstLine="881"/>
        <w:spacing w:after="0" w:line="308" w:lineRule="auto"/>
        <w:rPr>
          <w:sz w:val="20"/>
          <w:szCs w:val="20"/>
          <w:color w:val="auto"/>
        </w:rPr>
      </w:pPr>
      <w:r>
        <w:rPr>
          <w:rFonts w:ascii="Arial" w:cs="Arial" w:eastAsia="Arial" w:hAnsi="Arial"/>
          <w:sz w:val="17"/>
          <w:szCs w:val="17"/>
          <w:color w:val="auto"/>
        </w:rPr>
        <w:t>Management has not identified any change in the Company’s internal control over financing reporting that occurred during the first quarter of 2014 that has materially affected, or is reasonably likely to materially affect, the Company’s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881"/>
        <w:spacing w:after="0" w:line="297" w:lineRule="auto"/>
        <w:rPr>
          <w:sz w:val="20"/>
          <w:szCs w:val="20"/>
          <w:color w:val="auto"/>
        </w:rPr>
      </w:pPr>
      <w:r>
        <w:rPr>
          <w:rFonts w:ascii="Arial" w:cs="Arial" w:eastAsia="Arial" w:hAnsi="Arial"/>
          <w:sz w:val="16"/>
          <w:szCs w:val="16"/>
          <w:color w:val="auto"/>
        </w:rPr>
        <w:t>None of us, our Investment Advisor or Administrator or any of the Legacy Funds, is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December 31, 2013,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During the quarter ended March 31, 2014, we issued 1,310,241 shares of common stock under our dividend reinvestment plan. The issuances were not subject to the registration requirements under the Securities Act. The cash paid for shares of common stock issued under our dividend reinvestment plan during the quarter ended March 31, 2014 was approximately $571 thousand. Other than the shares issued under our dividend reinvestment plan during the quarter ended March 31, 2014, we did not sell any unregistered equity securities and we did not repurchase any of our equity securities.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 SEC:</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20" w:type="dxa"/>
            <w:vAlign w:val="bottom"/>
          </w:tcPr>
          <w:p>
            <w:pPr>
              <w:spacing w:after="0"/>
              <w:rPr>
                <w:sz w:val="18"/>
                <w:szCs w:val="18"/>
                <w:color w:val="auto"/>
              </w:rPr>
            </w:pPr>
          </w:p>
        </w:tc>
      </w:tr>
      <w:tr>
        <w:trPr>
          <w:trHeight w:val="241"/>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882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2"/>
        </w:trPr>
        <w:tc>
          <w:tcPr>
            <w:tcW w:w="20" w:type="dxa"/>
            <w:vAlign w:val="bottom"/>
          </w:tcPr>
          <w:p>
            <w:pPr>
              <w:spacing w:after="0"/>
              <w:rPr>
                <w:sz w:val="17"/>
                <w:szCs w:val="17"/>
                <w:color w:val="auto"/>
              </w:rPr>
            </w:pPr>
          </w:p>
        </w:tc>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8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Articles of Amendment and Restatement(1)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Certificate of Limited Partnership of CapitalSouth Partners Fund II Limited Partnership(2)</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Certificate of Limited Partnership of CapitalSouth Partners SBIC Fund III, L.P.(2)</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Bylaws(1)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2"/>
              </w:rPr>
              <w:t>Form of Amended and Restated Limited Partnership Agreement of CapitalSouth Partners Fund II Limited Partnership(4)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6"/>
              </w:rPr>
              <w:t>Form of Amended and Restated Agreement of Limited Partnership of CapitalSouth Partners SBIC Fund III, L.P.(4)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Common Stock Certificate(1)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Dividend Reinvestment Plan(1)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Investment Advisory Agreement by and between Registrant and Capitala Investment Advisors, LLC(1)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Custodian Agreement(1)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Administration Agreement by and between Registrant and Capitala Advisors Corp.(1)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Indemnification Agreement by and between Registrant and each of its directors(1)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Trademark License Agreement by and between Registrant and Capitala Investment Advisors, LLC(1)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5"/>
              </w:rPr>
              <w:t>Form of Purchase and Sale Agreement by and among Registrant, CapitalSouth Partners Fund III, L.P., CapitalSouth</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Partners SBIC Fund III, L.P. and CapitalSouth Partners SBIC F-III, LLC(4)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7"/>
              </w:rPr>
              <w:t>Form of Purchase and Sale Agreement by and among Registrant, Atlas Powers Investments, LLC, Markham Hunt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Broyhill and John F. McGlinn(4)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8"/>
              </w:rPr>
              <w:t>Form of Purchase and Sale Agreement by and among Registrant, CapitalSouth Partners F-II, LLC, Atlas Powers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3"/>
              </w:rPr>
              <w:t>Investments, LLC, Markham Hunt Broyhill, John F. McGlinn, Capitala Transaction Corp., Joseph B. Alala, III and Chris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Norton(4)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1"/>
              </w:rPr>
              <w:t>Form of Agreement and Plan of Merger by and between Registrant, CS F-II Acquisition Sub, LLC, CapitalSouth Partners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Fund II Limited Partnership and CapitalSouth Partners F-II, LLC(4)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1"/>
              </w:rPr>
              <w:t>Form of Purchase Agreement by and between Registrant, CapitalSouth Partners Fund III, L.P. and CapitalSouth Partners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F-III, LLC(4)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4"/>
              </w:rPr>
              <w:t>Form of Purchase and Sale Agreement by and among Registrant, CapitalSouth Partners Florida Sidecar Fund I, L.P.,</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Florida Growth Fund, LLC and CSP -Florida Mezzanine Fund I, LLC(4)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9"/>
              </w:rPr>
              <w:t>Form of Purchase Agreement by and among Registrant, CapitalSouth Partners Fund I, Limited Partnership and</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CapitalSouth Partners, LLC(4)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Form of Purchase and Sale Agreement by and between Registrant and CapitalSouth Corporation (4)</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0"/>
              </w:rPr>
              <w:t>Computation of Per Share Earnings (included in the notes to the consolidated financial statements contained in this report)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 to Rule 13a-14 of the Securities Exchange Act of 1934, as adopted</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6"/>
              </w:rPr>
              <w:t>Certification of Chief Financial Officer pursuant to Rule 13a-14 of the Securities Exchange Act of 1934, as adopted</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5"/>
              </w:rPr>
              <w:t>Certification of Chief Executive Officer 18 U.S.C. Section 1350, as adopted pursuant to section 906 of the Sarbanes-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1"/>
              </w:rPr>
              <w:t>Certification of Chief Financial Officer 18 U.S.C. Section 1350, as adopted pursuant to section 906 of the Sarbanes-Oxley</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Act of 2002 (filed herewith)</w:t>
            </w:r>
          </w:p>
        </w:tc>
      </w:tr>
    </w:tbl>
    <w:p>
      <w:pPr>
        <w:spacing w:after="0" w:line="242" w:lineRule="exact"/>
        <w:rPr>
          <w:sz w:val="20"/>
          <w:szCs w:val="20"/>
          <w:color w:val="auto"/>
        </w:rPr>
      </w:pPr>
    </w:p>
    <w:p>
      <w:pPr>
        <w:ind w:left="2100" w:right="20" w:hanging="1444"/>
        <w:spacing w:after="0" w:line="258"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 w:lineRule="exact"/>
        <w:rPr>
          <w:rFonts w:ascii="Arial" w:cs="Arial" w:eastAsia="Arial" w:hAnsi="Arial"/>
          <w:sz w:val="18"/>
          <w:szCs w:val="18"/>
          <w:color w:val="auto"/>
        </w:rPr>
      </w:pPr>
    </w:p>
    <w:p>
      <w:pPr>
        <w:ind w:left="2100" w:right="60" w:hanging="1444"/>
        <w:spacing w:after="0" w:line="250"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ind w:left="2100" w:right="60" w:hanging="1444"/>
        <w:spacing w:after="0" w:line="250"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4 to Capitala Finance Corp.’s registration statement on Form N-2 (File No. 333-188956) filed on September 20, 2013.</w:t>
      </w:r>
    </w:p>
    <w:p>
      <w:pPr>
        <w:ind w:left="2100" w:right="60" w:hanging="1444"/>
        <w:spacing w:after="0" w:line="261"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-1116965</wp:posOffset>
            </wp:positionV>
            <wp:extent cx="65176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8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878" w:right="7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12, 2014</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May 12, 2014</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440" w:hanging="432"/>
        <w:spacing w:after="0" w:line="34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right="480" w:hanging="432"/>
        <w:spacing w:after="0" w:line="308"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20" w:hanging="432"/>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420" w:right="120" w:hanging="42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20" w:right="260" w:hanging="42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right="260" w:hanging="42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2"/>
        <w:spacing w:after="0" w:line="308"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20" w:right="500" w:hanging="42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20" w:hanging="426"/>
        <w:spacing w:after="0" w:line="277"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440" w:hanging="432"/>
        <w:spacing w:after="0" w:line="342"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right="480" w:hanging="432"/>
        <w:spacing w:after="0" w:line="308"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20" w:hanging="432"/>
        <w:spacing w:after="0" w:line="27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420" w:right="120" w:hanging="42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20" w:right="260" w:hanging="42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right="260" w:hanging="42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2"/>
        <w:spacing w:after="0" w:line="308"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20" w:right="500" w:hanging="42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20" w:right="200" w:hanging="426"/>
        <w:spacing w:after="0" w:line="277"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2014,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420" w:right="60" w:hanging="426"/>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420" w:right="60" w:hanging="426"/>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2014,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420" w:right="60" w:hanging="426"/>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420" w:right="20" w:hanging="426"/>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2019-12-08T07:34:07Z</dcterms:created>
  <dcterms:modified xsi:type="dcterms:W3CDTF">2019-12-08T07:34:07Z</dcterms:modified>
</cp:coreProperties>
</file>