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0" w:hanging="330"/>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225" w:lineRule="exact"/>
        <w:rPr>
          <w:sz w:val="24"/>
          <w:szCs w:val="24"/>
          <w:color w:val="auto"/>
        </w:rPr>
      </w:pPr>
    </w:p>
    <w:p>
      <w:pPr>
        <w:ind w:left="460" w:hanging="33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Exact name of registrant as specified in its</w:t>
            </w:r>
          </w:p>
        </w:tc>
        <w:tc>
          <w:tcPr>
            <w:tcW w:w="2280" w:type="dxa"/>
            <w:vAlign w:val="bottom"/>
          </w:tcPr>
          <w:p>
            <w:pPr>
              <w:spacing w:after="0"/>
              <w:rPr>
                <w:sz w:val="18"/>
                <w:szCs w:val="18"/>
                <w:color w:val="auto"/>
              </w:rPr>
            </w:pP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Commission</w:t>
            </w: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charter, address of principal executive</w:t>
            </w: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 Number</w:t>
            </w: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office, telephone number and state of incorporation</w:t>
            </w: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Identification Number</w:t>
            </w:r>
          </w:p>
        </w:tc>
      </w:tr>
      <w:tr>
        <w:trPr>
          <w:trHeight w:val="191"/>
        </w:trPr>
        <w:tc>
          <w:tcPr>
            <w:tcW w:w="2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16"/>
                <w:szCs w:val="16"/>
                <w:color w:val="auto"/>
              </w:rPr>
            </w:pPr>
          </w:p>
        </w:tc>
        <w:tc>
          <w:tcPr>
            <w:tcW w:w="6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right"/>
              <w:ind w:right="610"/>
              <w:spacing w:after="0" w:line="191" w:lineRule="exact"/>
              <w:rPr>
                <w:sz w:val="20"/>
                <w:szCs w:val="20"/>
                <w:color w:val="auto"/>
              </w:rPr>
            </w:pPr>
            <w:r>
              <w:rPr>
                <w:rFonts w:ascii="Arial" w:cs="Arial" w:eastAsia="Arial" w:hAnsi="Arial"/>
                <w:sz w:val="18"/>
                <w:szCs w:val="18"/>
                <w:b w:val="1"/>
                <w:bCs w:val="1"/>
                <w:color w:val="auto"/>
              </w:rPr>
              <w:t>90-0945675</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4201 Congress St., Suite 360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Charlotte, North Carolina</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Telephone: (704) 376-5502</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State of Incorporation: Maryland</w:t>
            </w:r>
          </w:p>
        </w:tc>
        <w:tc>
          <w:tcPr>
            <w:tcW w:w="2280" w:type="dxa"/>
            <w:vAlign w:val="bottom"/>
          </w:tcPr>
          <w:p>
            <w:pPr>
              <w:spacing w:after="0"/>
              <w:rPr>
                <w:sz w:val="20"/>
                <w:szCs w:val="20"/>
                <w:color w:val="auto"/>
              </w:rPr>
            </w:pPr>
          </w:p>
        </w:tc>
      </w:tr>
    </w:tbl>
    <w:p>
      <w:pPr>
        <w:spacing w:after="0" w:line="202" w:lineRule="exact"/>
        <w:rPr>
          <w:sz w:val="24"/>
          <w:szCs w:val="24"/>
          <w:color w:val="auto"/>
        </w:rPr>
      </w:pPr>
    </w:p>
    <w:p>
      <w:pPr>
        <w:ind w:right="80"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300"/>
        <w:spacing w:after="0" w:line="207" w:lineRule="exact"/>
        <w:tabs>
          <w:tab w:leader="none" w:pos="6840" w:val="left"/>
          <w:tab w:leader="none" w:pos="7240" w:val="left"/>
          <w:tab w:leader="none" w:pos="7880" w:val="left"/>
          <w:tab w:leader="none" w:pos="82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300"/>
        <w:spacing w:after="0" w:line="207" w:lineRule="exact"/>
        <w:tabs>
          <w:tab w:leader="none" w:pos="6840" w:val="left"/>
          <w:tab w:leader="none" w:pos="7240" w:val="left"/>
          <w:tab w:leader="none" w:pos="7900" w:val="left"/>
          <w:tab w:leader="none" w:pos="826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0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11" w:lineRule="exact"/>
        <w:rPr>
          <w:sz w:val="24"/>
          <w:szCs w:val="24"/>
          <w:color w:val="auto"/>
        </w:rPr>
      </w:pPr>
    </w:p>
    <w:p>
      <w:pPr>
        <w:sectPr>
          <w:pgSz w:w="11900" w:h="16838" w:orient="portrait"/>
          <w:cols w:equalWidth="0" w:num="5">
            <w:col w:w="2380" w:space="720"/>
            <w:col w:w="2020" w:space="720"/>
            <w:col w:w="160" w:space="400"/>
            <w:col w:w="3740" w:space="720"/>
            <w:col w:w="560"/>
          </w:cols>
          <w:pgMar w:left="240" w:top="445" w:right="239" w:bottom="1440" w:gutter="0" w:footer="0" w:header="0"/>
          <w:type w:val="continuous"/>
        </w:sectPr>
      </w:pPr>
    </w:p>
    <w:p>
      <w:pPr>
        <w:spacing w:after="0" w:line="37"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5120" w:space="720"/>
            <w:col w:w="160" w:space="400"/>
            <w:col w:w="3740" w:space="720"/>
            <w:col w:w="560"/>
          </w:cols>
          <w:pgMar w:left="240" w:top="445" w:right="239" w:bottom="1440" w:gutter="0" w:footer="0" w:header="0"/>
          <w:type w:val="continuous"/>
        </w:sectPr>
      </w:pPr>
    </w:p>
    <w:p>
      <w:pPr>
        <w:spacing w:after="0" w:line="48" w:lineRule="exact"/>
        <w:rPr>
          <w:sz w:val="24"/>
          <w:szCs w:val="24"/>
          <w:color w:val="auto"/>
        </w:rPr>
      </w:pPr>
    </w:p>
    <w:p>
      <w:pPr>
        <w:ind w:left="8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1300"/>
        <w:spacing w:after="0" w:line="207" w:lineRule="exact"/>
        <w:tabs>
          <w:tab w:leader="none" w:pos="6840" w:val="left"/>
          <w:tab w:leader="none" w:pos="7720" w:val="left"/>
          <w:tab w:leader="none" w:pos="80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58"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The number of shares of Capitala Finance Corp.’s common stock, $0.01 par value, outstanding as of August 7, 2015 was 16,145,625.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for the six months ended June 30,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Consolidated Financial Statements as of June 30, 2015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CCEEFF"/>
              <w:bottom w:val="single" w:sz="8" w:color="auto"/>
            </w:tcBorders>
            <w:gridSpan w:val="12"/>
          </w:tcPr>
          <w:p>
            <w:pPr>
              <w:ind w:left="450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114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w w:val="88"/>
              </w:rPr>
              <w:t>December 31,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$325,856 and $219,163,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345,881</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 (amortized cost of $142,628 and $154,552,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Control investments (amortized cost of $78,150 and $67,440, respectively)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71,482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 at fair value (amortized cost of $546,634 and $441,155,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39,533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 of accumulated amortization of $4,231 and $3,288,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192,200</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Distribution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16,262,391 and 12,974,420 common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246,386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Accumulated undistributed net investment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undistributed net realized gain from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618,860</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549,866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60" w:type="dxa"/>
            <w:vAlign w:val="bottom"/>
            <w:tcBorders>
              <w:bottom w:val="single" w:sz="8" w:color="auto"/>
            </w:tcBorders>
          </w:tcPr>
          <w:p>
            <w:pPr>
              <w:jc w:val="center"/>
              <w:ind w:left="3130"/>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gridSpan w:val="4"/>
          </w:tcPr>
          <w:p>
            <w:pPr>
              <w:jc w:val="center"/>
              <w:ind w:left="4290"/>
              <w:spacing w:after="0"/>
              <w:rPr>
                <w:sz w:val="20"/>
                <w:szCs w:val="20"/>
                <w:color w:val="auto"/>
              </w:rPr>
            </w:pPr>
            <w:r>
              <w:rPr>
                <w:rFonts w:ascii="Arial" w:cs="Arial" w:eastAsia="Arial" w:hAnsi="Arial"/>
                <w:sz w:val="18"/>
                <w:szCs w:val="18"/>
                <w:b w:val="1"/>
                <w:bCs w:val="1"/>
                <w:color w:val="auto"/>
                <w:w w:val="92"/>
              </w:rPr>
              <w:t>Capitala Finance Corp.</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4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jc w:val="center"/>
              <w:ind w:left="37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gridSpan w:val="4"/>
          </w:tcPr>
          <w:p>
            <w:pPr>
              <w:jc w:val="center"/>
              <w:ind w:left="42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3"/>
              </w:rPr>
              <w:t>For the three months ended June 30</w:t>
            </w:r>
          </w:p>
        </w:tc>
        <w:tc>
          <w:tcPr>
            <w:tcW w:w="80" w:type="dxa"/>
            <w:vAlign w:val="bottom"/>
          </w:tcPr>
          <w:p>
            <w:pPr>
              <w:spacing w:after="0"/>
              <w:rPr>
                <w:sz w:val="24"/>
                <w:szCs w:val="24"/>
                <w:color w:val="auto"/>
              </w:rPr>
            </w:pPr>
          </w:p>
        </w:tc>
        <w:tc>
          <w:tcPr>
            <w:tcW w:w="280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89"/>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Base management fee</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management fee waiver</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Management fee waiver (See Note 5)</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management fee waiver</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realized gain from investments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gain (loss) on investments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NET INCREASE IN NET ASSETS RESULTING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4,942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6,212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14,809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NET INCREASE IN NET ASSETS PER SHARE RESULTING FROM</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OPERATIONS – BASIC AND 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 OUTSTANDING - BASIC</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15,957,926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12,974,420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14,474,446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12,974,420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DISTRIBUTIONS PAYABLE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Accumulated</w:t>
            </w: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rPr>
              <w:t>Undistributed Net</w:t>
            </w:r>
          </w:p>
        </w:tc>
        <w:tc>
          <w:tcPr>
            <w:tcW w:w="8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Appreciation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600" w:type="dxa"/>
            <w:vAlign w:val="bottom"/>
          </w:tcPr>
          <w:p>
            <w:pPr>
              <w:jc w:val="right"/>
              <w:ind w:right="18"/>
              <w:spacing w:after="0" w:line="133"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Paid in</w:t>
            </w:r>
          </w:p>
        </w:tc>
        <w:tc>
          <w:tcPr>
            <w:tcW w:w="13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Undistributed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Realized Gains</w:t>
            </w:r>
          </w:p>
        </w:tc>
        <w:tc>
          <w:tcPr>
            <w:tcW w:w="1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 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(Losses)</w:t>
            </w: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12,974,420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7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130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188,408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16,760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63,420</w:t>
            </w:r>
          </w:p>
        </w:tc>
        <w:tc>
          <w:tcPr>
            <w:tcW w:w="2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268,670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realized gain on portfolio investments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Arial" w:cs="Arial" w:eastAsia="Arial" w:hAnsi="Arial"/>
                <w:sz w:val="14"/>
                <w:szCs w:val="14"/>
                <w:color w:val="auto"/>
              </w:rPr>
              <w:t>appreciation/(depreciation) on portfolio</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(5,607)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(5,607)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declared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 June 30, 2014</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12,974,420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130</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188,408</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15,919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1,634</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57,813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263,904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BALANCE, December 31, 2014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12,974,420</w:t>
            </w:r>
          </w:p>
        </w:tc>
        <w:tc>
          <w:tcPr>
            <w:tcW w:w="140" w:type="dxa"/>
            <w:vAlign w:val="bottom"/>
          </w:tcPr>
          <w:p>
            <w:pPr>
              <w:spacing w:after="0"/>
              <w:rPr>
                <w:sz w:val="12"/>
                <w:szCs w:val="12"/>
                <w:color w:val="auto"/>
              </w:rPr>
            </w:pPr>
          </w:p>
        </w:tc>
        <w:tc>
          <w:tcPr>
            <w:tcW w:w="680" w:type="dxa"/>
            <w:vAlign w:val="bottom"/>
            <w:gridSpan w:val="2"/>
          </w:tcPr>
          <w:p>
            <w:pPr>
              <w:jc w:val="right"/>
              <w:ind w:right="478"/>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130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188,408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12,314</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39,182</w:t>
            </w:r>
          </w:p>
        </w:tc>
        <w:tc>
          <w:tcPr>
            <w:tcW w:w="2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Arial" w:cs="Arial" w:eastAsia="Arial" w:hAnsi="Arial"/>
                <w:sz w:val="14"/>
                <w:szCs w:val="14"/>
                <w:color w:val="auto"/>
              </w:rPr>
              <w:t>Net realized gain from investments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25,177</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appreciation/(depreciation) on portfolio</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tcPr>
          <w:p>
            <w:pPr>
              <w:ind w:left="160"/>
              <w:spacing w:after="0" w:line="130" w:lineRule="exact"/>
              <w:rPr>
                <w:sz w:val="20"/>
                <w:szCs w:val="20"/>
                <w:color w:val="auto"/>
              </w:rPr>
            </w:pPr>
            <w:r>
              <w:rPr>
                <w:rFonts w:ascii="Arial" w:cs="Arial" w:eastAsia="Arial" w:hAnsi="Arial"/>
                <w:sz w:val="14"/>
                <w:szCs w:val="14"/>
                <w:color w:val="auto"/>
              </w:rPr>
              <w:t>Issuance of common stock, net of offering and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Arial" w:cs="Arial" w:eastAsia="Arial" w:hAnsi="Arial"/>
                <w:sz w:val="14"/>
                <w:szCs w:val="14"/>
                <w:color w:val="auto"/>
              </w:rPr>
              <w:t>underwriting costs</w:t>
            </w:r>
          </w:p>
        </w:tc>
        <w:tc>
          <w:tcPr>
            <w:tcW w:w="880" w:type="dxa"/>
            <w:vAlign w:val="bottom"/>
          </w:tcPr>
          <w:p>
            <w:pPr>
              <w:jc w:val="right"/>
              <w:spacing w:after="0"/>
              <w:rPr>
                <w:sz w:val="20"/>
                <w:szCs w:val="20"/>
                <w:color w:val="auto"/>
              </w:rPr>
            </w:pPr>
            <w:r>
              <w:rPr>
                <w:rFonts w:ascii="Arial" w:cs="Arial" w:eastAsia="Arial" w:hAnsi="Arial"/>
                <w:sz w:val="14"/>
                <w:szCs w:val="14"/>
                <w:color w:val="auto"/>
              </w:rPr>
              <w:t>3,500,000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61,665</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61,700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Repurchase and retirement of common stock</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under stock repurchase program</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(224,602)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(3,888)</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7"/>
              </w:rPr>
              <w:t>Stock issued under dividend reinvestment plan</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12,573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(13,808)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(7,984)</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(21,792)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June 30, 2015</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16,262,391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163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246,386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8,640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17,996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18,680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291,865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91"/>
              </w:rPr>
              <w:t>(unaudited)</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0"/>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used in operating</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Purchase of portfolio investments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(170,008)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portfolio investments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realized gain on portfolio investments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(25,177)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depreciation on portfolio investments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Payment-in-kind interest and dividends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original issue discount on portfolio investments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Interest and dividend receivable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Due from related parties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Prepaid expenses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Trade settlement payable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Due to related parties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Management and incentive fee payable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payable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Paydowns on SBA-guaranteed debentures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credit facility</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Payments to credit facility</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Issuance of common stock, net of offering and underwriting costs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61,700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shareholders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Repurchases of common stock under stock repurchase program</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fees paid</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7,883</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Distributions declared and payable</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4,879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paid through DRIP share issuances</w:t>
            </w: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20" w:type="dxa"/>
            <w:vAlign w:val="bottom"/>
            <w:vMerge w:val="restart"/>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4"/>
                <w:szCs w:val="14"/>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vMerge w:val="restart"/>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Non-control/Non-affiliated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- 118.6%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Industrial Equipment Rental</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4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Cash, Due 3/31/18) </w:t>
            </w:r>
            <w:r>
              <w:rPr>
                <w:rFonts w:ascii="Arial" w:cs="Arial" w:eastAsia="Arial" w:hAnsi="Arial"/>
                <w:sz w:val="22"/>
                <w:szCs w:val="22"/>
                <w:color w:val="auto"/>
                <w:vertAlign w:val="superscript"/>
              </w:rPr>
              <w:t>(1)</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Industrial Equipment Rental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fully</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13,449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Healthcare</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(L+9.5%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6/11/20)</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Replacement Window</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(14%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Manufacturer</w:t>
            </w:r>
          </w:p>
        </w:tc>
        <w:tc>
          <w:tcPr>
            <w:tcW w:w="224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Due 1/15/16)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Replacement Window</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Jr. Convertible Note (10%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Manufacturer</w:t>
            </w:r>
          </w:p>
        </w:tc>
        <w:tc>
          <w:tcPr>
            <w:tcW w:w="224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Due 12/31/16)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Replacement Window</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Manufacturer</w:t>
            </w:r>
          </w:p>
        </w:tc>
        <w:tc>
          <w:tcPr>
            <w:tcW w:w="2240" w:type="dxa"/>
            <w:vAlign w:val="bottom"/>
            <w:shd w:val="clear" w:color="auto" w:fill="CCEEFF"/>
          </w:tcPr>
          <w:p>
            <w:pPr>
              <w:ind w:left="120"/>
              <w:spacing w:after="0" w:line="221" w:lineRule="exact"/>
              <w:rPr>
                <w:sz w:val="20"/>
                <w:szCs w:val="20"/>
                <w:color w:val="auto"/>
              </w:rPr>
            </w:pPr>
            <w:r>
              <w:rPr>
                <w:rFonts w:ascii="Arial" w:cs="Arial" w:eastAsia="Arial" w:hAnsi="Arial"/>
                <w:sz w:val="14"/>
                <w:szCs w:val="14"/>
                <w:color w:val="auto"/>
              </w:rPr>
              <w:t xml:space="preserve">fully diluted) </w:t>
            </w:r>
            <w:r>
              <w:rPr>
                <w:rFonts w:ascii="Arial" w:cs="Arial" w:eastAsia="Arial" w:hAnsi="Arial"/>
                <w:sz w:val="23"/>
                <w:szCs w:val="23"/>
                <w:color w:val="auto"/>
                <w:vertAlign w:val="superscript"/>
              </w:rPr>
              <w:t>(7)</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Farming</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Subordinated Debt (14%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7/23/20)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Farming</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Membership Unit Warrants (91,739</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Online Merchandise Retailer</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(L+7.5% Cash, 1% Floor,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11/7/20)</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4,487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4,487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Boot Barn Holdings, Inc</w:t>
            </w: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Western Wear Retail</w:t>
            </w:r>
          </w:p>
        </w:tc>
        <w:tc>
          <w:tcPr>
            <w:tcW w:w="2240" w:type="dxa"/>
            <w:vAlign w:val="bottom"/>
            <w:shd w:val="clear" w:color="auto" w:fill="CCEEFF"/>
          </w:tcPr>
          <w:p>
            <w:pPr>
              <w:ind w:left="120"/>
              <w:spacing w:after="0" w:line="202" w:lineRule="exact"/>
              <w:rPr>
                <w:sz w:val="20"/>
                <w:szCs w:val="20"/>
                <w:color w:val="auto"/>
              </w:rPr>
            </w:pPr>
            <w:r>
              <w:rPr>
                <w:rFonts w:ascii="Arial" w:cs="Arial" w:eastAsia="Arial" w:hAnsi="Arial"/>
                <w:sz w:val="14"/>
                <w:szCs w:val="14"/>
                <w:color w:val="auto"/>
                <w:w w:val="95"/>
              </w:rPr>
              <w:t xml:space="preserve">Common Stock (95,252 shares) </w:t>
            </w:r>
            <w:r>
              <w:rPr>
                <w:rFonts w:ascii="Arial" w:cs="Arial" w:eastAsia="Arial" w:hAnsi="Arial"/>
                <w:sz w:val="23"/>
                <w:szCs w:val="23"/>
                <w:color w:val="auto"/>
                <w:w w:val="95"/>
                <w:vertAlign w:val="superscript"/>
              </w:rPr>
              <w:t>(8)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3,048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3,048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Industrial Specialty Services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(L+8.25%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1.75% Floor, Due 3/16/18)</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Bowling Products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(L+6.0% Cash, 2% Floor,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5/22/20)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Bowling Products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(L+14.25%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2% Floor, Due 5/22/20)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Bowling Products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3"/>
              </w:rPr>
              <w:t>Preferred Shares (2,966 shares, 8%</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2,993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11,976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w w:val="99"/>
              </w:rPr>
              <w:t>Home Repair Parts Manufacturer</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(9.5%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4/30/20)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4,852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38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Home Repair Parts Manufacturer</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Warrants (14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4,857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Caregiver Services, Inc.</w:t>
            </w:r>
          </w:p>
        </w:tc>
        <w:tc>
          <w:tcPr>
            <w:tcW w:w="2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In-Home Healthcare Services</w:t>
            </w: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(293,186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2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Caregiver Services, Inc.</w:t>
            </w:r>
          </w:p>
        </w:tc>
        <w:tc>
          <w:tcPr>
            <w:tcW w:w="2380" w:type="dxa"/>
            <w:vAlign w:val="bottom"/>
            <w:shd w:val="clear" w:color="auto" w:fill="CCEEFF"/>
          </w:tcPr>
          <w:p>
            <w:pPr>
              <w:ind w:left="320"/>
              <w:spacing w:after="0" w:line="140" w:lineRule="exact"/>
              <w:rPr>
                <w:sz w:val="20"/>
                <w:szCs w:val="20"/>
                <w:color w:val="auto"/>
              </w:rPr>
            </w:pPr>
            <w:r>
              <w:rPr>
                <w:rFonts w:ascii="Arial" w:cs="Arial" w:eastAsia="Arial" w:hAnsi="Arial"/>
                <w:sz w:val="14"/>
                <w:szCs w:val="14"/>
                <w:color w:val="auto"/>
              </w:rPr>
              <w:t>In-Home Healthcare Services</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w w:val="97"/>
              </w:rPr>
              <w:t>Common Stock Warrants (655,908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Cedar Electronics Holding Corp.</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Consumer Electronics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(12%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Matures 12/26/20)</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Choice Financial, Inc.</w:t>
            </w:r>
          </w:p>
        </w:tc>
        <w:tc>
          <w:tcPr>
            <w:tcW w:w="23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Financial Services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Revolving Debt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22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(L+13.0% Cash, 1% Floor, Due</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3/27/17) </w:t>
            </w:r>
            <w:r>
              <w:rPr>
                <w:rFonts w:ascii="Arial" w:cs="Arial" w:eastAsia="Arial" w:hAnsi="Arial"/>
                <w:sz w:val="23"/>
                <w:szCs w:val="23"/>
                <w:color w:val="auto"/>
                <w:vertAlign w:val="superscript"/>
              </w:rPr>
              <w:t>(8)</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77" w:right="239" w:bottom="0" w:gutter="0" w:footer="0" w:header="0"/>
        </w:sectPr>
      </w:pPr>
    </w:p>
    <w:bookmarkStart w:id="7" w:name="page8"/>
    <w:bookmarkEnd w:id="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Construction Partners, Inc.</w:t>
            </w:r>
          </w:p>
        </w:tc>
        <w:tc>
          <w:tcPr>
            <w:tcW w:w="2160" w:type="dxa"/>
            <w:vAlign w:val="bottom"/>
          </w:tcPr>
          <w:p>
            <w:pPr>
              <w:ind w:left="100"/>
              <w:spacing w:after="0"/>
              <w:rPr>
                <w:sz w:val="20"/>
                <w:szCs w:val="20"/>
                <w:color w:val="auto"/>
              </w:rPr>
            </w:pPr>
            <w:r>
              <w:rPr>
                <w:rFonts w:ascii="Arial" w:cs="Arial" w:eastAsia="Arial" w:hAnsi="Arial"/>
                <w:sz w:val="14"/>
                <w:szCs w:val="14"/>
                <w:color w:val="auto"/>
              </w:rPr>
              <w:t>Construction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(11.5% Cash,</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Due 6/12/20)</w:t>
            </w:r>
          </w:p>
        </w:tc>
        <w:tc>
          <w:tcPr>
            <w:tcW w:w="70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16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(9% Cash, 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PIK, Due 11/29/21)</w:t>
            </w:r>
          </w:p>
        </w:tc>
        <w:tc>
          <w:tcPr>
            <w:tcW w:w="700" w:type="dxa"/>
            <w:vAlign w:val="bottom"/>
          </w:tcPr>
          <w:p>
            <w:pPr>
              <w:jc w:val="right"/>
              <w:spacing w:after="0"/>
              <w:rPr>
                <w:sz w:val="20"/>
                <w:szCs w:val="20"/>
                <w:color w:val="auto"/>
              </w:rPr>
            </w:pPr>
            <w:r>
              <w:rPr>
                <w:rFonts w:ascii="Arial" w:cs="Arial" w:eastAsia="Arial" w:hAnsi="Arial"/>
                <w:sz w:val="14"/>
                <w:szCs w:val="14"/>
                <w:color w:val="auto"/>
              </w:rPr>
              <w:t>15,779</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16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Common Stock (15,750 shares)</w:t>
            </w:r>
          </w:p>
        </w:tc>
        <w:tc>
          <w:tcPr>
            <w:tcW w:w="700" w:type="dxa"/>
            <w:vAlign w:val="bottom"/>
          </w:tcPr>
          <w:p>
            <w:pPr>
              <w:spacing w:after="0"/>
              <w:rPr>
                <w:sz w:val="24"/>
                <w:szCs w:val="24"/>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Crowley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Series A Income Preferred Shares</w:t>
            </w:r>
          </w:p>
        </w:tc>
        <w:tc>
          <w:tcPr>
            <w:tcW w:w="700" w:type="dxa"/>
            <w:vAlign w:val="bottom"/>
          </w:tcPr>
          <w:p>
            <w:pPr>
              <w:spacing w:after="0"/>
              <w:rPr>
                <w:sz w:val="24"/>
                <w:szCs w:val="24"/>
                <w:color w:val="auto"/>
              </w:rPr>
            </w:pPr>
          </w:p>
        </w:tc>
      </w:tr>
      <w:tr>
        <w:trPr>
          <w:trHeight w:val="158"/>
        </w:trPr>
        <w:tc>
          <w:tcPr>
            <w:tcW w:w="2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(6,000 shares, 10% Cash, 2% PIK</w:t>
            </w:r>
          </w:p>
        </w:tc>
        <w:tc>
          <w:tcPr>
            <w:tcW w:w="700" w:type="dxa"/>
            <w:vAlign w:val="bottom"/>
          </w:tcPr>
          <w:p>
            <w:pPr>
              <w:spacing w:after="0"/>
              <w:rPr>
                <w:sz w:val="13"/>
                <w:szCs w:val="13"/>
                <w:color w:val="auto"/>
              </w:rPr>
            </w:pPr>
          </w:p>
        </w:tc>
      </w:tr>
      <w:tr>
        <w:trPr>
          <w:trHeight w:val="313"/>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(L+7.75%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8/7/22)</w:t>
            </w:r>
          </w:p>
        </w:tc>
        <w:tc>
          <w:tcPr>
            <w:tcW w:w="700" w:type="dxa"/>
            <w:vAlign w:val="bottom"/>
          </w:tcPr>
          <w:p>
            <w:pPr>
              <w:jc w:val="right"/>
              <w:spacing w:after="0"/>
              <w:rPr>
                <w:sz w:val="20"/>
                <w:szCs w:val="20"/>
                <w:color w:val="auto"/>
              </w:rPr>
            </w:pPr>
            <w:r>
              <w:rPr>
                <w:rFonts w:ascii="Arial" w:cs="Arial" w:eastAsia="Arial" w:hAnsi="Arial"/>
                <w:sz w:val="14"/>
                <w:szCs w:val="14"/>
                <w:color w:val="auto"/>
              </w:rPr>
              <w:t>17,000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w w:val="98"/>
              </w:rPr>
              <w:t>Emerging Markets Communications,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Satellite Communications</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(L+9.625%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7/16/23)</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w:t>
            </w:r>
          </w:p>
        </w:tc>
        <w:tc>
          <w:tcPr>
            <w:tcW w:w="70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rPr>
              <w:t>(L+5.75% Cash, 1% Floor, Due</w:t>
            </w:r>
          </w:p>
        </w:tc>
        <w:tc>
          <w:tcPr>
            <w:tcW w:w="70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4/3/20)</w:t>
            </w:r>
          </w:p>
        </w:tc>
        <w:tc>
          <w:tcPr>
            <w:tcW w:w="700" w:type="dxa"/>
            <w:vAlign w:val="bottom"/>
          </w:tcPr>
          <w:p>
            <w:pPr>
              <w:jc w:val="right"/>
              <w:spacing w:after="0"/>
              <w:rPr>
                <w:sz w:val="20"/>
                <w:szCs w:val="20"/>
                <w:color w:val="auto"/>
              </w:rPr>
            </w:pPr>
            <w:r>
              <w:rPr>
                <w:rFonts w:ascii="Arial" w:cs="Arial" w:eastAsia="Arial" w:hAnsi="Arial"/>
                <w:sz w:val="14"/>
                <w:szCs w:val="14"/>
                <w:color w:val="auto"/>
              </w:rPr>
              <w:t>7,700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(L+10% Cash,</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1% Floor, Due 10/3/21)</w:t>
            </w:r>
          </w:p>
        </w:tc>
        <w:tc>
          <w:tcPr>
            <w:tcW w:w="70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Group Cirque du Soleil, Inc.</w:t>
            </w:r>
          </w:p>
        </w:tc>
        <w:tc>
          <w:tcPr>
            <w:tcW w:w="2160" w:type="dxa"/>
            <w:vAlign w:val="bottom"/>
          </w:tcPr>
          <w:p>
            <w:pPr>
              <w:ind w:left="100"/>
              <w:spacing w:after="0"/>
              <w:rPr>
                <w:sz w:val="20"/>
                <w:szCs w:val="20"/>
                <w:color w:val="auto"/>
              </w:rPr>
            </w:pPr>
            <w:r>
              <w:rPr>
                <w:rFonts w:ascii="Arial" w:cs="Arial" w:eastAsia="Arial" w:hAnsi="Arial"/>
                <w:sz w:val="14"/>
                <w:szCs w:val="14"/>
                <w:color w:val="auto"/>
              </w:rPr>
              <w:t>Entertainment</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(L+8.25%</w:t>
            </w:r>
          </w:p>
        </w:tc>
        <w:tc>
          <w:tcPr>
            <w:tcW w:w="70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Cash, 1% Floor, Due 7/8/23) </w:t>
            </w:r>
            <w:r>
              <w:rPr>
                <w:rFonts w:ascii="Arial" w:cs="Arial" w:eastAsia="Arial" w:hAnsi="Arial"/>
                <w:sz w:val="23"/>
                <w:szCs w:val="23"/>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(13%</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Due 10/6/16)</w:t>
            </w:r>
          </w:p>
        </w:tc>
        <w:tc>
          <w:tcPr>
            <w:tcW w:w="70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500" w:type="dxa"/>
            <w:vAlign w:val="bottom"/>
          </w:tcPr>
          <w:p>
            <w:pPr>
              <w:ind w:left="120"/>
              <w:spacing w:after="0"/>
              <w:rPr>
                <w:sz w:val="20"/>
                <w:szCs w:val="20"/>
                <w:color w:val="auto"/>
              </w:rPr>
            </w:pPr>
            <w:r>
              <w:rPr>
                <w:rFonts w:ascii="Arial" w:cs="Arial" w:eastAsia="Arial" w:hAnsi="Arial"/>
                <w:sz w:val="14"/>
                <w:szCs w:val="14"/>
                <w:color w:val="auto"/>
              </w:rPr>
              <w:t>Common Unit Warrants (12% fully</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Debt (14%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Due 3/31/19)</w:t>
            </w:r>
          </w:p>
        </w:tc>
        <w:tc>
          <w:tcPr>
            <w:tcW w:w="700" w:type="dxa"/>
            <w:vAlign w:val="bottom"/>
          </w:tcPr>
          <w:p>
            <w:pPr>
              <w:jc w:val="right"/>
              <w:spacing w:after="0"/>
              <w:rPr>
                <w:sz w:val="20"/>
                <w:szCs w:val="20"/>
                <w:color w:val="auto"/>
              </w:rPr>
            </w:pPr>
            <w:r>
              <w:rPr>
                <w:rFonts w:ascii="Arial" w:cs="Arial" w:eastAsia="Arial" w:hAnsi="Arial"/>
                <w:sz w:val="14"/>
                <w:szCs w:val="14"/>
                <w:color w:val="auto"/>
              </w:rPr>
              <w:t>14,984</w:t>
            </w:r>
          </w:p>
        </w:tc>
      </w:tr>
      <w:tr>
        <w:trPr>
          <w:trHeight w:val="27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Preferred Units (1,000 units, 10%</w:t>
            </w:r>
          </w:p>
        </w:tc>
        <w:tc>
          <w:tcPr>
            <w:tcW w:w="700" w:type="dxa"/>
            <w:vAlign w:val="bottom"/>
          </w:tcPr>
          <w:p>
            <w:pPr>
              <w:spacing w:after="0"/>
              <w:rPr>
                <w:sz w:val="23"/>
                <w:szCs w:val="23"/>
                <w:color w:val="auto"/>
              </w:rPr>
            </w:pPr>
          </w:p>
        </w:tc>
      </w:tr>
      <w:tr>
        <w:trPr>
          <w:trHeight w:val="313"/>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Common Stock Warrants (15%</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fully diluted)</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Maxim Crane Works, L.P</w:t>
            </w:r>
          </w:p>
        </w:tc>
        <w:tc>
          <w:tcPr>
            <w:tcW w:w="2160" w:type="dxa"/>
            <w:vAlign w:val="bottom"/>
          </w:tcPr>
          <w:p>
            <w:pPr>
              <w:ind w:left="100"/>
              <w:spacing w:after="0"/>
              <w:rPr>
                <w:sz w:val="20"/>
                <w:szCs w:val="20"/>
                <w:color w:val="auto"/>
              </w:rPr>
            </w:pPr>
            <w:r>
              <w:rPr>
                <w:rFonts w:ascii="Arial" w:cs="Arial" w:eastAsia="Arial" w:hAnsi="Arial"/>
                <w:sz w:val="14"/>
                <w:szCs w:val="14"/>
                <w:color w:val="auto"/>
              </w:rPr>
              <w:t>Crane Rental and Sales</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11/26/18)</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16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(14% Cash, Due</w:t>
            </w:r>
          </w:p>
        </w:tc>
        <w:tc>
          <w:tcPr>
            <w:tcW w:w="70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4,667</w:t>
            </w: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16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Series C Convertible Preferred</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Stock (740 shares)</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Merlin International, Inc.</w:t>
            </w:r>
          </w:p>
        </w:tc>
        <w:tc>
          <w:tcPr>
            <w:tcW w:w="2160" w:type="dxa"/>
            <w:vAlign w:val="bottom"/>
          </w:tcPr>
          <w:p>
            <w:pPr>
              <w:ind w:left="100"/>
              <w:spacing w:after="0"/>
              <w:rPr>
                <w:sz w:val="20"/>
                <w:szCs w:val="20"/>
                <w:color w:val="auto"/>
              </w:rPr>
            </w:pPr>
            <w:r>
              <w:rPr>
                <w:rFonts w:ascii="Arial" w:cs="Arial" w:eastAsia="Arial" w:hAnsi="Arial"/>
                <w:sz w:val="14"/>
                <w:szCs w:val="14"/>
                <w:color w:val="auto"/>
              </w:rPr>
              <w:t>IT Government Contracting</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(12.5%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Due 12/16/19)</w:t>
            </w: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160" w:type="dxa"/>
            <w:vAlign w:val="bottom"/>
          </w:tcPr>
          <w:p>
            <w:pPr>
              <w:ind w:left="100"/>
              <w:spacing w:after="0"/>
              <w:rPr>
                <w:sz w:val="20"/>
                <w:szCs w:val="20"/>
                <w:color w:val="auto"/>
              </w:rPr>
            </w:pPr>
            <w:r>
              <w:rPr>
                <w:rFonts w:ascii="Arial" w:cs="Arial" w:eastAsia="Arial" w:hAnsi="Arial"/>
                <w:sz w:val="14"/>
                <w:szCs w:val="14"/>
                <w:color w:val="auto"/>
              </w:rPr>
              <w:t>Home Décor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8/15/21)</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160" w:type="dxa"/>
            <w:vAlign w:val="bottom"/>
          </w:tcPr>
          <w:p>
            <w:pPr>
              <w:ind w:left="100"/>
              <w:spacing w:after="0"/>
              <w:rPr>
                <w:sz w:val="20"/>
                <w:szCs w:val="20"/>
                <w:color w:val="auto"/>
              </w:rPr>
            </w:pPr>
            <w:r>
              <w:rPr>
                <w:rFonts w:ascii="Arial" w:cs="Arial" w:eastAsia="Arial" w:hAnsi="Arial"/>
                <w:sz w:val="14"/>
                <w:szCs w:val="14"/>
                <w:color w:val="auto"/>
                <w:w w:val="98"/>
              </w:rPr>
              <w:t>Professional and Personal Digital</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Imaging</w:t>
            </w:r>
          </w:p>
        </w:tc>
        <w:tc>
          <w:tcPr>
            <w:tcW w:w="2500" w:type="dxa"/>
            <w:vAlign w:val="bottom"/>
          </w:tcPr>
          <w:p>
            <w:pPr>
              <w:ind w:left="120"/>
              <w:spacing w:after="0"/>
              <w:rPr>
                <w:sz w:val="20"/>
                <w:szCs w:val="20"/>
                <w:color w:val="auto"/>
              </w:rPr>
            </w:pPr>
            <w:r>
              <w:rPr>
                <w:rFonts w:ascii="Arial" w:cs="Arial" w:eastAsia="Arial" w:hAnsi="Arial"/>
                <w:sz w:val="14"/>
                <w:szCs w:val="14"/>
                <w:color w:val="auto"/>
              </w:rPr>
              <w:t>Cash, Due 2/26/20)</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160" w:type="dxa"/>
            <w:vAlign w:val="bottom"/>
          </w:tcPr>
          <w:p>
            <w:pPr>
              <w:ind w:left="100"/>
              <w:spacing w:after="0"/>
              <w:rPr>
                <w:sz w:val="20"/>
                <w:szCs w:val="20"/>
                <w:color w:val="auto"/>
              </w:rPr>
            </w:pPr>
            <w:r>
              <w:rPr>
                <w:rFonts w:ascii="Arial" w:cs="Arial" w:eastAsia="Arial" w:hAnsi="Arial"/>
                <w:sz w:val="14"/>
                <w:szCs w:val="14"/>
                <w:color w:val="auto"/>
              </w:rPr>
              <w:t>Healthcare Management</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4% PIK, due 7/17/19)</w:t>
            </w:r>
          </w:p>
        </w:tc>
        <w:tc>
          <w:tcPr>
            <w:tcW w:w="700" w:type="dxa"/>
            <w:vAlign w:val="bottom"/>
          </w:tcPr>
          <w:p>
            <w:pPr>
              <w:jc w:val="right"/>
              <w:spacing w:after="0"/>
              <w:rPr>
                <w:sz w:val="20"/>
                <w:szCs w:val="20"/>
                <w:color w:val="auto"/>
              </w:rPr>
            </w:pPr>
            <w:r>
              <w:rPr>
                <w:rFonts w:ascii="Arial" w:cs="Arial" w:eastAsia="Arial" w:hAnsi="Arial"/>
                <w:sz w:val="14"/>
                <w:szCs w:val="14"/>
                <w:color w:val="auto"/>
              </w:rPr>
              <w:t>12,357</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Sierra Hamilton, LLC</w:t>
            </w:r>
          </w:p>
        </w:tc>
        <w:tc>
          <w:tcPr>
            <w:tcW w:w="2160" w:type="dxa"/>
            <w:vAlign w:val="bottom"/>
          </w:tcPr>
          <w:p>
            <w:pPr>
              <w:ind w:left="100"/>
              <w:spacing w:after="0"/>
              <w:rPr>
                <w:sz w:val="20"/>
                <w:szCs w:val="20"/>
                <w:color w:val="auto"/>
              </w:rPr>
            </w:pPr>
            <w:r>
              <w:rPr>
                <w:rFonts w:ascii="Arial" w:cs="Arial" w:eastAsia="Arial" w:hAnsi="Arial"/>
                <w:sz w:val="14"/>
                <w:szCs w:val="14"/>
                <w:color w:val="auto"/>
              </w:rPr>
              <w:t>Oil &amp; Gas Engineering and</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Debt (12.25%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Consulting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Cash, Due 12/15/18)</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Southern Pump &amp; Tank Company, LLC</w:t>
            </w:r>
          </w:p>
        </w:tc>
        <w:tc>
          <w:tcPr>
            <w:tcW w:w="2160" w:type="dxa"/>
            <w:vAlign w:val="bottom"/>
          </w:tcPr>
          <w:p>
            <w:pPr>
              <w:ind w:left="100"/>
              <w:spacing w:after="0"/>
              <w:rPr>
                <w:sz w:val="20"/>
                <w:szCs w:val="20"/>
                <w:color w:val="auto"/>
              </w:rPr>
            </w:pPr>
            <w:r>
              <w:rPr>
                <w:rFonts w:ascii="Arial" w:cs="Arial" w:eastAsia="Arial" w:hAnsi="Arial"/>
                <w:sz w:val="14"/>
                <w:szCs w:val="14"/>
                <w:color w:val="auto"/>
              </w:rPr>
              <w:t>Petroleum Equipment Supplier</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(13%</w:t>
            </w:r>
          </w:p>
        </w:tc>
        <w:tc>
          <w:tcPr>
            <w:tcW w:w="70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Cash, 6% PIK, Due 7/15/15) </w:t>
            </w:r>
            <w:r>
              <w:rPr>
                <w:rFonts w:ascii="Arial" w:cs="Arial" w:eastAsia="Arial" w:hAnsi="Arial"/>
                <w:sz w:val="23"/>
                <w:szCs w:val="23"/>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4,442</w:t>
            </w:r>
          </w:p>
        </w:tc>
      </w:tr>
      <w:tr>
        <w:trPr>
          <w:trHeight w:val="197"/>
        </w:trPr>
        <w:tc>
          <w:tcPr>
            <w:tcW w:w="2540" w:type="dxa"/>
            <w:vAlign w:val="bottom"/>
          </w:tcPr>
          <w:p>
            <w:pPr>
              <w:spacing w:after="0"/>
              <w:rPr>
                <w:sz w:val="20"/>
                <w:szCs w:val="20"/>
                <w:color w:val="auto"/>
              </w:rPr>
            </w:pPr>
            <w:r>
              <w:rPr>
                <w:rFonts w:ascii="Arial" w:cs="Arial" w:eastAsia="Arial" w:hAnsi="Arial"/>
                <w:sz w:val="14"/>
                <w:szCs w:val="14"/>
                <w:color w:val="auto"/>
              </w:rPr>
              <w:t>Southern Pump &amp; Tank Company, LLC</w:t>
            </w:r>
          </w:p>
        </w:tc>
        <w:tc>
          <w:tcPr>
            <w:tcW w:w="2160" w:type="dxa"/>
            <w:vAlign w:val="bottom"/>
          </w:tcPr>
          <w:p>
            <w:pPr>
              <w:ind w:left="100"/>
              <w:spacing w:after="0"/>
              <w:rPr>
                <w:sz w:val="20"/>
                <w:szCs w:val="20"/>
                <w:color w:val="auto"/>
              </w:rPr>
            </w:pPr>
            <w:r>
              <w:rPr>
                <w:rFonts w:ascii="Arial" w:cs="Arial" w:eastAsia="Arial" w:hAnsi="Arial"/>
                <w:sz w:val="14"/>
                <w:szCs w:val="14"/>
                <w:color w:val="auto"/>
              </w:rPr>
              <w:t>Petroleum Equipment Supplier</w:t>
            </w:r>
          </w:p>
        </w:tc>
        <w:tc>
          <w:tcPr>
            <w:tcW w:w="2500" w:type="dxa"/>
            <w:vAlign w:val="bottom"/>
          </w:tcPr>
          <w:p>
            <w:pPr>
              <w:ind w:left="120"/>
              <w:spacing w:after="0"/>
              <w:rPr>
                <w:sz w:val="20"/>
                <w:szCs w:val="20"/>
                <w:color w:val="auto"/>
              </w:rPr>
            </w:pPr>
            <w:r>
              <w:rPr>
                <w:rFonts w:ascii="Arial" w:cs="Arial" w:eastAsia="Arial" w:hAnsi="Arial"/>
                <w:sz w:val="14"/>
                <w:szCs w:val="14"/>
                <w:color w:val="auto"/>
              </w:rPr>
              <w:t>Common Stock Warrants (10%</w:t>
            </w:r>
          </w:p>
        </w:tc>
        <w:tc>
          <w:tcPr>
            <w:tcW w:w="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-10402570</wp:posOffset>
            </wp:positionV>
            <wp:extent cx="724662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-10102850</wp:posOffset>
            </wp:positionV>
            <wp:extent cx="724662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-9897110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-9613900</wp:posOffset>
            </wp:positionV>
            <wp:extent cx="724662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-9408160</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-9202420</wp:posOffset>
            </wp:positionV>
            <wp:extent cx="724662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-8782050</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-8576310</wp:posOffset>
            </wp:positionV>
            <wp:extent cx="7246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-8275955</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-8070215</wp:posOffset>
            </wp:positionV>
            <wp:extent cx="72466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-7769860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-7564120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-7186930</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-6886575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-6680835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-6355080</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-6149340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-5866130</wp:posOffset>
            </wp:positionV>
            <wp:extent cx="72466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-5565775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-5360035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-5077460</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-4768215</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-4468495</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-4262755</wp:posOffset>
            </wp:positionV>
            <wp:extent cx="72466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-3962400</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-3756660</wp:posOffset>
            </wp:positionV>
            <wp:extent cx="72466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-3448050</wp:posOffset>
            </wp:positionV>
            <wp:extent cx="72466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-3147695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-2941955</wp:posOffset>
            </wp:positionV>
            <wp:extent cx="72466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-2641600</wp:posOffset>
            </wp:positionV>
            <wp:extent cx="72466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-2435860</wp:posOffset>
            </wp:positionV>
            <wp:extent cx="724662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-2135505</wp:posOffset>
            </wp:positionV>
            <wp:extent cx="72466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-1929765</wp:posOffset>
            </wp:positionV>
            <wp:extent cx="72466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-1629410</wp:posOffset>
            </wp:positionV>
            <wp:extent cx="72466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2466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-1123950</wp:posOffset>
            </wp:positionV>
            <wp:extent cx="72466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-918210</wp:posOffset>
            </wp:positionV>
            <wp:extent cx="72466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21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15,779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15,779</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5.4%</w:t>
            </w:r>
          </w:p>
        </w:tc>
      </w:tr>
      <w:tr>
        <w:trPr>
          <w:trHeight w:val="29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1,575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17,354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17,354</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6,207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6,207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6,207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6,207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16,663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16,244</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16,663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16,244</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4,925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4,925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4,925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4,925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7,430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7,430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2.5%</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11,567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11,567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18,997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18,997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985</w:t>
            </w: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985</w:t>
            </w: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1,577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0.5%</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1,577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14,971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14,984</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5.2%</w:t>
            </w:r>
          </w:p>
        </w:tc>
      </w:tr>
      <w:tr>
        <w:trPr>
          <w:trHeight w:val="4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2,947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2,947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1.0%</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4,337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17,940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22,268</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7.7%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5,038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5,038</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5,038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5,038</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4,667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4,667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1.6%</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1,333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7,820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12,487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14,801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14,535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14,801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14,535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12,162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12,357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12,162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12,357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14,196</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14,196</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3,614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4,442</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1.5%</w:t>
            </w:r>
          </w:p>
        </w:tc>
      </w:tr>
      <w:tr>
        <w:trPr>
          <w:trHeight w:val="297"/>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0.0%</w:t>
            </w:r>
          </w:p>
        </w:tc>
      </w:tr>
    </w:tbl>
    <w:p>
      <w:pPr>
        <w:sectPr>
          <w:pgSz w:w="11900" w:h="16872" w:orient="portrait"/>
          <w:cols w:equalWidth="0" w:num="2">
            <w:col w:w="7900" w:space="220"/>
            <w:col w:w="3280"/>
          </w:cols>
          <w:pgMar w:left="240" w:top="257" w:right="259" w:bottom="0" w:gutter="0" w:footer="0" w:header="0"/>
        </w:sectPr>
      </w:pPr>
    </w:p>
    <w:bookmarkStart w:id="8" w:name="page9"/>
    <w:bookmarkEnd w:id="8"/>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fully diluted)</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4,442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Stoddard Hill Media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IT Hosting Services</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Class D Preferred Units </w:t>
            </w:r>
            <w:r>
              <w:rPr>
                <w:rFonts w:ascii="Arial" w:cs="Arial" w:eastAsia="Arial" w:hAnsi="Arial"/>
                <w:sz w:val="23"/>
                <w:szCs w:val="23"/>
                <w:color w:val="auto"/>
                <w:vertAlign w:val="superscript"/>
              </w:rPr>
              <w:t>(12)</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Household Product Manufacturer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C Preferred Stock (379</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Tenere, Inc.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Manufacturing</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Term Debt (11%</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Cash, 2% PIK, Due 12/15/17) </w:t>
            </w:r>
            <w:r>
              <w:rPr>
                <w:rFonts w:ascii="Arial" w:cs="Arial" w:eastAsia="Arial" w:hAnsi="Arial"/>
                <w:sz w:val="23"/>
                <w:szCs w:val="23"/>
                <w:color w:val="auto"/>
                <w:vertAlign w:val="superscript"/>
              </w:rPr>
              <w:t>(9)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3,546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3,546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LBM Holdings,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Building Products</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7"/>
              </w:rPr>
              <w:t>Senior Secured Debt (L+7% Cash,</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 Floor, Due 5/2/20)</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4,875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4,875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Oil &amp; Gas Services</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Debt (L+11.5%</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w w:val="97"/>
              </w:rPr>
              <w:t xml:space="preserve">Cash, 0.5% floor, Due 5/2/19) </w:t>
            </w:r>
            <w:r>
              <w:rPr>
                <w:rFonts w:ascii="Arial" w:cs="Arial" w:eastAsia="Arial" w:hAnsi="Arial"/>
                <w:sz w:val="23"/>
                <w:szCs w:val="23"/>
                <w:color w:val="auto"/>
                <w:w w:val="97"/>
                <w:vertAlign w:val="superscript"/>
              </w:rPr>
              <w:t>(10)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8,671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8,671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Velum Global Credit Management, LLC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Financial Services</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Debt (15% Cash,</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Due 12/31/15) </w:t>
            </w:r>
            <w:r>
              <w:rPr>
                <w:rFonts w:ascii="Arial" w:cs="Arial" w:eastAsia="Arial" w:hAnsi="Arial"/>
                <w:sz w:val="23"/>
                <w:szCs w:val="23"/>
                <w:color w:val="auto"/>
                <w:vertAlign w:val="superscript"/>
              </w:rPr>
              <w:t>(8)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(3.84%</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ownership)</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Preferred Stock Warrants (3.84%</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ownership)</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2,197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24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325,856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345,881</w:t>
            </w:r>
          </w:p>
        </w:tc>
        <w:tc>
          <w:tcPr>
            <w:tcW w:w="106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118.6</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- 50.7%</w:t>
            </w: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Subordinated Debt (14%</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8/9/2019)</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Junior Subordinated Debt (12%</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8/9/2019)</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Common Stock (1,253,198 shares)</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15,934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Subordinated Debt (13% Cash, Due</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9/28/16)</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Membership Units (9%</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(6)</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 Warrants</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(14.15% fully diluted)</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7,839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17,339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&amp; Marketing Services</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23"/>
                <w:szCs w:val="23"/>
                <w:color w:val="auto"/>
                <w:vertAlign w:val="superscript"/>
              </w:rPr>
              <w:t>(12)</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Advertising &amp; Marketing Services</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9"/>
              </w:rPr>
              <w:t>Series A-1 Preferred Stock (1,998</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2,659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Advertising &amp; Marketing Services</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B-1 Common Stock</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(200,000 shares)</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3,820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Subordinated Debt (13% Cash, Due</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7/16/18)</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5,158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(4,506</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5,158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QSR Franchisor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Common Stock (1,500,000 shares)</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Specialty Clothing</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 Preferred Units</w:t>
            </w: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(2,000,000 units)</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6,250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6,250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Debt (12% Cash,</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Due 1/31/17)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7"/>
              </w:rPr>
              <w:t>Subordinated Debt (6% Cash, Due</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ectPr>
          <w:pgSz w:w="11900" w:h="16884" w:orient="portrait"/>
          <w:cols w:equalWidth="0" w:num="1">
            <w:col w:w="11420"/>
          </w:cols>
          <w:pgMar w:left="240" w:top="140"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Medical Device Distributor</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Preferred Units (1,000 units, 6%</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6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Medical Device Distributor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 (45</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4,519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8"/>
              </w:rPr>
              <w:t>Retail Display &amp; Security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11/1/18)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8"/>
              </w:rPr>
              <w:t>Retail Display &amp; Security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(2,000,000</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5,095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13,095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Source Capital ABUTEC, LLC</w:t>
            </w:r>
          </w:p>
        </w:tc>
        <w:tc>
          <w:tcPr>
            <w:tcW w:w="22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6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Cash, 3% PIK, Due 12/28/17) </w:t>
            </w:r>
            <w:r>
              <w:rPr>
                <w:rFonts w:ascii="Arial" w:cs="Arial" w:eastAsia="Arial" w:hAnsi="Arial"/>
                <w:sz w:val="22"/>
                <w:szCs w:val="22"/>
                <w:color w:val="auto"/>
                <w:vertAlign w:val="superscript"/>
              </w:rPr>
              <w:t>(13)</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5,404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5,404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4,689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(10.8% fully diluted)</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4,689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2/17/17)</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(6.65%</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(11.3%</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3,834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Personal Product Manufacturer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(7%</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6/12/17)</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5,470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Source Capital SSCR, LLC</w:t>
            </w:r>
          </w:p>
        </w:tc>
        <w:tc>
          <w:tcPr>
            <w:tcW w:w="22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Personal Product Manufacturer</w:t>
            </w: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Subordinated Debt (7% Cash, Due</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6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9/15/17)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17,875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17,875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10,530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Personal Product Manufacturer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(15.8% ownership)</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Personal Product Manufacturer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 (0.31%</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25,513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Scrap Metal Recycler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9/2/16)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 Recycling, LLC</w:t>
            </w: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Scrap Metal Recycler</w:t>
            </w:r>
          </w:p>
        </w:tc>
        <w:tc>
          <w:tcPr>
            <w:tcW w:w="2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Membership Units (68,656 units)</w:t>
            </w:r>
          </w:p>
        </w:tc>
        <w:tc>
          <w:tcPr>
            <w:tcW w:w="9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1,590</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Scrap Metal Recycler</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 (1%</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6,590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2% PIK, Due 3/21/16)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5,085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5,085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5,085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Subordinated Debt (9% Cash, 5%</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6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Due 3/21/16) </w:t>
            </w:r>
            <w:r>
              <w:rPr>
                <w:rFonts w:ascii="Arial" w:cs="Arial" w:eastAsia="Arial" w:hAnsi="Arial"/>
                <w:sz w:val="22"/>
                <w:szCs w:val="22"/>
                <w:color w:val="auto"/>
                <w:vertAlign w:val="superscript"/>
              </w:rPr>
              <w:t>(3)</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8,066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5,740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 Preferred Stock (5,703</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(3,491</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14,324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10,825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(12.5% Cash,</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spacing w:after="0"/>
              <w:rPr>
                <w:sz w:val="18"/>
                <w:szCs w:val="18"/>
                <w:color w:val="auto"/>
              </w:rPr>
            </w:pPr>
          </w:p>
        </w:tc>
        <w:tc>
          <w:tcPr>
            <w:tcW w:w="246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Due 7/31/18)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(1,200,000 shares)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(1,154,254 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7,843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8,221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2/1/19)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12,397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12,397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11,914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2/1/19)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9,879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9,879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9,494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Common Stock (3,600</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25,876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22,129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(15%</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11/26/16)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Bridge Note (0%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Tier 2 Note (0%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Subordinated Note (0%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ectPr>
          <w:pgSz w:w="11900" w:h="16900" w:orient="portrait"/>
          <w:cols w:equalWidth="0" w:num="1">
            <w:col w:w="11420"/>
          </w:cols>
          <w:pgMar w:left="240" w:top="267" w:right="2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Cash, Due 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Tier 3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Jr. Subordinated Note (0%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Due 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Tier 4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(255,102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Series A-3 Preferred Stock (88,194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Series A-5 Preferred Stock (20,530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8,036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1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142,628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147,951</w:t>
            </w:r>
          </w:p>
        </w:tc>
        <w:tc>
          <w:tcPr>
            <w:tcW w:w="10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50.7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- 24.4%</w:t>
            </w:r>
          </w:p>
        </w:tc>
        <w:tc>
          <w:tcPr>
            <w:tcW w:w="2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Supply Retail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4% PIK, Due 5/24/18)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10,802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10,802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1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Common Stock (1,125,000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2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Supply Retail</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Common Stock Warrants (570,000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11,669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Capitala Senior Liquid Loan Fund I, LLC</w:t>
            </w:r>
          </w:p>
        </w:tc>
        <w:tc>
          <w:tcPr>
            <w:tcW w:w="21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Investment Fund</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Common Stock (80% ownership)</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(8) (11)</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CION/Capitala Senior Liquid Loan Fund I,</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Investment Fund</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(20% ownership)</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40" w:type="dxa"/>
            <w:vAlign w:val="bottom"/>
            <w:shd w:val="clear" w:color="auto" w:fill="CCEEFF"/>
          </w:tcPr>
          <w:p>
            <w:pPr>
              <w:spacing w:after="0"/>
              <w:rPr>
                <w:sz w:val="16"/>
                <w:szCs w:val="16"/>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(8) (15)</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Market E's, LLC</w:t>
            </w:r>
          </w:p>
        </w:tc>
        <w:tc>
          <w:tcPr>
            <w:tcW w:w="21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Online Travel Sales &amp; Marketing</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(0%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12/31/16)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Market E's, LLC</w:t>
            </w:r>
          </w:p>
        </w:tc>
        <w:tc>
          <w:tcPr>
            <w:tcW w:w="21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Online Travel Sales &amp; Marketing</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w w:val="97"/>
              </w:rPr>
              <w:t>Subordinated Debt (0%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12/31/16)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Travel Sales &amp; Marketing</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 (600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Travel Sales &amp; Marketing</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Preferred Stock (2,411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Travel Sales &amp; Marketing</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Conglomerate</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Subordinated Debt (10%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9/16/16)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Conglomerate</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Subordinated Debt (14% Cash, 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9/16/16)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3,753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Series A Preferred Units (47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7,244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Textile Equipment Manufacturer</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3% PIK at Company's option,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1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Textile Equipment Manufacturer</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Preferred Stock (1,000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Textile Equipment Manufacturer</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3,966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11,466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21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Fuel Transportation Services</w:t>
            </w:r>
          </w:p>
        </w:tc>
        <w:tc>
          <w:tcPr>
            <w:tcW w:w="224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w w:val="96"/>
              </w:rPr>
              <w:t>Subordinated Debt (14% Cash, 4%</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Due 12/19/16) </w:t>
            </w:r>
            <w:r>
              <w:rPr>
                <w:rFonts w:ascii="Arial" w:cs="Arial" w:eastAsia="Arial" w:hAnsi="Arial"/>
                <w:sz w:val="22"/>
                <w:szCs w:val="22"/>
                <w:color w:val="auto"/>
                <w:vertAlign w:val="superscript"/>
              </w:rPr>
              <w:t>(14)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6,629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Fuel Transportation Services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Stock (32,782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Fuel Transportation Services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 Preferred Stock (23,648</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Fuel Transportation Services</w:t>
            </w: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(33,107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6,629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1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Printing Services</w:t>
            </w:r>
          </w:p>
        </w:tc>
        <w:tc>
          <w:tcPr>
            <w:tcW w:w="2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2% PIK, Due 2/24/19)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15,074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1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(19,363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2,294</w:t>
            </w: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4"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1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Printing Services</w:t>
            </w:r>
          </w:p>
        </w:tc>
        <w:tc>
          <w:tcPr>
            <w:tcW w:w="32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Common Stock Warrants (3% fully</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2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diluted)</w:t>
            </w:r>
          </w:p>
        </w:tc>
        <w:tc>
          <w:tcPr>
            <w:tcW w:w="6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1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78,150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71,482</w:t>
            </w:r>
          </w:p>
        </w:tc>
        <w:tc>
          <w:tcPr>
            <w:tcW w:w="10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24.4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-193.7%</w:t>
            </w:r>
          </w:p>
        </w:tc>
        <w:tc>
          <w:tcPr>
            <w:tcW w:w="1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546,634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565,314</w:t>
            </w:r>
          </w:p>
        </w:tc>
        <w:tc>
          <w:tcPr>
            <w:tcW w:w="10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193.7</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$291,865 as of June 30,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June 30, 2015, 7.7% of the Company's total assets were non-qualifying assets.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$6.0 million unfunded commitment.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$4.8 million unfunded commitment.</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has been exited. The remaining fair value represents post transaction true-up that will result in additional cash payments made to the Company.</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6% cash and 6% PIK through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8% cash through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20" w:type="dxa"/>
            <w:vAlign w:val="bottom"/>
            <w:vMerge w:val="restart"/>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4"/>
                <w:szCs w:val="14"/>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vMerge w:val="restart"/>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Non-control/Non-affiliated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- 98.3%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Industrial Equipment Rental</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Term Debt (12%</w:t>
            </w:r>
          </w:p>
        </w:tc>
        <w:tc>
          <w:tcPr>
            <w:tcW w:w="3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Cash, Due 3/31/18) </w:t>
            </w:r>
            <w:r>
              <w:rPr>
                <w:rFonts w:ascii="Arial" w:cs="Arial" w:eastAsia="Arial" w:hAnsi="Arial"/>
                <w:sz w:val="22"/>
                <w:szCs w:val="22"/>
                <w:color w:val="auto"/>
                <w:vertAlign w:val="superscript"/>
              </w:rPr>
              <w:t>(1)</w:t>
            </w:r>
          </w:p>
        </w:tc>
        <w:tc>
          <w:tcPr>
            <w:tcW w:w="36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10,998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Industrial Equipment Rental</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(14% fully</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Wireless Holding Company</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Wireless Communication Retailer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Subordinated Debt (12%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9/09/19)</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Window</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Debt (14%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Manufacturer</w:t>
            </w:r>
          </w:p>
        </w:tc>
        <w:tc>
          <w:tcPr>
            <w:tcW w:w="2220" w:type="dxa"/>
            <w:vAlign w:val="bottom"/>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Due 6/30/15) </w:t>
            </w:r>
            <w:r>
              <w:rPr>
                <w:rFonts w:ascii="Arial" w:cs="Arial" w:eastAsia="Arial" w:hAnsi="Arial"/>
                <w:sz w:val="23"/>
                <w:szCs w:val="23"/>
                <w:color w:val="auto"/>
                <w:vertAlign w:val="superscript"/>
              </w:rPr>
              <w:t>(1) (11)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Window</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Jr. Convertible Note (10%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Manufacturer</w:t>
            </w:r>
          </w:p>
        </w:tc>
        <w:tc>
          <w:tcPr>
            <w:tcW w:w="2220" w:type="dxa"/>
            <w:vAlign w:val="bottom"/>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Due 6/30/16)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Window</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Manufacturer</w:t>
            </w:r>
          </w:p>
        </w:tc>
        <w:tc>
          <w:tcPr>
            <w:tcW w:w="2220" w:type="dxa"/>
            <w:vAlign w:val="bottom"/>
            <w:shd w:val="clear" w:color="auto" w:fill="CCEEFF"/>
          </w:tcPr>
          <w:p>
            <w:pPr>
              <w:ind w:left="100"/>
              <w:spacing w:after="0" w:line="221" w:lineRule="exact"/>
              <w:rPr>
                <w:sz w:val="20"/>
                <w:szCs w:val="20"/>
                <w:color w:val="auto"/>
              </w:rPr>
            </w:pPr>
            <w:r>
              <w:rPr>
                <w:rFonts w:ascii="Arial" w:cs="Arial" w:eastAsia="Arial" w:hAnsi="Arial"/>
                <w:sz w:val="14"/>
                <w:szCs w:val="14"/>
                <w:color w:val="auto"/>
              </w:rPr>
              <w:t xml:space="preserve">fully diluted) </w:t>
            </w:r>
            <w:r>
              <w:rPr>
                <w:rFonts w:ascii="Arial" w:cs="Arial" w:eastAsia="Arial" w:hAnsi="Arial"/>
                <w:sz w:val="23"/>
                <w:szCs w:val="23"/>
                <w:color w:val="auto"/>
                <w:vertAlign w:val="superscript"/>
              </w:rPr>
              <w:t>(7)</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Online Merchandise Retailer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(L+7.5% Cash, 1% Floor,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11/7/2020)</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4,804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4,804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Boot Barn Holdings, Inc</w:t>
            </w:r>
          </w:p>
        </w:tc>
        <w:tc>
          <w:tcPr>
            <w:tcW w:w="21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Western Wear Retail</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Common Stock (600,000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(8)</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Caregiver Services, Inc.</w:t>
            </w:r>
          </w:p>
        </w:tc>
        <w:tc>
          <w:tcPr>
            <w:tcW w:w="2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In-Home Healthcare Services</w:t>
            </w: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(293,186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Caregiver Services, Inc.</w:t>
            </w:r>
          </w:p>
        </w:tc>
        <w:tc>
          <w:tcPr>
            <w:tcW w:w="21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In-Home Healthcare Services</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7"/>
              </w:rPr>
              <w:t>Common Stock Warrants (655,908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Construction Partners, Inc.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Construction Services</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(11.5%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6/12/2020)</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Crowley Holdings, Inc.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Transportation</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8"/>
              </w:rPr>
              <w:t>Series A Income Preferred Shares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22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(6,000 shares, 10% Cash, 2% PIK</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CSM Bakery Solutions,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Bakery Supplies Distributor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(L+7.75%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1% Floor, Due 8/7/22)</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Food Product Manufacturer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(L+5.75% Cash, 1% Floor,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4/3/2020)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Food Product Manufacturer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(L+10%, 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Due 10/3/2021)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19,126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Immersive Media Tactical Solutions,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Specialty Defense Contractor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Term Debt (13%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10/6/16)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Immersive Media Tactical Solutions,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Specialty Defense Contractor</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Common Unit Warrants (12% fully</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Transportation</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Debt (14%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3/31/19)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15,351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15,366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21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Transportation</w:t>
            </w: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Units (1,000 units, 10%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Transportation</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7"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20,949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Depot, Inc.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9/27/20)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4,667</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Depot,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Medical Device Distributor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C Convertible Preferred</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(740 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Meritas Schools Holdings,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Education Services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(L+9% Cash,</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 Floor, Due 1/23/2021)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Merlin International,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IT Government Contracting</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(12.5% Cash,</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12/16/2019)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Nielsen &amp; Bainbridge,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Home Décor Manufacturer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(L+9.25%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8/15/21)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2/13/15)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2/28/15)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2/10/17)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2,850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(6.65%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Healthcare Management</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4% PIK, due 7/17/2019)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12,420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Oil &amp; Gas Engineering and</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(12.25%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Consulting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12/15/18)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Southern Pump &amp; Tank Company,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Petroleum Equipment Supplier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(13%</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Cash, 6% PIK, Due 1/15/15)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4,316</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Southern Pump &amp; Tank Company,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Petroleum Equipment Supplier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Stoddard Hill Media Holdings,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IT Hosting Services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D Preferred Units (132,159</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9"/>
              </w:rPr>
              <w:t>Household Product Manufacturer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C Preferred Stock (379</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Tenere, Inc.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Manufacturing</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(11%</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Cash, 2% PIK, Due 12/15/17) </w:t>
            </w:r>
            <w:r>
              <w:rPr>
                <w:rFonts w:ascii="Arial" w:cs="Arial" w:eastAsia="Arial" w:hAnsi="Arial"/>
                <w:sz w:val="23"/>
                <w:szCs w:val="23"/>
                <w:color w:val="auto"/>
                <w:vertAlign w:val="superscript"/>
              </w:rPr>
              <w:t>(9)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TGI Friday's,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Restaurant Chain</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(L+8.25%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7/15/21)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LBM Holdings, LLC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Building Products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(L+7.0%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5/2/2020)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4,992</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Oil &amp; Gas Services</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(L+11.5%</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Cash, 0.5% floor, Due 5/2/19) </w:t>
            </w:r>
            <w:r>
              <w:rPr>
                <w:rFonts w:ascii="Arial" w:cs="Arial" w:eastAsia="Arial" w:hAnsi="Arial"/>
                <w:sz w:val="23"/>
                <w:szCs w:val="23"/>
                <w:color w:val="auto"/>
                <w:vertAlign w:val="superscript"/>
              </w:rPr>
              <w:t>(10)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4,822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Velum Global Credit Management, LLC</w:t>
            </w:r>
          </w:p>
        </w:tc>
        <w:tc>
          <w:tcPr>
            <w:tcW w:w="22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Financial Services</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(15% Cash,</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Due 12/31/15) </w:t>
            </w:r>
            <w:r>
              <w:rPr>
                <w:rFonts w:ascii="Arial" w:cs="Arial" w:eastAsia="Arial" w:hAnsi="Arial"/>
                <w:sz w:val="23"/>
                <w:szCs w:val="23"/>
                <w:color w:val="auto"/>
                <w:vertAlign w:val="superscript"/>
              </w:rPr>
              <w:t>(8)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(3.84%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Stock Warrants (3.84%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22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219,163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236,804</w:t>
            </w:r>
          </w:p>
        </w:tc>
        <w:tc>
          <w:tcPr>
            <w:tcW w:w="106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98.3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Affiliate investments - 71.1%</w:t>
            </w: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Subordinated Debt (14%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8/19/2019)</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Junior Subordinated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8/19/2019)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Common Stock (1,253,198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9/28/16)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Preferred Membership Units (9%</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(14.15% 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6,205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(14%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3/22/18)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Common Stock (2,216,463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10,348</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 (403,257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52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Advertising &amp; Marketing Services</w:t>
            </w: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9"/>
              </w:rPr>
              <w:t>Series A-1 Preferred Stock (1,998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2,559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Advertising &amp; Marketing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7/16/18)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(4,506</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QSR Franchisor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Common Stock (1,500,000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Specialty Clothing</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Senior Secured Debt (12%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Due 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7"/>
              </w:rPr>
              <w:t>Subordinated Debt (6%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Preferred Units (1,000 units, 6%</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 (45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4,399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8"/>
              </w:rPr>
              <w:t>Retail Display &amp; Security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(12%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11/1/18)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8"/>
              </w:rPr>
              <w:t>Retail Display &amp; Security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(2,000,000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12,958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Oil &amp; Gas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3% PIK, Due 12/28/17)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Oil &amp; Gas Services</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(10.8% 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2/17/17)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(6.65%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(11.3%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Personal Product Manufacturer</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6/12/17)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4,751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Personal Product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7"/>
              </w:rPr>
              <w:t>Subordinated Debt (7% Cash, Due</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ectPr>
          <w:pgSz w:w="11900" w:h="16900" w:orient="portrait"/>
          <w:cols w:equalWidth="0" w:num="1">
            <w:col w:w="11420"/>
          </w:cols>
          <w:pgMar w:left="240" w:top="276" w:right="2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9/15/17)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Personal Product Manufacturer</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Preferred Membership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(15.8% ownership)</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Personal Product Manufacturer</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 (0.31%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9/2/16)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Membership Units (68,656 units)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Warrants (1%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30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Cash, 2% PIK, Due 3/21/16)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w w:val="99"/>
              </w:rPr>
              <w:t>Subordinated Debt (9% Cash, 5%</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30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PIK, Due 3/21/16)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Series B Preferred Stock (5,703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 (3,491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Subordinated Debt (12.5%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spacing w:after="0"/>
              <w:rPr>
                <w:sz w:val="18"/>
                <w:szCs w:val="18"/>
                <w:color w:val="auto"/>
              </w:rPr>
            </w:pP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Due 7/31/18)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Common Stock (1,200,000 shares)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(1,154,254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Class A Common Stock (3,600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Secured Term Debt (15%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Bridge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Tier 2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Subordinated Note (0%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Cash, Due 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Tier 3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Jr. Subordinated Note (0%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Due 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Tier 4 Note (0%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208" w:lineRule="exact"/>
              <w:rPr>
                <w:sz w:val="20"/>
                <w:szCs w:val="20"/>
                <w:color w:val="auto"/>
              </w:rPr>
            </w:pPr>
            <w:r>
              <w:rPr>
                <w:rFonts w:ascii="Arial" w:cs="Arial" w:eastAsia="Arial" w:hAnsi="Arial"/>
                <w:sz w:val="14"/>
                <w:szCs w:val="14"/>
                <w:color w:val="auto"/>
              </w:rPr>
              <w:t xml:space="preserve">6/30/15)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Series A-1 Preferred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(255,102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Series A-3 Preferred Stock (88,194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Series A-5 Preferred Stock (20,530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154,552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171,471</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71.1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- 30.0%</w:t>
            </w:r>
          </w:p>
        </w:tc>
        <w:tc>
          <w:tcPr>
            <w:tcW w:w="2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4% PIK, Due 5/24/18)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Common Stock (1,125,000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7"/>
              </w:rPr>
              <w:t>Common Stock Warrants (570,000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24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KBP Investments, LLC</w:t>
            </w:r>
          </w:p>
        </w:tc>
        <w:tc>
          <w:tcPr>
            <w:tcW w:w="218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rPr>
              <w:t>QSR Franchisee</w:t>
            </w:r>
          </w:p>
        </w:tc>
        <w:tc>
          <w:tcPr>
            <w:tcW w:w="230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rPr>
              <w:t>Class A Preferred Stock (8,270</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8,269</w:t>
            </w:r>
          </w:p>
        </w:tc>
        <w:tc>
          <w:tcPr>
            <w:tcW w:w="1060" w:type="dxa"/>
            <w:vAlign w:val="bottom"/>
            <w:gridSpan w:val="2"/>
            <w:shd w:val="clear" w:color="auto" w:fill="CCEEFF"/>
          </w:tcPr>
          <w:p>
            <w:pPr>
              <w:jc w:val="right"/>
              <w:ind w:right="20"/>
              <w:spacing w:after="0" w:line="151"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7"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3"/>
                <w:szCs w:val="23"/>
                <w:color w:val="auto"/>
                <w:vertAlign w:val="superscript"/>
              </w:rPr>
              <w:t>(6)</w:t>
            </w: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KBP Investments,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QSR Franchisee</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(380,413</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9,196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17,465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(0% Cash,</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12/31/16)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(0%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12/31/16)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2,875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 (600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Preferred Stock (2,411</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(600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(10% Cash, Due</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9/16/16)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1,862</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 Cash, 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9/16/16)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3,688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Series A Preferred Units (47 units)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(17%,</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 PIK at Company's option,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6,500</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Preferred Stock (1,000</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(300,000 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 Cash, 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12/19/16)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5,048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Stock (32,782</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 Preferred Stock (23,648</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(33,107 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2320" w:type="dxa"/>
            <w:vAlign w:val="bottom"/>
          </w:tcPr>
          <w:p>
            <w:pPr>
              <w:ind w:left="260"/>
              <w:spacing w:after="0" w:line="130"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20"/>
              <w:spacing w:after="0" w:line="130" w:lineRule="exact"/>
              <w:rPr>
                <w:sz w:val="20"/>
                <w:szCs w:val="20"/>
                <w:color w:val="auto"/>
              </w:rPr>
            </w:pPr>
            <w:r>
              <w:rPr>
                <w:rFonts w:ascii="Arial" w:cs="Arial" w:eastAsia="Arial" w:hAnsi="Arial"/>
                <w:sz w:val="14"/>
                <w:szCs w:val="14"/>
                <w:color w:val="auto"/>
              </w:rPr>
              <w:t>Senior Secured Term Debt (15%</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Cash, Due 2/24/19)</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14,000</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14,000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Print Direction, Inc.</w:t>
            </w:r>
          </w:p>
        </w:tc>
        <w:tc>
          <w:tcPr>
            <w:tcW w:w="2320" w:type="dxa"/>
            <w:vAlign w:val="bottom"/>
          </w:tcPr>
          <w:p>
            <w:pPr>
              <w:ind w:left="260"/>
              <w:spacing w:after="0" w:line="149"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rPr>
              <w:t>Common Stock (19,363 shares)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4,141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2320" w:type="dxa"/>
            <w:vAlign w:val="bottom"/>
          </w:tcPr>
          <w:p>
            <w:pPr>
              <w:ind w:left="260"/>
              <w:spacing w:after="0" w:line="130"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20"/>
              <w:spacing w:after="0" w:line="130" w:lineRule="exact"/>
              <w:rPr>
                <w:sz w:val="20"/>
                <w:szCs w:val="20"/>
                <w:color w:val="auto"/>
              </w:rPr>
            </w:pPr>
            <w:r>
              <w:rPr>
                <w:rFonts w:ascii="Arial" w:cs="Arial" w:eastAsia="Arial" w:hAnsi="Arial"/>
                <w:sz w:val="14"/>
                <w:szCs w:val="14"/>
                <w:color w:val="auto"/>
              </w:rPr>
              <w:t>Common Stock Warrants (3% fully</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2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16,990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18,324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4"/>
                <w:szCs w:val="14"/>
                <w:b w:val="1"/>
                <w:bCs w:val="1"/>
                <w:color w:val="auto"/>
              </w:rPr>
              <w:t>Sub Total Control investments</w:t>
            </w:r>
          </w:p>
        </w:tc>
        <w:tc>
          <w:tcPr>
            <w:tcW w:w="2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67,440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72,062</w:t>
            </w:r>
          </w:p>
        </w:tc>
        <w:tc>
          <w:tcPr>
            <w:tcW w:w="1060" w:type="dxa"/>
            <w:vAlign w:val="bottom"/>
            <w:gridSpan w:val="2"/>
          </w:tcPr>
          <w:p>
            <w:pPr>
              <w:jc w:val="right"/>
              <w:ind w:right="20"/>
              <w:spacing w:after="0" w:line="176" w:lineRule="exact"/>
              <w:rPr>
                <w:sz w:val="20"/>
                <w:szCs w:val="20"/>
                <w:color w:val="auto"/>
              </w:rPr>
            </w:pPr>
            <w:r>
              <w:rPr>
                <w:rFonts w:ascii="Arial" w:cs="Arial" w:eastAsia="Arial" w:hAnsi="Arial"/>
                <w:sz w:val="12"/>
                <w:szCs w:val="12"/>
                <w:color w:val="auto"/>
              </w:rPr>
              <w:t>30.0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CCEEFF"/>
            </w:tcBorders>
            <w:shd w:val="clear" w:color="auto" w:fill="CCEEFF"/>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4"/>
                <w:szCs w:val="14"/>
                <w:b w:val="1"/>
                <w:bCs w:val="1"/>
                <w:color w:val="auto"/>
              </w:rPr>
              <w:t>TOTAL INVESTMENTS -199.4%</w:t>
            </w:r>
          </w:p>
        </w:tc>
        <w:tc>
          <w:tcPr>
            <w:tcW w:w="2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441,155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480,337</w:t>
            </w:r>
          </w:p>
        </w:tc>
        <w:tc>
          <w:tcPr>
            <w:tcW w:w="1060" w:type="dxa"/>
            <w:vAlign w:val="bottom"/>
            <w:gridSpan w:val="2"/>
          </w:tcPr>
          <w:p>
            <w:pPr>
              <w:jc w:val="right"/>
              <w:spacing w:after="0" w:line="176" w:lineRule="exact"/>
              <w:rPr>
                <w:sz w:val="20"/>
                <w:szCs w:val="20"/>
                <w:color w:val="auto"/>
              </w:rPr>
            </w:pPr>
            <w:r>
              <w:rPr>
                <w:rFonts w:ascii="Arial" w:cs="Arial" w:eastAsia="Arial" w:hAnsi="Arial"/>
                <w:sz w:val="12"/>
                <w:szCs w:val="12"/>
                <w:b w:val="1"/>
                <w:bCs w:val="1"/>
                <w:color w:val="auto"/>
              </w:rPr>
              <w:t>199.4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based on net assets of $240,837 as of December 31,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currently paying 17% cash rate due to covenant non-compliance.</w:t>
      </w:r>
    </w:p>
    <w:p>
      <w:pPr>
        <w:sectPr>
          <w:pgSz w:w="11900" w:h="16838" w:orient="portrait"/>
          <w:cols w:equalWidth="0" w:num="1">
            <w:col w:w="11420"/>
          </w:cols>
          <w:pgMar w:left="240" w:top="64"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58"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 market and middle market companies.</w:t>
      </w:r>
    </w:p>
    <w:p>
      <w:pPr>
        <w:spacing w:after="0" w:line="158"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 to hold their existing investments and continue to make new investments. The IPO consisted of the sale of</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June 30, 2015, the Company had 16,262,391 shares of common stock outstanding.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8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The Company is considered an investment company as defined in ASC Topic 946 </w:t>
      </w:r>
      <w:r>
        <w:rPr>
          <w:rFonts w:ascii="Arial" w:cs="Arial" w:eastAsia="Arial" w:hAnsi="Arial"/>
          <w:sz w:val="17"/>
          <w:szCs w:val="17"/>
          <w:i w:val="1"/>
          <w:iCs w:val="1"/>
          <w:color w:val="auto"/>
        </w:rPr>
        <w:t>– Financial Services – Investment Companies</w:t>
      </w:r>
      <w:r>
        <w:rPr>
          <w:rFonts w:ascii="Arial" w:cs="Arial" w:eastAsia="Arial" w:hAnsi="Arial"/>
          <w:sz w:val="17"/>
          <w:szCs w:val="17"/>
          <w:color w:val="auto"/>
        </w:rPr>
        <w:t>. Accordingly, the required disclosures as outlined in the Accounting Standards Update are included in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200" w:firstLine="881"/>
        <w:spacing w:after="0" w:line="291" w:lineRule="auto"/>
        <w:rPr>
          <w:sz w:val="20"/>
          <w:szCs w:val="20"/>
          <w:color w:val="auto"/>
        </w:rPr>
      </w:pPr>
      <w:r>
        <w:rPr>
          <w:rFonts w:ascii="Arial" w:cs="Arial" w:eastAsia="Arial" w:hAnsi="Arial"/>
          <w:sz w:val="16"/>
          <w:szCs w:val="16"/>
          <w:color w:val="auto"/>
        </w:rPr>
        <w:t xml:space="preserve">As provided under Regulation S-X and ASC Topic 946 </w:t>
      </w:r>
      <w:r>
        <w:rPr>
          <w:rFonts w:ascii="Arial" w:cs="Arial" w:eastAsia="Arial" w:hAnsi="Arial"/>
          <w:sz w:val="16"/>
          <w:szCs w:val="16"/>
          <w:i w:val="1"/>
          <w:iCs w:val="1"/>
          <w:color w:val="auto"/>
        </w:rPr>
        <w:t>– Financial Services – Investment Companies</w:t>
      </w:r>
      <w:r>
        <w:rPr>
          <w:rFonts w:ascii="Arial" w:cs="Arial" w:eastAsia="Arial" w:hAnsi="Arial"/>
          <w:sz w:val="16"/>
          <w:szCs w:val="16"/>
          <w:color w:val="auto"/>
        </w:rPr>
        <w:t>,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interests in Capitala Senior Liquid Loan Fund I, LLC (“CSLLF”) and CION/Capitala Senior Liquid Loan Fund I, LLC (“CCSLLF”) because the entities are not considered substantially wholly owned investment company subsidiaries. Further, CSLLF and CCSLLF are joint ventures for which shared power exists relating to the decisions that most significantly impact the economic performance of the entities. See Note 4 for further description of the Company’s investments in CSLLF and CCSLLF.</w:t>
      </w:r>
    </w:p>
    <w:p>
      <w:pPr>
        <w:spacing w:after="0" w:line="167"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The Company’s financial position as of June 30, 2015 is presented on a consolidated basis. The effects of all intercompany transactions between the Company and its consolidated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2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ind w:right="20" w:firstLine="881"/>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7"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100" w:firstLine="881"/>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original issue discount or premium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right="20" w:firstLine="881"/>
        <w:spacing w:after="0" w:line="286" w:lineRule="auto"/>
        <w:rPr>
          <w:sz w:val="20"/>
          <w:szCs w:val="20"/>
          <w:color w:val="auto"/>
        </w:rPr>
      </w:pPr>
      <w:r>
        <w:rPr>
          <w:rFonts w:ascii="Arial" w:cs="Arial" w:eastAsia="Arial" w:hAnsi="Arial"/>
          <w:sz w:val="17"/>
          <w:szCs w:val="17"/>
          <w:color w:val="auto"/>
        </w:rPr>
        <w:t>As a practical expedient, the Company uses the net asset value (“NAV”) as the fair value of CSLLF and CCSLLF. CSLLF and CCSLLF record its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28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investment is not performing in accordance with its contractual terms or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i w:val="1"/>
          <w:iCs w:val="1"/>
          <w:color w:val="auto"/>
        </w:rPr>
        <w:t xml:space="preserve">Interest income and paid-in-kind interest income: </w:t>
      </w:r>
      <w:r>
        <w:rPr>
          <w:rFonts w:ascii="Arial" w:cs="Arial" w:eastAsia="Arial" w:hAnsi="Arial"/>
          <w:sz w:val="18"/>
          <w:szCs w:val="18"/>
          <w:color w:val="auto"/>
        </w:rPr>
        <w:t>Interest income is recorded on the accrual basis to the extent that such amounts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collected. The Company has debt investments in the portfolio that contain a payment-in-kind (“PIK”) provision. The PIK interest, which represents contractually deferred interest added to the debt investment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8" w:lineRule="exact"/>
        <w:rPr>
          <w:sz w:val="20"/>
          <w:szCs w:val="20"/>
          <w:color w:val="auto"/>
        </w:rPr>
      </w:pPr>
    </w:p>
    <w:p>
      <w:pPr>
        <w:ind w:right="12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100" w:firstLine="881"/>
        <w:spacing w:after="0" w:line="342" w:lineRule="auto"/>
        <w:rPr>
          <w:sz w:val="20"/>
          <w:szCs w:val="20"/>
          <w:color w:val="auto"/>
        </w:rPr>
      </w:pPr>
      <w:r>
        <w:rPr>
          <w:rFonts w:ascii="Arial" w:cs="Arial" w:eastAsia="Arial" w:hAnsi="Arial"/>
          <w:sz w:val="16"/>
          <w:szCs w:val="16"/>
          <w:i w:val="1"/>
          <w:iCs w:val="1"/>
          <w:color w:val="auto"/>
        </w:rPr>
        <w:t xml:space="preserve">Original issue discount/premiums: </w:t>
      </w:r>
      <w:r>
        <w:rPr>
          <w:rFonts w:ascii="Arial" w:cs="Arial" w:eastAsia="Arial" w:hAnsi="Arial"/>
          <w:sz w:val="16"/>
          <w:szCs w:val="16"/>
          <w:color w:val="auto"/>
        </w:rPr>
        <w:t>Discounts/premiums received to par on loans purchased on the secondary market are capitalized and accreted</w:t>
      </w:r>
      <w:r>
        <w:rPr>
          <w:rFonts w:ascii="Arial" w:cs="Arial" w:eastAsia="Arial" w:hAnsi="Arial"/>
          <w:sz w:val="16"/>
          <w:szCs w:val="16"/>
          <w:i w:val="1"/>
          <w:iCs w:val="1"/>
          <w:color w:val="auto"/>
        </w:rPr>
        <w:t xml:space="preserve"> </w:t>
      </w:r>
      <w:r>
        <w:rPr>
          <w:rFonts w:ascii="Arial" w:cs="Arial" w:eastAsia="Arial" w:hAnsi="Arial"/>
          <w:sz w:val="16"/>
          <w:szCs w:val="16"/>
          <w:color w:val="auto"/>
        </w:rPr>
        <w:t>or amortized into income over the life of the loan. Any remaining discount/premium is accreted or amortized into income upon prepayment of the loan.</w:t>
      </w:r>
    </w:p>
    <w:p>
      <w:pPr>
        <w:spacing w:after="0" w:line="124"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60" w:firstLine="881"/>
        <w:spacing w:after="0" w:line="286" w:lineRule="auto"/>
        <w:rPr>
          <w:sz w:val="20"/>
          <w:szCs w:val="20"/>
          <w:color w:val="auto"/>
        </w:rPr>
      </w:pPr>
      <w:r>
        <w:rPr>
          <w:rFonts w:ascii="Arial" w:cs="Arial" w:eastAsia="Arial" w:hAnsi="Arial"/>
          <w:sz w:val="17"/>
          <w:szCs w:val="17"/>
          <w:color w:val="auto"/>
        </w:rPr>
        <w:t>General and administrative expenses are accrued as incurred. The Company’s administrative expenses include personnel and overheard expenses allocable to the Company under the Administration Agreement paid by and reimbursable to the Administrator. Other operating expenses such as legal and audit fees, director fees, director and officer insurance, and other expenses are generally paid directly by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As of June 30, 2015 and December 31, 2014, the Company had outstanding unfunded commitments related to debt investments in existing portfolio companies of $6.6 million and $10.6 million, respectively. As of June 30, 2015 and December 31, 2014, the Company also had unfunded commitments related to its equity investment in Capitala Senior Liquid Loan Fund I, LLC of $4.8 million and $0.0 million, respectively. As of June 30, 2015 and December 31, 2014, the Company also had unfunded commitments related to its equity investment in CION/Capitala Senior Liquid Loan Fund I, LLC of $10.0 million and $0.0 million, respectively.</w:t>
      </w:r>
    </w:p>
    <w:p>
      <w:pPr>
        <w:spacing w:after="0" w:line="188"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ind w:right="120" w:firstLine="881"/>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of occurring as of June 30, 2015 and December 31, 2014.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2015 and December 31, 2014,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on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right="140" w:firstLine="881"/>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for the three and six months ended June 30, 2015 and June 30, 2014.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80" w:firstLine="881"/>
        <w:spacing w:after="0" w:line="342" w:lineRule="auto"/>
        <w:rPr>
          <w:sz w:val="20"/>
          <w:szCs w:val="20"/>
          <w:color w:val="auto"/>
        </w:rPr>
      </w:pPr>
      <w:r>
        <w:rPr>
          <w:rFonts w:ascii="Arial" w:cs="Arial" w:eastAsia="Arial" w:hAnsi="Arial"/>
          <w:sz w:val="16"/>
          <w:szCs w:val="16"/>
          <w:color w:val="auto"/>
        </w:rPr>
        <w:t>Dividends to common stockholders are recorded as payable on the declaration date. The amount to be paid out as a dividend is approved by the Board. Net capital gains, if any, are generally distributed at least annually, although we may decide to retain such capital gains for reinvestment.</w:t>
      </w:r>
    </w:p>
    <w:p>
      <w:pPr>
        <w:spacing w:after="0" w:line="124"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company has adopted an “opt out” dividend reinvestment plan for common stockholders. As a result, if the Company declares a cash dividend or other distribution, each stockholder that has not “opted out” of the dividend reinvestment plan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2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The value of the Company’s debt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44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In June 2013, the FASB issued ASU No. 2013-08, </w:t>
      </w:r>
      <w:r>
        <w:rPr>
          <w:rFonts w:ascii="Arial" w:cs="Arial" w:eastAsia="Arial" w:hAnsi="Arial"/>
          <w:sz w:val="18"/>
          <w:szCs w:val="18"/>
          <w:i w:val="1"/>
          <w:iCs w:val="1"/>
          <w:color w:val="auto"/>
        </w:rPr>
        <w:t>“Financial Services – Investment Companies (Topic 946), Amendments to the Scope,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in this accounting standards update affect the scope, measurement, and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8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In April 2015, the FASB has issued Accounting Standards Update “ASU” No.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 (“ASU 2015-03”)</w:t>
      </w:r>
      <w:r>
        <w:rPr>
          <w:rFonts w:ascii="Arial" w:cs="Arial" w:eastAsia="Arial" w:hAnsi="Arial"/>
          <w:sz w:val="18"/>
          <w:szCs w:val="18"/>
          <w:color w:val="auto"/>
        </w:rPr>
        <w:t>. ASU 2015-03 requires that debt issuance costs related to a recognized debt liability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balance sheet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and early adoption is permitted. Management is currently evaluating the impact these changes will have on the Company’s consolidated financial statements and disclosures.</w:t>
      </w:r>
    </w:p>
    <w:p>
      <w:pPr>
        <w:spacing w:after="0" w:line="193" w:lineRule="exact"/>
        <w:rPr>
          <w:sz w:val="20"/>
          <w:szCs w:val="20"/>
          <w:color w:val="auto"/>
        </w:rPr>
      </w:pPr>
    </w:p>
    <w:p>
      <w:pPr>
        <w:ind w:right="120" w:firstLine="881"/>
        <w:spacing w:after="0" w:line="276"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Fair Value Measurement (Topic 820) – Disclosures for Investments in Certain Entities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Calculate Net Asset Value per Share. </w:t>
      </w:r>
      <w:r>
        <w:rPr>
          <w:rFonts w:ascii="Arial" w:cs="Arial" w:eastAsia="Arial" w:hAnsi="Arial"/>
          <w:sz w:val="17"/>
          <w:szCs w:val="17"/>
          <w:color w:val="auto"/>
        </w:rPr>
        <w:t>ASU 2015-07 permits a reporting entity, as a practical expedient, to measure the fair value of certain investments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asset value per share of the investment and provides guidance on required disclosures for such investments. The standard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June 30, 2015, our portfolio consisted of investments in 60 portfolio companies with a fair value of approximately $565.3 million.</w:t>
      </w:r>
    </w:p>
    <w:p>
      <w:pPr>
        <w:spacing w:after="0" w:line="193"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During the three months ended June 30, 2015, the Company made approximately $102.8 million of investments and had approximately $57.4 million in repayments resulting in net investments of approximately $45.4 million for the period. During the three months ended June 30, 2014, the Company made approximately $22.6 million of investments and had approximately $9.4 million in repayments resulting in net investments of approximately $13.2 million for the period.</w:t>
      </w:r>
    </w:p>
    <w:p>
      <w:pPr>
        <w:spacing w:after="0" w:line="187"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During the six months ended June 30, 2015, the Company made approximately $170.0 million of investments and had approximately $91.9 million in repayments resulting in net investments of approximately $78.1 million for the period. During the six months ended June 30, 2014, the Company made approximately $63.6 million of investments and had approximately $20.2 million in repayments resulting in net investments of approximately $43.4 million for the period.</w:t>
      </w:r>
    </w:p>
    <w:p>
      <w:pPr>
        <w:spacing w:after="0" w:line="187" w:lineRule="exact"/>
        <w:rPr>
          <w:sz w:val="20"/>
          <w:szCs w:val="20"/>
          <w:color w:val="auto"/>
        </w:rPr>
      </w:pPr>
    </w:p>
    <w:p>
      <w:pPr>
        <w:ind w:right="80" w:firstLine="881"/>
        <w:spacing w:after="0" w:line="270" w:lineRule="auto"/>
        <w:rPr>
          <w:sz w:val="20"/>
          <w:szCs w:val="20"/>
          <w:color w:val="auto"/>
        </w:rPr>
      </w:pPr>
      <w:r>
        <w:rPr>
          <w:rFonts w:ascii="Arial" w:cs="Arial" w:eastAsia="Arial" w:hAnsi="Arial"/>
          <w:sz w:val="17"/>
          <w:szCs w:val="17"/>
          <w:color w:val="auto"/>
        </w:rPr>
        <w:t>During the three and six months ended June 30, 2015, the Company funded $5.2 million and $19.4 million, respectively, of previous committed capital to existing portfolio companies. During the three and six months ended June 30, 2014, all investments were made to portfolio companies in which the Company was not previously obligated to provide financial support. During the six months ended June 30, 2015 and 2014, the Company funded $150.6 million and $63.6 million, respectively, of investments in new and existing portfolio companies for which it was not previously committed to provide the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six month periods ended June 30, 2015 and June 30, 2014, the Company did not lead any syndicates. During the six month period ended June 30, 2015 the Company did not assist any portfolio companies in obtaining indirect financing. During the six months ended June 30, 2014, the Company helped Print Direction, Inc. obtain a $3.5 million senior revolving credit facility.</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composition of our investments as of June 30, 2015, at amortized cost and fair value were as follows (dollars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204,237</w:t>
            </w:r>
          </w:p>
        </w:tc>
        <w:tc>
          <w:tcPr>
            <w:tcW w:w="20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204,242</w:t>
            </w:r>
          </w:p>
        </w:tc>
        <w:tc>
          <w:tcPr>
            <w:tcW w:w="1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272,563</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262,998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54,634</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82,818</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15,200</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15,256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composition of our investments as of December 31, 2014, at amortized cost and fair value were as follows (dollars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146,399</w:t>
            </w:r>
          </w:p>
        </w:tc>
        <w:tc>
          <w:tcPr>
            <w:tcW w:w="20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vMerge w:val="continue"/>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231,901</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62,855</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441,155</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0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1720" w:right="360" w:hanging="564"/>
        <w:spacing w:after="0" w:line="277"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2—Valuations based on inputs other than quoted prices in active markets, which are either directly or indirectly observable.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86" w:gutter="0" w:footer="0" w:header="0"/>
        </w:sectPr>
      </w:pPr>
    </w:p>
    <w:bookmarkStart w:id="24" w:name="page25"/>
    <w:bookmarkEnd w:id="24"/>
    <w:p>
      <w:pPr>
        <w:ind w:left="1720" w:hanging="564"/>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our investments are trading, in determining fair value.</w:t>
      </w:r>
    </w:p>
    <w:p>
      <w:pPr>
        <w:spacing w:after="0" w:line="181" w:lineRule="exact"/>
        <w:rPr>
          <w:sz w:val="20"/>
          <w:szCs w:val="20"/>
          <w:color w:val="auto"/>
        </w:rPr>
      </w:pPr>
    </w:p>
    <w:p>
      <w:pPr>
        <w:ind w:right="100" w:firstLine="881"/>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original issue discount or premium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June 30, 2015 (dollars in thousands), according to the fair value hierarchy:</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204,242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262,998</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262,998</w:t>
            </w:r>
          </w:p>
        </w:tc>
        <w:tc>
          <w:tcPr>
            <w:tcW w:w="80" w:type="dxa"/>
            <w:vAlign w:val="bottom"/>
          </w:tcPr>
          <w:p>
            <w:pPr>
              <w:spacing w:after="0"/>
              <w:rPr>
                <w:sz w:val="18"/>
                <w:szCs w:val="18"/>
                <w:color w:val="auto"/>
              </w:rPr>
            </w:pPr>
          </w:p>
        </w:tc>
      </w:tr>
      <w:tr>
        <w:trPr>
          <w:trHeight w:val="270"/>
        </w:trPr>
        <w:tc>
          <w:tcPr>
            <w:tcW w:w="49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Equity and Warrants </w:t>
            </w:r>
            <w:r>
              <w:rPr>
                <w:rFonts w:ascii="Arial" w:cs="Arial" w:eastAsia="Arial" w:hAnsi="Arial"/>
                <w:sz w:val="30"/>
                <w:szCs w:val="30"/>
                <w:color w:val="auto"/>
                <w:vertAlign w:val="superscript"/>
              </w:rPr>
              <w:t>(1)</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3,048</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79,770</w:t>
            </w:r>
          </w:p>
        </w:tc>
        <w:tc>
          <w:tcPr>
            <w:tcW w:w="24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82,818</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547,010</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38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$15.3 million fair value associated with our investment in CSLLF, measured using net asset value. Because the Company’s investment in CSLLF is not redeemable, CSLLF is considered a Level 3 measurement.</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2014 (dollars in thousands), according to the fair value hierarchy:</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222,300</w:t>
            </w:r>
          </w:p>
        </w:tc>
        <w:tc>
          <w:tcPr>
            <w:tcW w:w="80" w:type="dxa"/>
            <w:vAlign w:val="bottom"/>
          </w:tcPr>
          <w:p>
            <w:pPr>
              <w:spacing w:after="0"/>
              <w:rPr>
                <w:sz w:val="18"/>
                <w:szCs w:val="18"/>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100,803</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111,723</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469,417</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2015 (dollars in thousands):</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Secured</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Subordinated</w:t>
            </w: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Debt</w:t>
            </w:r>
          </w:p>
        </w:tc>
        <w:tc>
          <w:tcPr>
            <w:tcW w:w="240" w:type="dxa"/>
            <w:vAlign w:val="bottom"/>
          </w:tcPr>
          <w:p>
            <w:pPr>
              <w:spacing w:after="0"/>
              <w:rPr>
                <w:sz w:val="23"/>
                <w:szCs w:val="23"/>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Debt</w:t>
            </w:r>
          </w:p>
        </w:tc>
        <w:tc>
          <w:tcPr>
            <w:tcW w:w="1300" w:type="dxa"/>
            <w:vAlign w:val="bottom"/>
            <w:gridSpan w:val="3"/>
          </w:tcPr>
          <w:p>
            <w:pPr>
              <w:jc w:val="center"/>
              <w:ind w:right="180"/>
              <w:spacing w:after="0" w:line="269" w:lineRule="exact"/>
              <w:rPr>
                <w:sz w:val="20"/>
                <w:szCs w:val="20"/>
                <w:color w:val="auto"/>
              </w:rPr>
            </w:pPr>
            <w:r>
              <w:rPr>
                <w:rFonts w:ascii="Arial" w:cs="Arial" w:eastAsia="Arial" w:hAnsi="Arial"/>
                <w:sz w:val="18"/>
                <w:szCs w:val="18"/>
                <w:b w:val="1"/>
                <w:bCs w:val="1"/>
                <w:color w:val="auto"/>
                <w:w w:val="89"/>
              </w:rPr>
              <w:t xml:space="preserve">Warrants </w:t>
            </w:r>
            <w:r>
              <w:rPr>
                <w:rFonts w:ascii="Arial" w:cs="Arial" w:eastAsia="Arial" w:hAnsi="Arial"/>
                <w:sz w:val="30"/>
                <w:szCs w:val="30"/>
                <w:b w:val="1"/>
                <w:bCs w:val="1"/>
                <w:color w:val="auto"/>
                <w:w w:val="89"/>
                <w:vertAlign w:val="superscript"/>
              </w:rPr>
              <w:t>(1)</w:t>
            </w:r>
          </w:p>
        </w:tc>
        <w:tc>
          <w:tcPr>
            <w:tcW w:w="240" w:type="dxa"/>
            <w:vAlign w:val="bottom"/>
          </w:tcPr>
          <w:p>
            <w:pPr>
              <w:spacing w:after="0"/>
              <w:rPr>
                <w:sz w:val="23"/>
                <w:szCs w:val="23"/>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Repayments</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(3,743)</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(46,497)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(28,708)</w:t>
            </w:r>
          </w:p>
        </w:tc>
        <w:tc>
          <w:tcPr>
            <w:tcW w:w="2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(78,948)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89,731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154,808</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Payment in-kind interest and dividends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Realized gain/(loss) from investments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17,563</w:t>
            </w:r>
          </w:p>
        </w:tc>
        <w:tc>
          <w:tcPr>
            <w:tcW w:w="2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14,213</w:t>
            </w: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net unrealized appreciation</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(14,832)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(14,705)</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Balance as of June 30,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204,242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262,998</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79,770</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547,010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20" w:hanging="319"/>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investment activity and fair value associated with our investment in CSLLF. During the six months ended June 30, 2015, the Company invested $15.2 million in CSLLF and had $0.1 million in appreciation related to underlying earnings generated by CSLLF.</w:t>
      </w:r>
    </w:p>
    <w:p>
      <w:pPr>
        <w:spacing w:after="0" w:line="147"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Secured</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Subordinated</w:t>
            </w: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Debt</w:t>
            </w: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20"/>
                <w:szCs w:val="20"/>
                <w:color w:val="auto"/>
              </w:rPr>
            </w:pPr>
          </w:p>
        </w:tc>
      </w:tr>
      <w:tr>
        <w:trPr>
          <w:trHeight w:val="210"/>
        </w:trPr>
        <w:tc>
          <w:tcPr>
            <w:tcW w:w="5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364,719</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Change in classification due to restructure</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(14,073)</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14,073</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(20,160)</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49,657</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11,159</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63,584</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from investments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w:t>
            </w:r>
          </w:p>
        </w:tc>
        <w:tc>
          <w:tcPr>
            <w:tcW w:w="640" w:type="dxa"/>
            <w:vAlign w:val="bottom"/>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Increase/(decrease) in net unrealized appreciation</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(6,999)</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(5,607)</w:t>
            </w:r>
          </w:p>
        </w:tc>
        <w:tc>
          <w:tcPr>
            <w:tcW w:w="64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29"/>
        </w:trPr>
        <w:tc>
          <w:tcPr>
            <w:tcW w:w="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0" w:gutter="0" w:footer="0" w:header="0"/>
        </w:sectPr>
      </w:pPr>
    </w:p>
    <w:bookmarkStart w:id="25" w:name="page26"/>
    <w:bookmarkEnd w:id="25"/>
    <w:p>
      <w:pPr>
        <w:ind w:right="100" w:firstLine="881"/>
        <w:spacing w:after="0" w:line="259" w:lineRule="auto"/>
        <w:rPr>
          <w:sz w:val="20"/>
          <w:szCs w:val="20"/>
          <w:color w:val="auto"/>
        </w:rPr>
      </w:pPr>
      <w:r>
        <w:rPr>
          <w:rFonts w:ascii="Arial" w:cs="Arial" w:eastAsia="Arial" w:hAnsi="Arial"/>
          <w:sz w:val="18"/>
          <w:szCs w:val="18"/>
          <w:color w:val="auto"/>
        </w:rPr>
        <w:t>The net change in unrealized appreciation on investments held as of June 30, 2015 was $2.0 million and is included in net unrealized appreciation/(depreciation) on investments in the consolidated statements of operations for the six months ended June 30, 2015. The net change in unrealized depreciation on investments held as of June 30, 2014 was $(5.6) million and is included in net unrealized appreciation/(depreciation) on investments in the consolidated statements of operations for the six months ended June 30,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 June 30, 2015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Valuation Approach</w:t>
            </w:r>
          </w:p>
        </w:tc>
        <w:tc>
          <w:tcPr>
            <w:tcW w:w="186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3 Input</w:t>
            </w:r>
          </w:p>
        </w:tc>
        <w:tc>
          <w:tcPr>
            <w:tcW w:w="2100" w:type="dxa"/>
            <w:vAlign w:val="bottom"/>
          </w:tcPr>
          <w:p>
            <w:pPr>
              <w:ind w:left="440"/>
              <w:spacing w:after="0"/>
              <w:rPr>
                <w:sz w:val="20"/>
                <w:szCs w:val="20"/>
                <w:color w:val="auto"/>
              </w:rPr>
            </w:pPr>
            <w:r>
              <w:rPr>
                <w:rFonts w:ascii="Arial" w:cs="Arial" w:eastAsia="Arial" w:hAnsi="Arial"/>
                <w:sz w:val="18"/>
                <w:szCs w:val="18"/>
                <w:b w:val="1"/>
                <w:bCs w:val="1"/>
                <w:color w:val="auto"/>
              </w:rPr>
              <w:t>Range of Inputs</w:t>
            </w:r>
          </w:p>
        </w:tc>
        <w:tc>
          <w:tcPr>
            <w:tcW w:w="18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second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9.3% - 30.0%</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1.7x – 12.9x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4.2x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232.6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9"/>
              </w:rPr>
              <w:t>$1.6 million-$218.8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$43.9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3.3x – 5.8x</w:t>
            </w:r>
          </w:p>
        </w:tc>
        <w:tc>
          <w:tcPr>
            <w:tcW w:w="14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second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$1.8 million - $2.0 million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0.4x- 2.5x</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 and</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5"/>
              </w:rPr>
              <w:t>$17.4 million - $38.6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1.6x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30.4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(1)</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$26.5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debt and</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first lien notes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8.0% - 50.0%</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0.2x – 8.7x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3.7x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189.0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$1.0 million- $137.6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$28.4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Senior debt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first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2.5x – 2.5x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 and Asset (1)</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$18.9 million- $18.9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$18.9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warrants</w:t>
            </w:r>
          </w:p>
        </w:tc>
        <w:tc>
          <w:tcPr>
            <w:tcW w:w="580" w:type="dxa"/>
            <w:vAlign w:val="bottom"/>
            <w:shd w:val="clear" w:color="auto" w:fill="CCEEFF"/>
          </w:tcPr>
          <w:p>
            <w:pPr>
              <w:jc w:val="right"/>
              <w:ind w:right="272"/>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4.0x – 10.5x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7.1x</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$1.8 million -$280.9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$36.7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79.8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$16.2 million in subordinated notes and $14.8 million senior notes were valued using the asset approach.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our $15.3 million investment in CSLLF, measured at NAV.</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right="32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2014 were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Valuation Approach</w:t>
            </w:r>
          </w:p>
        </w:tc>
        <w:tc>
          <w:tcPr>
            <w:tcW w:w="186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3 Input</w:t>
            </w:r>
          </w:p>
        </w:tc>
        <w:tc>
          <w:tcPr>
            <w:tcW w:w="2100" w:type="dxa"/>
            <w:vAlign w:val="bottom"/>
          </w:tcPr>
          <w:p>
            <w:pPr>
              <w:ind w:left="440"/>
              <w:spacing w:after="0"/>
              <w:rPr>
                <w:sz w:val="20"/>
                <w:szCs w:val="20"/>
                <w:color w:val="auto"/>
              </w:rPr>
            </w:pPr>
            <w:r>
              <w:rPr>
                <w:rFonts w:ascii="Arial" w:cs="Arial" w:eastAsia="Arial" w:hAnsi="Arial"/>
                <w:sz w:val="18"/>
                <w:szCs w:val="18"/>
                <w:b w:val="1"/>
                <w:bCs w:val="1"/>
                <w:color w:val="auto"/>
              </w:rPr>
              <w:t>Range of Inputs</w:t>
            </w:r>
          </w:p>
        </w:tc>
        <w:tc>
          <w:tcPr>
            <w:tcW w:w="18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second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10.0% - 20.0%</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0.8x – 8.0x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195.0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9"/>
              </w:rPr>
              <w:t>$2.1 million-$204.1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$44.6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3.3x – 5.5x</w:t>
            </w:r>
          </w:p>
        </w:tc>
        <w:tc>
          <w:tcPr>
            <w:tcW w:w="14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4.3x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second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$1.6 million - $2.0 million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0.4x- 2.5x</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 and</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5"/>
              </w:rPr>
              <w:t>$17.2 million - $39.7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(1)</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$27.6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first lien notes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6.8% - 33.3%</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1.1x – 6.2x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3.7x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127.8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$1.0 million- $95.4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$22.0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Multiple</w:t>
            </w: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0.4x – 2.5x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first lien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 and</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$17.2 million- $39.7 million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0.5x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 million</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$37.7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5.0x – 10.5x</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$1.6 million -$215.3 million</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$26.3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100.8 million</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Waterfall</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Price</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$12.2 million in subordinated notes and $14.1 million in senior notes were valued using the asset approach.</w:t>
      </w:r>
    </w:p>
    <w:p>
      <w:pPr>
        <w:spacing w:after="0" w:line="225"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The significant unobservable inputs used in the valuation of the Company’s debt and equity investments are required rate of return, adjusted EBITDA, EBITDA multiples, revenue, revenue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revenue, revenue multiples, or transaction prices will result in a higher (lower) estimate of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March 24, 2015, Capitala and Trinity Universal Insurance Company (“Trinity”), a subsidiary of Kemper Corporation (“Kemper”), entered into a limited liability company agreement to co-manage Capitala Senior Liquid Loan Fund I, LLC (“CSLLF”). The purpose and design of the joint venture is to invest primarily in broadly syndicated senior secured loans to larger middle market companies, which will be purchased on the secondary market. Capitala and Trinity have committed to provide $25.0 million of equity to CSLLF, with Capitala providing $20.0 million and Trinity providing $5.0 million, resulting in an 80/20% ownership between the two parties. As of June 30, 2015, $15.2 million and $3.8 million in capital had been contributed by Capitala and Trinity, respectively. The Company’s investment in CSLLF is not redeemable; as such, the fair value of CSLLF is classified as a Level 3 measurement.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March 27, 2015, CSLLF entered into a total return swap (“TRS”) with Bank of America, N.A. (“Bank of America”) that is indexed to a basket of senior secured loans purchased by CSLLF. CSLLF will obtain the economic benefit of the loans underlying the TRS, including the net interest spread between the interest income generated by the underlying loans and the interest type payment under the TRS, the realized gain/(loss) on liquidated loans, and the unrealized appreciation/(depreciation) on the underlying loans.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7" w:name="page28"/>
    <w:bookmarkEnd w:id="27"/>
    <w:p>
      <w:pPr>
        <w:ind w:right="60" w:firstLine="648"/>
        <w:spacing w:after="0" w:line="269" w:lineRule="auto"/>
        <w:rPr>
          <w:sz w:val="20"/>
          <w:szCs w:val="20"/>
          <w:color w:val="auto"/>
        </w:rPr>
      </w:pPr>
      <w:r>
        <w:rPr>
          <w:rFonts w:ascii="Arial" w:cs="Arial" w:eastAsia="Arial" w:hAnsi="Arial"/>
          <w:sz w:val="17"/>
          <w:szCs w:val="17"/>
          <w:color w:val="auto"/>
        </w:rPr>
        <w:t>The terms of the TRS are governed by an ISDA 2002 Master Agreement, the Schedule thereto and Credit Support Annex to such Schedule, and the confirmation exchanged thereunder, between CSLLF and Bank of America., which collectively establish the TRS, and are collectively referred to herein as the “TRS Agreement”. Pursuant to the terms of the TRS Agreement, CSLLF may select a portfolio of loans with a maximum market value (determined at the time each such loan becomes subject to the TRS) of $100,000,000, which is also referred to as the maximum notional amount of the TRS. Each individual loan, and the portfolio of loans taken as a whole, must meet criteria described in the TRS Agreement. CSLLF receives from Bank of America, a periodic payment on set dates that is based upon any coupons, both earned and accrued, generated by the loans underlying the TRS, subject to limitations described in the TRS Agreement as well as any fees associated with the loans included in the portfolio. CSLLF pays to Bank of America interest at a rate equal to LIBOR plus 1.25% per annum; the LIBOR option paid by CSLLF is determined on an asset by asset basis such that the tenor of the LIBOR option (1 month, 3 month, etc.) matches the tenor of the underlying reference asset. In addition, upon the termination of any loan subject to the TRS or any repayment of the underlying reference asset, CSLLF either receives from Bank of America, the appreciation in the value of such loan, or pays to Bank of America any depreciation in the value of such loan.</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CSLLF is required to pay a unused facility fee of 1.25% on any amount of unused facility under the minimum facility amount of $70,000,000 as outlined in the TRS agreement. Such unused facility fee will not apply during the first 4 months and last 60 days of the term of the TRS. CSLLF will also pay Bank of America customary fees and expenses in connection with the establishment and maintenance of the TRS.</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CSLLF is required to initially cash collateralize a specified percentage of each loan (generally 20% to 35% of the market value of senior secured loans) included under the TRS in accordance with margin requirements described in the TRS Agreement. As of June 30, 2015, CSLLF has posted $9.9 million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$9.9 million in cash collateral represents CSLLF’s maximum credit exposure as of June 30, 2015.</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June 30, 2015, CSLLF is not in default with regards to any covenants or requirements of the TRS.</w:t>
      </w:r>
    </w:p>
    <w:p>
      <w:pPr>
        <w:spacing w:after="0" w:line="18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CSLLF’s receivable due on total return swap represents realized amounts from payments on underlying loans in the total return swap portfolio. At June 30, 2015, the receivable due on total return swap was $0.04 million and is recorded on CSLLF’s statements of assets and liabilities below. CSLLF does not offset collateral posted in relation to the TRS with any unrealized appreciation or depreciation outstanding in the statements of assets and liabilities as of June 30, 2015.</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Transactions in TRS contracts during the three months and six months ended June 30, 2015 resulted in $0.1 million in realized gains and $0.1 million in unrealized appreciation, which is recorded on CSLLF’s statements of operations below.</w:t>
      </w:r>
    </w:p>
    <w:p>
      <w:pPr>
        <w:spacing w:after="0" w:line="170"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CSLLF only held one derivative position as of the three and six months ended June 30, 2015 and the derivative held is subject to a netting arrangement. The following table represents CSLLF’s gross and net amounts after offset under Master Agreements (“MA”) of the derivative assets and liabilities presented by derivative type net of the related collateral pledged by the CSLLF as of June 30, 2015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Net Amount Presented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Gross Derivative</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the Consolidated</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4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9"/>
              </w:rPr>
              <w:t>Assets/(Liabilities)</w:t>
            </w: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Available for</w:t>
            </w: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Statements of Assets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Collateral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Subject to MA</w:t>
            </w:r>
          </w:p>
        </w:tc>
        <w:tc>
          <w:tcPr>
            <w:tcW w:w="1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Offset</w:t>
            </w:r>
          </w:p>
        </w:tc>
        <w:tc>
          <w:tcPr>
            <w:tcW w:w="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and Liabilities</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Received</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Assets/(Liabilities)</w:t>
            </w:r>
          </w:p>
        </w:tc>
      </w:tr>
      <w:tr>
        <w:trPr>
          <w:trHeight w:val="190"/>
        </w:trPr>
        <w:tc>
          <w:tcPr>
            <w:tcW w:w="20" w:type="dxa"/>
            <w:vAlign w:val="bottom"/>
          </w:tcPr>
          <w:p>
            <w:pPr>
              <w:spacing w:after="0"/>
              <w:rPr>
                <w:sz w:val="16"/>
                <w:szCs w:val="16"/>
                <w:color w:val="auto"/>
              </w:rPr>
            </w:pPr>
          </w:p>
        </w:tc>
        <w:tc>
          <w:tcPr>
            <w:tcW w:w="10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June 30, 2015</w:t>
            </w: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0"/>
        </w:trPr>
        <w:tc>
          <w:tcPr>
            <w:tcW w:w="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Total Return Swap</w:t>
            </w:r>
            <w:r>
              <w:rPr>
                <w:rFonts w:ascii="Arial" w:cs="Arial" w:eastAsia="Arial" w:hAnsi="Arial"/>
                <w:sz w:val="30"/>
                <w:szCs w:val="30"/>
                <w:color w:val="auto"/>
                <w:vertAlign w:val="superscript"/>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bl>
    <w:p>
      <w:pPr>
        <w:spacing w:after="0" w:line="68" w:lineRule="exact"/>
        <w:rPr>
          <w:sz w:val="20"/>
          <w:szCs w:val="20"/>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June 30, 2015 and is reported on CSLLF’s statements of assets and liabilities as cash collateral on total return swap.</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three and six months ended June 30, 2015 (dollars in thousands):</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06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2"/>
              </w:rPr>
              <w:t>For the three</w:t>
            </w:r>
          </w:p>
        </w:tc>
        <w:tc>
          <w:tcPr>
            <w:tcW w:w="2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4840" w:type="dxa"/>
            <w:vAlign w:val="bottom"/>
          </w:tcPr>
          <w:p>
            <w:pPr>
              <w:spacing w:after="0"/>
              <w:rPr>
                <w:sz w:val="18"/>
                <w:szCs w:val="18"/>
                <w:color w:val="auto"/>
              </w:rPr>
            </w:pPr>
          </w:p>
        </w:tc>
        <w:tc>
          <w:tcPr>
            <w:tcW w:w="306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w w:val="87"/>
              </w:rPr>
              <w:t>months ended</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months ended</w:t>
            </w:r>
          </w:p>
        </w:tc>
      </w:tr>
      <w:tr>
        <w:trPr>
          <w:trHeight w:val="233"/>
        </w:trPr>
        <w:tc>
          <w:tcPr>
            <w:tcW w:w="4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r>
      <w:tr>
        <w:trPr>
          <w:trHeight w:val="271"/>
        </w:trPr>
        <w:tc>
          <w:tcPr>
            <w:tcW w:w="48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3"/>
                <w:szCs w:val="23"/>
                <w:color w:val="auto"/>
              </w:rPr>
            </w:pPr>
          </w:p>
        </w:tc>
        <w:tc>
          <w:tcPr>
            <w:tcW w:w="1040" w:type="dxa"/>
            <w:vAlign w:val="bottom"/>
          </w:tcPr>
          <w:p>
            <w:pPr>
              <w:jc w:val="center"/>
              <w:ind w:right="90"/>
              <w:spacing w:after="0" w:line="271" w:lineRule="exact"/>
              <w:rPr>
                <w:sz w:val="20"/>
                <w:szCs w:val="20"/>
                <w:color w:val="auto"/>
              </w:rPr>
            </w:pPr>
            <w:r>
              <w:rPr>
                <w:rFonts w:ascii="Arial" w:cs="Arial" w:eastAsia="Arial" w:hAnsi="Arial"/>
                <w:sz w:val="18"/>
                <w:szCs w:val="18"/>
                <w:b w:val="1"/>
                <w:bCs w:val="1"/>
                <w:color w:val="auto"/>
                <w:w w:val="83"/>
              </w:rPr>
              <w:t xml:space="preserve">2015 </w:t>
            </w:r>
            <w:r>
              <w:rPr>
                <w:rFonts w:ascii="Arial" w:cs="Arial" w:eastAsia="Arial" w:hAnsi="Arial"/>
                <w:sz w:val="30"/>
                <w:szCs w:val="30"/>
                <w:b w:val="1"/>
                <w:bCs w:val="1"/>
                <w:color w:val="auto"/>
                <w:w w:val="83"/>
                <w:vertAlign w:val="superscript"/>
              </w:rPr>
              <w:t>(1)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par amount of contract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r>
    </w:tbl>
    <w:p>
      <w:pPr>
        <w:spacing w:after="0" w:line="202" w:lineRule="exact"/>
        <w:rPr>
          <w:sz w:val="20"/>
          <w:szCs w:val="20"/>
          <w:color w:val="auto"/>
        </w:rPr>
      </w:pPr>
    </w:p>
    <w:p>
      <w:pPr>
        <w:ind w:left="5620" w:right="5140" w:hanging="5288"/>
        <w:spacing w:after="0" w:line="906" w:lineRule="auto"/>
        <w:tabs>
          <w:tab w:leader="none" w:pos="6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calculated from period of TRS inception, March 27 to June 30, 2015.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TRS reference assets as of June 30, 2015 (dollars in thousands):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Capitala Senior Liquid Loan Fund I, LLC Loan Portfolio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w:t>
            </w:r>
          </w:p>
        </w:tc>
        <w:tc>
          <w:tcPr>
            <w:tcW w:w="1360" w:type="dxa"/>
            <w:vAlign w:val="bottom"/>
          </w:tcPr>
          <w:p>
            <w:pPr>
              <w:spacing w:after="0"/>
              <w:rPr>
                <w:sz w:val="20"/>
                <w:szCs w:val="20"/>
                <w:color w:val="auto"/>
              </w:rPr>
            </w:pPr>
            <w:r>
              <w:rPr>
                <w:rFonts w:ascii="Arial" w:cs="Arial" w:eastAsia="Arial" w:hAnsi="Arial"/>
                <w:sz w:val="13"/>
                <w:szCs w:val="13"/>
                <w:b w:val="1"/>
                <w:bCs w:val="1"/>
                <w:color w:val="auto"/>
              </w:rPr>
              <w:t>Business Description</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Security Type</w:t>
            </w:r>
          </w:p>
        </w:tc>
        <w:tc>
          <w:tcPr>
            <w:tcW w:w="1140" w:type="dxa"/>
            <w:vAlign w:val="bottom"/>
          </w:tcPr>
          <w:p>
            <w:pPr>
              <w:spacing w:after="0"/>
              <w:rPr>
                <w:sz w:val="20"/>
                <w:szCs w:val="20"/>
                <w:color w:val="auto"/>
              </w:rPr>
            </w:pPr>
            <w:r>
              <w:rPr>
                <w:rFonts w:ascii="Arial" w:cs="Arial" w:eastAsia="Arial" w:hAnsi="Arial"/>
                <w:sz w:val="13"/>
                <w:szCs w:val="13"/>
                <w:b w:val="1"/>
                <w:bCs w:val="1"/>
                <w:color w:val="auto"/>
              </w:rPr>
              <w:t>Maturity Date</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w w:val="89"/>
              </w:rPr>
              <w:t xml:space="preserve">Current Interest Rate </w:t>
            </w:r>
            <w:r>
              <w:rPr>
                <w:rFonts w:ascii="Arial" w:cs="Arial" w:eastAsia="Arial" w:hAnsi="Arial"/>
                <w:sz w:val="20"/>
                <w:szCs w:val="20"/>
                <w:b w:val="1"/>
                <w:bCs w:val="1"/>
                <w:color w:val="auto"/>
                <w:w w:val="89"/>
                <w:vertAlign w:val="superscript"/>
              </w:rPr>
              <w:t>(2)</w:t>
            </w:r>
          </w:p>
        </w:tc>
        <w:tc>
          <w:tcPr>
            <w:tcW w:w="1220" w:type="dxa"/>
            <w:vAlign w:val="bottom"/>
            <w:gridSpan w:val="4"/>
          </w:tcPr>
          <w:p>
            <w:pPr>
              <w:ind w:left="80"/>
              <w:spacing w:after="0"/>
              <w:rPr>
                <w:sz w:val="20"/>
                <w:szCs w:val="20"/>
                <w:color w:val="auto"/>
              </w:rPr>
            </w:pPr>
            <w:r>
              <w:rPr>
                <w:rFonts w:ascii="Arial" w:cs="Arial" w:eastAsia="Arial" w:hAnsi="Arial"/>
                <w:sz w:val="13"/>
                <w:szCs w:val="13"/>
                <w:b w:val="1"/>
                <w:bCs w:val="1"/>
                <w:color w:val="auto"/>
              </w:rPr>
              <w:t>Principal</w:t>
            </w:r>
          </w:p>
        </w:tc>
        <w:tc>
          <w:tcPr>
            <w:tcW w:w="13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7"/>
              </w:rPr>
              <w:t xml:space="preserve">Initial Notional Cost </w:t>
            </w:r>
            <w:r>
              <w:rPr>
                <w:rFonts w:ascii="Arial" w:cs="Arial" w:eastAsia="Arial" w:hAnsi="Arial"/>
                <w:sz w:val="20"/>
                <w:szCs w:val="20"/>
                <w:b w:val="1"/>
                <w:bCs w:val="1"/>
                <w:color w:val="auto"/>
                <w:w w:val="87"/>
                <w:vertAlign w:val="superscript"/>
              </w:rPr>
              <w:t>(3)</w:t>
            </w:r>
          </w:p>
        </w:tc>
        <w:tc>
          <w:tcPr>
            <w:tcW w:w="10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0"/>
                <w:szCs w:val="20"/>
                <w:b w:val="1"/>
                <w:bCs w:val="1"/>
                <w:color w:val="auto"/>
                <w:w w:val="97"/>
                <w:vertAlign w:val="superscript"/>
              </w:rPr>
              <w:t>(1)</w:t>
            </w:r>
          </w:p>
        </w:tc>
        <w:tc>
          <w:tcPr>
            <w:tcW w:w="1300" w:type="dxa"/>
            <w:vAlign w:val="bottom"/>
            <w:gridSpan w:val="5"/>
          </w:tcPr>
          <w:p>
            <w:pPr>
              <w:spacing w:after="0"/>
              <w:rPr>
                <w:sz w:val="20"/>
                <w:szCs w:val="20"/>
                <w:color w:val="auto"/>
              </w:rPr>
            </w:pPr>
            <w:r>
              <w:rPr>
                <w:rFonts w:ascii="Arial" w:cs="Arial" w:eastAsia="Arial" w:hAnsi="Arial"/>
                <w:sz w:val="13"/>
                <w:szCs w:val="13"/>
                <w:b w:val="1"/>
                <w:bCs w:val="1"/>
                <w:color w:val="auto"/>
                <w:w w:val="90"/>
              </w:rPr>
              <w:t>Unrealized Gain/(Loss)</w:t>
            </w:r>
          </w:p>
        </w:tc>
        <w:tc>
          <w:tcPr>
            <w:tcW w:w="0" w:type="dxa"/>
            <w:vAlign w:val="bottom"/>
          </w:tcPr>
          <w:p>
            <w:pPr>
              <w:spacing w:after="0"/>
              <w:rPr>
                <w:sz w:val="1"/>
                <w:szCs w:val="1"/>
                <w:color w:val="auto"/>
              </w:rPr>
            </w:pPr>
          </w:p>
        </w:tc>
      </w:tr>
      <w:tr>
        <w:trPr>
          <w:trHeight w:val="114"/>
        </w:trPr>
        <w:tc>
          <w:tcPr>
            <w:tcW w:w="12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8"/>
              </w:rPr>
              <w:t>21st Century Oncology,</w:t>
            </w:r>
          </w:p>
        </w:tc>
        <w:tc>
          <w:tcPr>
            <w:tcW w:w="8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7"/>
              </w:rPr>
              <w:t>Healthcare, Education and</w:t>
            </w:r>
          </w:p>
        </w:tc>
        <w:tc>
          <w:tcPr>
            <w:tcW w:w="8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+ 5.5%,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ABG Intermediate</w:t>
            </w: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83" w:lineRule="exact"/>
              <w:rPr>
                <w:sz w:val="20"/>
                <w:szCs w:val="20"/>
                <w:color w:val="auto"/>
              </w:rPr>
            </w:pPr>
            <w:r>
              <w:rPr>
                <w:rFonts w:ascii="Arial" w:cs="Arial" w:eastAsia="Arial" w:hAnsi="Arial"/>
                <w:sz w:val="13"/>
                <w:szCs w:val="13"/>
                <w:color w:val="auto"/>
              </w:rPr>
              <w:t xml:space="preserve">Holdings 2, LLC </w:t>
            </w:r>
            <w:r>
              <w:rPr>
                <w:rFonts w:ascii="Arial" w:cs="Arial" w:eastAsia="Arial" w:hAnsi="Arial"/>
                <w:sz w:val="20"/>
                <w:szCs w:val="20"/>
                <w:color w:val="auto"/>
                <w:vertAlign w:val="superscript"/>
              </w:rPr>
              <w:t>(4)</w:t>
            </w:r>
          </w:p>
        </w:tc>
        <w:tc>
          <w:tcPr>
            <w:tcW w:w="1360" w:type="dxa"/>
            <w:vAlign w:val="bottom"/>
          </w:tcPr>
          <w:p>
            <w:pPr>
              <w:spacing w:after="0"/>
              <w:rPr>
                <w:sz w:val="20"/>
                <w:szCs w:val="20"/>
                <w:color w:val="auto"/>
              </w:rPr>
            </w:pPr>
            <w:r>
              <w:rPr>
                <w:rFonts w:ascii="Arial" w:cs="Arial" w:eastAsia="Arial" w:hAnsi="Arial"/>
                <w:sz w:val="13"/>
                <w:szCs w:val="13"/>
                <w:color w:val="auto"/>
              </w:rPr>
              <w:t>Textiles and Leather</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May, 2021</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1,996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1,976</w:t>
            </w: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American Rock Salt</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Mining, Steel, Iron and</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LLC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Non Precious Metals</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May, 2021</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+ 3.75%,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1,995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Anchor Glass</w:t>
            </w:r>
          </w:p>
        </w:tc>
        <w:tc>
          <w:tcPr>
            <w:tcW w:w="1360" w:type="dxa"/>
            <w:vAlign w:val="bottom"/>
            <w:vMerge w:val="restart"/>
          </w:tcPr>
          <w:p>
            <w:pPr>
              <w:spacing w:after="0"/>
              <w:rPr>
                <w:sz w:val="20"/>
                <w:szCs w:val="20"/>
                <w:color w:val="auto"/>
              </w:rPr>
            </w:pPr>
            <w:r>
              <w:rPr>
                <w:rFonts w:ascii="Arial" w:cs="Arial" w:eastAsia="Arial" w:hAnsi="Arial"/>
                <w:sz w:val="13"/>
                <w:szCs w:val="13"/>
                <w:color w:val="auto"/>
                <w:w w:val="85"/>
              </w:rPr>
              <w:t>Containers, Packaging and</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00" w:type="dxa"/>
            <w:vAlign w:val="bottom"/>
            <w:gridSpan w:val="2"/>
            <w:vMerge w:val="restart"/>
          </w:tcPr>
          <w:p>
            <w:pPr>
              <w:spacing w:after="0" w:line="183" w:lineRule="exact"/>
              <w:rPr>
                <w:sz w:val="20"/>
                <w:szCs w:val="20"/>
                <w:color w:val="auto"/>
              </w:rPr>
            </w:pPr>
            <w:r>
              <w:rPr>
                <w:rFonts w:ascii="Arial" w:cs="Arial" w:eastAsia="Arial" w:hAnsi="Arial"/>
                <w:sz w:val="13"/>
                <w:szCs w:val="13"/>
                <w:color w:val="auto"/>
              </w:rPr>
              <w:t xml:space="preserve">Container Corp </w:t>
            </w:r>
            <w:r>
              <w:rPr>
                <w:rFonts w:ascii="Arial" w:cs="Arial" w:eastAsia="Arial" w:hAnsi="Arial"/>
                <w:sz w:val="20"/>
                <w:szCs w:val="20"/>
                <w:color w:val="auto"/>
                <w:vertAlign w:val="superscript"/>
              </w:rPr>
              <w:t>(4)</w:t>
            </w:r>
          </w:p>
        </w:tc>
        <w:tc>
          <w:tcPr>
            <w:tcW w:w="13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Glass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+ 3.75%,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500</w:t>
            </w:r>
          </w:p>
        </w:tc>
        <w:tc>
          <w:tcPr>
            <w:tcW w:w="1340" w:type="dxa"/>
            <w:vAlign w:val="bottom"/>
            <w:gridSpan w:val="3"/>
          </w:tcPr>
          <w:p>
            <w:pPr>
              <w:jc w:val="right"/>
              <w:ind w:right="100"/>
              <w:spacing w:after="0"/>
              <w:rPr>
                <w:sz w:val="20"/>
                <w:szCs w:val="20"/>
                <w:color w:val="auto"/>
              </w:rPr>
            </w:pPr>
            <w:r>
              <w:rPr>
                <w:rFonts w:ascii="Arial" w:cs="Arial" w:eastAsia="Arial" w:hAnsi="Arial"/>
                <w:sz w:val="13"/>
                <w:szCs w:val="13"/>
                <w:color w:val="auto"/>
              </w:rPr>
              <w:t>498</w:t>
            </w:r>
          </w:p>
        </w:tc>
        <w:tc>
          <w:tcPr>
            <w:tcW w:w="1060" w:type="dxa"/>
            <w:vAlign w:val="bottom"/>
            <w:gridSpan w:val="4"/>
          </w:tcPr>
          <w:p>
            <w:pPr>
              <w:jc w:val="right"/>
              <w:ind w:right="80"/>
              <w:spacing w:after="0"/>
              <w:rPr>
                <w:sz w:val="20"/>
                <w:szCs w:val="20"/>
                <w:color w:val="auto"/>
              </w:rPr>
            </w:pPr>
            <w:r>
              <w:rPr>
                <w:rFonts w:ascii="Arial" w:cs="Arial" w:eastAsia="Arial" w:hAnsi="Arial"/>
                <w:sz w:val="13"/>
                <w:szCs w:val="13"/>
                <w:color w:val="auto"/>
              </w:rPr>
              <w:t>500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Aspen Dental</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Management, Inc.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Bass Pro Group, LLC</w:t>
            </w:r>
          </w:p>
        </w:tc>
        <w:tc>
          <w:tcPr>
            <w:tcW w:w="1360" w:type="dxa"/>
            <w:vAlign w:val="bottom"/>
          </w:tcPr>
          <w:p>
            <w:pPr>
              <w:spacing w:after="0" w:line="135" w:lineRule="exact"/>
              <w:rPr>
                <w:sz w:val="20"/>
                <w:szCs w:val="20"/>
                <w:color w:val="auto"/>
              </w:rPr>
            </w:pPr>
            <w:r>
              <w:rPr>
                <w:rFonts w:ascii="Arial" w:cs="Arial" w:eastAsia="Arial" w:hAnsi="Arial"/>
                <w:sz w:val="13"/>
                <w:szCs w:val="13"/>
                <w:color w:val="auto"/>
              </w:rPr>
              <w:t>Retail Stores</w:t>
            </w:r>
          </w:p>
        </w:tc>
        <w:tc>
          <w:tcPr>
            <w:tcW w:w="12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June, 2020</w:t>
            </w:r>
          </w:p>
        </w:tc>
        <w:tc>
          <w:tcPr>
            <w:tcW w:w="144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1"/>
              </w:rPr>
              <w:t>Libor + 3.25%, .75% floor</w:t>
            </w:r>
          </w:p>
        </w:tc>
        <w:tc>
          <w:tcPr>
            <w:tcW w:w="122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998</w:t>
            </w:r>
          </w:p>
        </w:tc>
        <w:tc>
          <w:tcPr>
            <w:tcW w:w="13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995</w:t>
            </w:r>
          </w:p>
        </w:tc>
        <w:tc>
          <w:tcPr>
            <w:tcW w:w="10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996</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 xml:space="preserve">Bioplan USA, Inc. </w:t>
            </w:r>
            <w:r>
              <w:rPr>
                <w:rFonts w:ascii="Arial" w:cs="Arial" w:eastAsia="Arial" w:hAnsi="Arial"/>
                <w:sz w:val="20"/>
                <w:szCs w:val="20"/>
                <w:color w:val="auto"/>
                <w:vertAlign w:val="superscript"/>
              </w:rPr>
              <w:t>(4)</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Diversified/Conglomerate</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vMerge w:val="continue"/>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Service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September, 2021</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+ 4.75%,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998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848</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850</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gridSpan w:val="3"/>
          </w:tcPr>
          <w:p>
            <w:pPr>
              <w:spacing w:after="0" w:line="135" w:lineRule="exact"/>
              <w:rPr>
                <w:sz w:val="20"/>
                <w:szCs w:val="20"/>
                <w:color w:val="auto"/>
              </w:rPr>
            </w:pPr>
            <w:r>
              <w:rPr>
                <w:rFonts w:ascii="Arial" w:cs="Arial" w:eastAsia="Arial" w:hAnsi="Arial"/>
                <w:sz w:val="13"/>
                <w:szCs w:val="13"/>
                <w:color w:val="auto"/>
              </w:rPr>
              <w:t>Blue Coat Systems, Inc.  Electronics</w:t>
            </w:r>
          </w:p>
        </w:tc>
        <w:tc>
          <w:tcPr>
            <w:tcW w:w="12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May, 2022</w:t>
            </w:r>
          </w:p>
        </w:tc>
        <w:tc>
          <w:tcPr>
            <w:tcW w:w="14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Libor + 3.5%, 1% floor</w:t>
            </w:r>
          </w:p>
        </w:tc>
        <w:tc>
          <w:tcPr>
            <w:tcW w:w="122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2,000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w:t>
            </w:r>
          </w:p>
        </w:tc>
        <w:tc>
          <w:tcPr>
            <w:tcW w:w="10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w w:val="98"/>
              </w:rPr>
              <w:t>Brock Holdings III, Inc.</w:t>
            </w: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w w:val="89"/>
              </w:rPr>
              <w:t>Buildings and Real Estate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March, 2017</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w w:val="96"/>
              </w:rPr>
              <w:t>CDS U.S. Intermediate</w:t>
            </w:r>
          </w:p>
        </w:tc>
        <w:tc>
          <w:tcPr>
            <w:tcW w:w="1360" w:type="dxa"/>
            <w:vAlign w:val="bottom"/>
            <w:vMerge w:val="restart"/>
          </w:tcPr>
          <w:p>
            <w:pPr>
              <w:spacing w:after="0"/>
              <w:rPr>
                <w:sz w:val="20"/>
                <w:szCs w:val="20"/>
                <w:color w:val="auto"/>
              </w:rPr>
            </w:pPr>
            <w:r>
              <w:rPr>
                <w:rFonts w:ascii="Arial" w:cs="Arial" w:eastAsia="Arial" w:hAnsi="Arial"/>
                <w:sz w:val="13"/>
                <w:szCs w:val="13"/>
                <w:color w:val="auto"/>
              </w:rPr>
              <w:t>Leisure, Amusement,</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00" w:type="dxa"/>
            <w:vAlign w:val="bottom"/>
            <w:gridSpan w:val="2"/>
            <w:vMerge w:val="restart"/>
          </w:tcPr>
          <w:p>
            <w:pPr>
              <w:spacing w:after="0" w:line="183" w:lineRule="exact"/>
              <w:rPr>
                <w:sz w:val="20"/>
                <w:szCs w:val="20"/>
                <w:color w:val="auto"/>
              </w:rPr>
            </w:pPr>
            <w:r>
              <w:rPr>
                <w:rFonts w:ascii="Arial" w:cs="Arial" w:eastAsia="Arial" w:hAnsi="Arial"/>
                <w:sz w:val="13"/>
                <w:szCs w:val="13"/>
                <w:color w:val="auto"/>
              </w:rPr>
              <w:t xml:space="preserve">Holdings, Inc. </w:t>
            </w:r>
            <w:r>
              <w:rPr>
                <w:rFonts w:ascii="Arial" w:cs="Arial" w:eastAsia="Arial" w:hAnsi="Arial"/>
                <w:sz w:val="20"/>
                <w:szCs w:val="20"/>
                <w:color w:val="auto"/>
                <w:vertAlign w:val="superscript"/>
              </w:rPr>
              <w:t>(4)</w:t>
            </w:r>
          </w:p>
        </w:tc>
        <w:tc>
          <w:tcPr>
            <w:tcW w:w="13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Entertainment</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July,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+ 4.25%,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1,000</w:t>
            </w:r>
          </w:p>
        </w:tc>
        <w:tc>
          <w:tcPr>
            <w:tcW w:w="1340" w:type="dxa"/>
            <w:vAlign w:val="bottom"/>
            <w:gridSpan w:val="3"/>
          </w:tcPr>
          <w:p>
            <w:pPr>
              <w:jc w:val="right"/>
              <w:ind w:right="100"/>
              <w:spacing w:after="0"/>
              <w:rPr>
                <w:sz w:val="20"/>
                <w:szCs w:val="20"/>
                <w:color w:val="auto"/>
              </w:rPr>
            </w:pPr>
            <w:r>
              <w:rPr>
                <w:rFonts w:ascii="Arial" w:cs="Arial" w:eastAsia="Arial" w:hAnsi="Arial"/>
                <w:sz w:val="13"/>
                <w:szCs w:val="13"/>
                <w:color w:val="auto"/>
              </w:rPr>
              <w:t>998</w:t>
            </w:r>
          </w:p>
        </w:tc>
        <w:tc>
          <w:tcPr>
            <w:tcW w:w="1060" w:type="dxa"/>
            <w:vAlign w:val="bottom"/>
            <w:gridSpan w:val="4"/>
          </w:tcPr>
          <w:p>
            <w:pPr>
              <w:jc w:val="right"/>
              <w:ind w:right="80"/>
              <w:spacing w:after="0"/>
              <w:rPr>
                <w:sz w:val="20"/>
                <w:szCs w:val="20"/>
                <w:color w:val="auto"/>
              </w:rPr>
            </w:pPr>
            <w:r>
              <w:rPr>
                <w:rFonts w:ascii="Arial" w:cs="Arial" w:eastAsia="Arial" w:hAnsi="Arial"/>
                <w:sz w:val="13"/>
                <w:szCs w:val="13"/>
                <w:color w:val="auto"/>
              </w:rPr>
              <w:t>999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Communications Sales</w:t>
            </w: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&amp; Leasing, Inc.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Finance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October,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+ 4.0%,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3"/>
                <w:szCs w:val="13"/>
                <w:color w:val="auto"/>
              </w:rPr>
              <w:t>Concordia Healthcare</w:t>
            </w:r>
          </w:p>
        </w:tc>
        <w:tc>
          <w:tcPr>
            <w:tcW w:w="1360" w:type="dxa"/>
            <w:vAlign w:val="bottom"/>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rPr>
                <w:sz w:val="20"/>
                <w:szCs w:val="20"/>
                <w:color w:val="auto"/>
              </w:rPr>
            </w:pPr>
            <w:r>
              <w:rPr>
                <w:rFonts w:ascii="Arial" w:cs="Arial" w:eastAsia="Arial" w:hAnsi="Arial"/>
                <w:sz w:val="13"/>
                <w:szCs w:val="13"/>
                <w:color w:val="auto"/>
              </w:rPr>
              <w:t>Corp</w:t>
            </w:r>
          </w:p>
        </w:tc>
        <w:tc>
          <w:tcPr>
            <w:tcW w:w="1360" w:type="dxa"/>
            <w:vAlign w:val="bottom"/>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+ 3.75%,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1,492</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1,503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5"/>
              </w:rPr>
              <w:t>Convatec Healthcare E</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June, 2020</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+ 3.25%,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3"/>
                <w:szCs w:val="13"/>
                <w:color w:val="auto"/>
              </w:rPr>
              <w:t>Emerging Markets</w:t>
            </w: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00" w:type="dxa"/>
            <w:vAlign w:val="bottom"/>
            <w:gridSpan w:val="2"/>
          </w:tcPr>
          <w:p>
            <w:pPr>
              <w:spacing w:after="0" w:line="143" w:lineRule="exact"/>
              <w:rPr>
                <w:sz w:val="20"/>
                <w:szCs w:val="20"/>
                <w:color w:val="auto"/>
              </w:rPr>
            </w:pPr>
            <w:r>
              <w:rPr>
                <w:rFonts w:ascii="Arial" w:cs="Arial" w:eastAsia="Arial" w:hAnsi="Arial"/>
                <w:sz w:val="13"/>
                <w:szCs w:val="13"/>
                <w:color w:val="auto"/>
              </w:rPr>
              <w:t>Communications, LLC</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Telecommunications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June, 2021</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+ 4.25%,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2,462</w:t>
            </w: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2,419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5"/>
              </w:rPr>
              <w:t>Eresearch Technology,</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May,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2,491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3"/>
                <w:szCs w:val="13"/>
                <w:color w:val="auto"/>
              </w:rPr>
              <w:t>Genoa Healthcare</w:t>
            </w:r>
          </w:p>
        </w:tc>
        <w:tc>
          <w:tcPr>
            <w:tcW w:w="1360" w:type="dxa"/>
            <w:vAlign w:val="bottom"/>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rPr>
                <w:sz w:val="20"/>
                <w:szCs w:val="20"/>
                <w:color w:val="auto"/>
              </w:rPr>
            </w:pPr>
            <w:r>
              <w:rPr>
                <w:rFonts w:ascii="Arial" w:cs="Arial" w:eastAsia="Arial" w:hAnsi="Arial"/>
                <w:sz w:val="13"/>
                <w:szCs w:val="13"/>
                <w:color w:val="auto"/>
              </w:rPr>
              <w:t>Group, LLC</w:t>
            </w:r>
          </w:p>
        </w:tc>
        <w:tc>
          <w:tcPr>
            <w:tcW w:w="1360" w:type="dxa"/>
            <w:vAlign w:val="bottom"/>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May,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+ 3.5%,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1,997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w w:val="96"/>
              </w:rPr>
              <w:t>Infiltrator Systems, Inc.</w:t>
            </w:r>
          </w:p>
        </w:tc>
        <w:tc>
          <w:tcPr>
            <w:tcW w:w="13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85"/>
              </w:rPr>
              <w:t>Containers, Packaging and</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Glass</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May,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+ 4.25%,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Informatica</w:t>
            </w: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83" w:lineRule="exact"/>
              <w:rPr>
                <w:sz w:val="20"/>
                <w:szCs w:val="20"/>
                <w:color w:val="auto"/>
              </w:rPr>
            </w:pPr>
            <w:r>
              <w:rPr>
                <w:rFonts w:ascii="Arial" w:cs="Arial" w:eastAsia="Arial" w:hAnsi="Arial"/>
                <w:sz w:val="13"/>
                <w:szCs w:val="13"/>
                <w:color w:val="auto"/>
              </w:rPr>
              <w:t xml:space="preserve">Corporation </w:t>
            </w:r>
            <w:r>
              <w:rPr>
                <w:rFonts w:ascii="Arial" w:cs="Arial" w:eastAsia="Arial" w:hAnsi="Arial"/>
                <w:sz w:val="20"/>
                <w:szCs w:val="20"/>
                <w:color w:val="auto"/>
                <w:vertAlign w:val="superscript"/>
              </w:rPr>
              <w:t>(4)</w:t>
            </w:r>
          </w:p>
        </w:tc>
        <w:tc>
          <w:tcPr>
            <w:tcW w:w="1360" w:type="dxa"/>
            <w:vAlign w:val="bottom"/>
          </w:tcPr>
          <w:p>
            <w:pPr>
              <w:spacing w:after="0"/>
              <w:rPr>
                <w:sz w:val="20"/>
                <w:szCs w:val="20"/>
                <w:color w:val="auto"/>
              </w:rPr>
            </w:pPr>
            <w:r>
              <w:rPr>
                <w:rFonts w:ascii="Arial" w:cs="Arial" w:eastAsia="Arial" w:hAnsi="Arial"/>
                <w:sz w:val="13"/>
                <w:szCs w:val="13"/>
                <w:color w:val="auto"/>
              </w:rPr>
              <w:t>Electronics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+ 3.5%,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2,495</w:t>
            </w: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2,494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Integra Telecom, Inc.</w:t>
            </w: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Telecommunications</w:t>
            </w:r>
          </w:p>
        </w:tc>
        <w:tc>
          <w:tcPr>
            <w:tcW w:w="12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February, 2020</w:t>
            </w:r>
          </w:p>
        </w:tc>
        <w:tc>
          <w:tcPr>
            <w:tcW w:w="14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98"/>
              </w:rPr>
              <w:t>Libor + 4.25%, 1% floor</w:t>
            </w:r>
          </w:p>
        </w:tc>
        <w:tc>
          <w:tcPr>
            <w:tcW w:w="122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2,992</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2,977</w:t>
            </w:r>
          </w:p>
        </w:tc>
        <w:tc>
          <w:tcPr>
            <w:tcW w:w="10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2,972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JILL Holdings, LLC</w:t>
            </w:r>
          </w:p>
        </w:tc>
        <w:tc>
          <w:tcPr>
            <w:tcW w:w="1360" w:type="dxa"/>
            <w:vAlign w:val="bottom"/>
          </w:tcPr>
          <w:p>
            <w:pPr>
              <w:spacing w:after="0" w:line="135" w:lineRule="exact"/>
              <w:rPr>
                <w:sz w:val="20"/>
                <w:szCs w:val="20"/>
                <w:color w:val="auto"/>
              </w:rPr>
            </w:pPr>
            <w:r>
              <w:rPr>
                <w:rFonts w:ascii="Arial" w:cs="Arial" w:eastAsia="Arial" w:hAnsi="Arial"/>
                <w:sz w:val="13"/>
                <w:szCs w:val="13"/>
                <w:color w:val="auto"/>
              </w:rPr>
              <w:t>Retail Stores</w:t>
            </w:r>
          </w:p>
        </w:tc>
        <w:tc>
          <w:tcPr>
            <w:tcW w:w="12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May, 2020</w:t>
            </w:r>
          </w:p>
        </w:tc>
        <w:tc>
          <w:tcPr>
            <w:tcW w:w="14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Libor + 5.0%, 1% floor</w:t>
            </w:r>
          </w:p>
        </w:tc>
        <w:tc>
          <w:tcPr>
            <w:tcW w:w="122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2,000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1,990</w:t>
            </w:r>
          </w:p>
        </w:tc>
        <w:tc>
          <w:tcPr>
            <w:tcW w:w="10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LS Deco, LLC </w:t>
            </w:r>
            <w:r>
              <w:rPr>
                <w:rFonts w:ascii="Arial" w:cs="Arial" w:eastAsia="Arial" w:hAnsi="Arial"/>
                <w:sz w:val="20"/>
                <w:szCs w:val="20"/>
                <w:color w:val="auto"/>
                <w:vertAlign w:val="superscript"/>
              </w:rPr>
              <w:t>(4)</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w w:val="89"/>
              </w:rPr>
              <w:t>Buildings and Real Estate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May,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LTF Merger Sub, Inc.</w:t>
            </w:r>
          </w:p>
        </w:tc>
        <w:tc>
          <w:tcPr>
            <w:tcW w:w="1360" w:type="dxa"/>
            <w:vAlign w:val="bottom"/>
          </w:tcPr>
          <w:p>
            <w:pPr>
              <w:spacing w:after="0" w:line="128" w:lineRule="exact"/>
              <w:rPr>
                <w:sz w:val="20"/>
                <w:szCs w:val="20"/>
                <w:color w:val="auto"/>
              </w:rPr>
            </w:pPr>
            <w:r>
              <w:rPr>
                <w:rFonts w:ascii="Arial" w:cs="Arial" w:eastAsia="Arial" w:hAnsi="Arial"/>
                <w:sz w:val="13"/>
                <w:szCs w:val="13"/>
                <w:color w:val="auto"/>
              </w:rPr>
              <w:t>Leisure, Amusement,</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Entertainment</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+ 3.25%,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1,495</w:t>
            </w: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1,488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95"/>
              </w:rPr>
              <w:t>Minerals Technologies,</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Diversified Natural</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vMerge w:val="continue"/>
            <w:shd w:val="clear" w:color="auto" w:fill="CCEEFF"/>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Resources, Precious</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8"/>
                <w:szCs w:val="18"/>
                <w:color w:val="auto"/>
                <w:vertAlign w:val="superscript"/>
              </w:rPr>
              <w:t>(4)</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Metals and Minerals</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May, 2021</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6"/>
              </w:rPr>
              <w:t>Libor + 3.0%, .75%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Mitel Networks Corp</w:t>
            </w:r>
          </w:p>
        </w:tc>
        <w:tc>
          <w:tcPr>
            <w:tcW w:w="1360" w:type="dxa"/>
            <w:vAlign w:val="bottom"/>
          </w:tcPr>
          <w:p>
            <w:pPr>
              <w:spacing w:after="0" w:line="135" w:lineRule="exact"/>
              <w:rPr>
                <w:sz w:val="20"/>
                <w:szCs w:val="20"/>
                <w:color w:val="auto"/>
              </w:rPr>
            </w:pPr>
            <w:r>
              <w:rPr>
                <w:rFonts w:ascii="Arial" w:cs="Arial" w:eastAsia="Arial" w:hAnsi="Arial"/>
                <w:sz w:val="13"/>
                <w:szCs w:val="13"/>
                <w:color w:val="auto"/>
              </w:rPr>
              <w:t>Telecommunications</w:t>
            </w:r>
          </w:p>
        </w:tc>
        <w:tc>
          <w:tcPr>
            <w:tcW w:w="12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April, 2022</w:t>
            </w:r>
          </w:p>
        </w:tc>
        <w:tc>
          <w:tcPr>
            <w:tcW w:w="14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Libor + 4.0%, 1% floor</w:t>
            </w:r>
          </w:p>
        </w:tc>
        <w:tc>
          <w:tcPr>
            <w:tcW w:w="122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3,000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2,970</w:t>
            </w:r>
          </w:p>
        </w:tc>
        <w:tc>
          <w:tcPr>
            <w:tcW w:w="10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3,015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MJ Acquisition Corp</w:t>
            </w:r>
          </w:p>
        </w:tc>
        <w:tc>
          <w:tcPr>
            <w:tcW w:w="13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87"/>
              </w:rPr>
              <w:t>Healthcare, Education and</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+ 3.0%,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998</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998</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3"/>
                <w:szCs w:val="13"/>
                <w:color w:val="auto"/>
              </w:rPr>
              <w:t>Mohegan Tribal</w:t>
            </w:r>
          </w:p>
        </w:tc>
        <w:tc>
          <w:tcPr>
            <w:tcW w:w="1360" w:type="dxa"/>
            <w:vAlign w:val="bottom"/>
          </w:tcPr>
          <w:p>
            <w:pPr>
              <w:spacing w:after="0" w:line="121" w:lineRule="exact"/>
              <w:rPr>
                <w:sz w:val="20"/>
                <w:szCs w:val="20"/>
                <w:color w:val="auto"/>
              </w:rPr>
            </w:pPr>
            <w:r>
              <w:rPr>
                <w:rFonts w:ascii="Arial" w:cs="Arial" w:eastAsia="Arial" w:hAnsi="Arial"/>
                <w:sz w:val="13"/>
                <w:szCs w:val="13"/>
                <w:color w:val="auto"/>
              </w:rPr>
              <w:t>Leisure, Amusement,</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rPr>
                <w:sz w:val="20"/>
                <w:szCs w:val="20"/>
                <w:color w:val="auto"/>
              </w:rPr>
            </w:pPr>
            <w:r>
              <w:rPr>
                <w:rFonts w:ascii="Arial" w:cs="Arial" w:eastAsia="Arial" w:hAnsi="Arial"/>
                <w:sz w:val="13"/>
                <w:szCs w:val="13"/>
                <w:color w:val="auto"/>
              </w:rPr>
              <w:t>Gaming Authority</w:t>
            </w:r>
          </w:p>
        </w:tc>
        <w:tc>
          <w:tcPr>
            <w:tcW w:w="1360" w:type="dxa"/>
            <w:vAlign w:val="bottom"/>
          </w:tcPr>
          <w:p>
            <w:pPr>
              <w:spacing w:after="0"/>
              <w:rPr>
                <w:sz w:val="20"/>
                <w:szCs w:val="20"/>
                <w:color w:val="auto"/>
              </w:rPr>
            </w:pPr>
            <w:r>
              <w:rPr>
                <w:rFonts w:ascii="Arial" w:cs="Arial" w:eastAsia="Arial" w:hAnsi="Arial"/>
                <w:sz w:val="13"/>
                <w:szCs w:val="13"/>
                <w:color w:val="auto"/>
              </w:rPr>
              <w:t>Entertainment</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November, 2019</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1,995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1,992</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1,982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Navios Maritime</w:t>
            </w: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0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w w:val="93"/>
              </w:rPr>
              <w:t>Midstream Partners, LP</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Cargo Transport</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June, 2020</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line="121" w:lineRule="exact"/>
              <w:rPr>
                <w:sz w:val="20"/>
                <w:szCs w:val="20"/>
                <w:color w:val="auto"/>
              </w:rPr>
            </w:pPr>
            <w:r>
              <w:rPr>
                <w:rFonts w:ascii="Arial" w:cs="Arial" w:eastAsia="Arial" w:hAnsi="Arial"/>
                <w:sz w:val="13"/>
                <w:szCs w:val="13"/>
                <w:color w:val="auto"/>
              </w:rPr>
              <w:t>Mining, Steel, Iron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rPr>
                <w:sz w:val="20"/>
                <w:szCs w:val="20"/>
                <w:color w:val="auto"/>
              </w:rPr>
            </w:pPr>
            <w:r>
              <w:rPr>
                <w:rFonts w:ascii="Arial" w:cs="Arial" w:eastAsia="Arial" w:hAnsi="Arial"/>
                <w:sz w:val="13"/>
                <w:szCs w:val="13"/>
                <w:color w:val="auto"/>
              </w:rPr>
              <w:t>Novelis, Inc.</w:t>
            </w:r>
          </w:p>
        </w:tc>
        <w:tc>
          <w:tcPr>
            <w:tcW w:w="1360" w:type="dxa"/>
            <w:vAlign w:val="bottom"/>
          </w:tcPr>
          <w:p>
            <w:pPr>
              <w:spacing w:after="0"/>
              <w:rPr>
                <w:sz w:val="20"/>
                <w:szCs w:val="20"/>
                <w:color w:val="auto"/>
              </w:rPr>
            </w:pPr>
            <w:r>
              <w:rPr>
                <w:rFonts w:ascii="Arial" w:cs="Arial" w:eastAsia="Arial" w:hAnsi="Arial"/>
                <w:sz w:val="13"/>
                <w:szCs w:val="13"/>
                <w:color w:val="auto"/>
              </w:rPr>
              <w:t>Non Precious Metals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1"/>
              </w:rPr>
              <w:t>Libor + 3.25%, .75%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2,488</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2,486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Penn Products</w:t>
            </w: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Terminals, LLC</w:t>
            </w: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Cargo Transport</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+ 3.75%,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748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744</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750</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w w:val="96"/>
              </w:rPr>
              <w:t>Securus Technologies,</w:t>
            </w: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83"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(4)</w:t>
            </w:r>
          </w:p>
        </w:tc>
        <w:tc>
          <w:tcPr>
            <w:tcW w:w="1360" w:type="dxa"/>
            <w:vAlign w:val="bottom"/>
          </w:tcPr>
          <w:p>
            <w:pPr>
              <w:spacing w:after="0"/>
              <w:rPr>
                <w:sz w:val="20"/>
                <w:szCs w:val="20"/>
                <w:color w:val="auto"/>
              </w:rPr>
            </w:pPr>
            <w:r>
              <w:rPr>
                <w:rFonts w:ascii="Arial" w:cs="Arial" w:eastAsia="Arial" w:hAnsi="Arial"/>
                <w:sz w:val="13"/>
                <w:szCs w:val="13"/>
                <w:color w:val="auto"/>
              </w:rPr>
              <w:t>Telecommunications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April, 2020</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8"/>
              </w:rPr>
              <w:t>Libor + 4.25%,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1,980</w:t>
            </w: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Skillsoft Corporation</w:t>
            </w: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Electronics</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April, 2021</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+ 4.75%,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3"/>
                <w:szCs w:val="13"/>
                <w:color w:val="auto"/>
              </w:rPr>
              <w:t>Sterigenics-Nordion</w:t>
            </w:r>
          </w:p>
        </w:tc>
        <w:tc>
          <w:tcPr>
            <w:tcW w:w="1360" w:type="dxa"/>
            <w:vAlign w:val="bottom"/>
          </w:tcPr>
          <w:p>
            <w:pPr>
              <w:spacing w:after="0" w:line="121" w:lineRule="exact"/>
              <w:rPr>
                <w:sz w:val="20"/>
                <w:szCs w:val="20"/>
                <w:color w:val="auto"/>
              </w:rPr>
            </w:pPr>
            <w:r>
              <w:rPr>
                <w:rFonts w:ascii="Arial" w:cs="Arial" w:eastAsia="Arial" w:hAnsi="Arial"/>
                <w:sz w:val="13"/>
                <w:szCs w:val="13"/>
                <w:color w:val="auto"/>
                <w:w w:val="87"/>
              </w:rPr>
              <w:t>Healthcare, Education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rPr>
                <w:sz w:val="20"/>
                <w:szCs w:val="20"/>
                <w:color w:val="auto"/>
              </w:rPr>
            </w:pPr>
            <w:r>
              <w:rPr>
                <w:rFonts w:ascii="Arial" w:cs="Arial" w:eastAsia="Arial" w:hAnsi="Arial"/>
                <w:sz w:val="13"/>
                <w:szCs w:val="13"/>
                <w:color w:val="auto"/>
              </w:rPr>
              <w:t>Holdings, LLC</w:t>
            </w:r>
          </w:p>
        </w:tc>
        <w:tc>
          <w:tcPr>
            <w:tcW w:w="1360" w:type="dxa"/>
            <w:vAlign w:val="bottom"/>
          </w:tcPr>
          <w:p>
            <w:pPr>
              <w:spacing w:after="0"/>
              <w:rPr>
                <w:sz w:val="20"/>
                <w:szCs w:val="20"/>
                <w:color w:val="auto"/>
              </w:rPr>
            </w:pPr>
            <w:r>
              <w:rPr>
                <w:rFonts w:ascii="Arial" w:cs="Arial" w:eastAsia="Arial" w:hAnsi="Arial"/>
                <w:sz w:val="13"/>
                <w:szCs w:val="13"/>
                <w:color w:val="auto"/>
              </w:rPr>
              <w:t>Childcare</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May,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+ 4.5%,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2,000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1,995</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1,995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STG-Fairway</w:t>
            </w:r>
          </w:p>
        </w:tc>
        <w:tc>
          <w:tcPr>
            <w:tcW w:w="13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1"/>
              </w:rPr>
              <w:t>Diversified/Conglomerate</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00" w:type="dxa"/>
            <w:vAlign w:val="bottom"/>
            <w:gridSpan w:val="2"/>
            <w:vMerge w:val="restart"/>
            <w:shd w:val="clear" w:color="auto" w:fill="CCEEFF"/>
          </w:tcPr>
          <w:p>
            <w:pPr>
              <w:spacing w:after="0" w:line="183" w:lineRule="exact"/>
              <w:rPr>
                <w:sz w:val="20"/>
                <w:szCs w:val="20"/>
                <w:color w:val="auto"/>
              </w:rPr>
            </w:pPr>
            <w:r>
              <w:rPr>
                <w:rFonts w:ascii="Arial" w:cs="Arial" w:eastAsia="Arial" w:hAnsi="Arial"/>
                <w:sz w:val="13"/>
                <w:szCs w:val="13"/>
                <w:color w:val="auto"/>
              </w:rPr>
              <w:t xml:space="preserve">Acquisitions, Inc </w:t>
            </w:r>
            <w:r>
              <w:rPr>
                <w:rFonts w:ascii="Arial" w:cs="Arial" w:eastAsia="Arial" w:hAnsi="Arial"/>
                <w:sz w:val="20"/>
                <w:szCs w:val="20"/>
                <w:color w:val="auto"/>
                <w:vertAlign w:val="superscript"/>
              </w:rPr>
              <w:t>(4)</w:t>
            </w:r>
          </w:p>
        </w:tc>
        <w:tc>
          <w:tcPr>
            <w:tcW w:w="136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gridSpan w:val="2"/>
            <w:vMerge w:val="continue"/>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Service</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+ 5.25%,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3,000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Tekni-Plex</w:t>
            </w:r>
          </w:p>
        </w:tc>
        <w:tc>
          <w:tcPr>
            <w:tcW w:w="1360" w:type="dxa"/>
            <w:vAlign w:val="bottom"/>
            <w:vMerge w:val="restart"/>
          </w:tcPr>
          <w:p>
            <w:pPr>
              <w:spacing w:after="0"/>
              <w:rPr>
                <w:sz w:val="20"/>
                <w:szCs w:val="20"/>
                <w:color w:val="auto"/>
              </w:rPr>
            </w:pPr>
            <w:r>
              <w:rPr>
                <w:rFonts w:ascii="Arial" w:cs="Arial" w:eastAsia="Arial" w:hAnsi="Arial"/>
                <w:sz w:val="13"/>
                <w:szCs w:val="13"/>
                <w:color w:val="auto"/>
                <w:w w:val="85"/>
              </w:rPr>
              <w:t>Containers, Packaging and</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00" w:type="dxa"/>
            <w:vAlign w:val="bottom"/>
            <w:gridSpan w:val="2"/>
            <w:vMerge w:val="restart"/>
          </w:tcPr>
          <w:p>
            <w:pPr>
              <w:spacing w:after="0" w:line="183" w:lineRule="exact"/>
              <w:rPr>
                <w:sz w:val="20"/>
                <w:szCs w:val="20"/>
                <w:color w:val="auto"/>
              </w:rPr>
            </w:pPr>
            <w:r>
              <w:rPr>
                <w:rFonts w:ascii="Arial" w:cs="Arial" w:eastAsia="Arial" w:hAnsi="Arial"/>
                <w:sz w:val="13"/>
                <w:szCs w:val="13"/>
                <w:color w:val="auto"/>
              </w:rPr>
              <w:t xml:space="preserve">Incorporated </w:t>
            </w:r>
            <w:r>
              <w:rPr>
                <w:rFonts w:ascii="Arial" w:cs="Arial" w:eastAsia="Arial" w:hAnsi="Arial"/>
                <w:sz w:val="20"/>
                <w:szCs w:val="20"/>
                <w:color w:val="auto"/>
                <w:vertAlign w:val="superscript"/>
              </w:rPr>
              <w:t>(4)</w:t>
            </w:r>
          </w:p>
        </w:tc>
        <w:tc>
          <w:tcPr>
            <w:tcW w:w="13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Glass</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April, 2022</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Libor + 3.5%, 1%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2,500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2,487</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2,500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3"/>
              </w:rPr>
              <w:t>Touchtunes Music Corp</w:t>
            </w: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Electronics</w:t>
            </w:r>
          </w:p>
        </w:tc>
        <w:tc>
          <w:tcPr>
            <w:tcW w:w="12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May, 2022</w:t>
            </w:r>
          </w:p>
        </w:tc>
        <w:tc>
          <w:tcPr>
            <w:tcW w:w="14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98"/>
              </w:rPr>
              <w:t>Libor + 4.75%, 1% floor</w:t>
            </w:r>
          </w:p>
        </w:tc>
        <w:tc>
          <w:tcPr>
            <w:tcW w:w="122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1,500</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1,499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gridSpan w:val="2"/>
          </w:tcPr>
          <w:p>
            <w:pPr>
              <w:spacing w:after="0" w:line="128" w:lineRule="exact"/>
              <w:rPr>
                <w:sz w:val="20"/>
                <w:szCs w:val="20"/>
                <w:color w:val="auto"/>
              </w:rPr>
            </w:pPr>
            <w:r>
              <w:rPr>
                <w:rFonts w:ascii="Arial" w:cs="Arial" w:eastAsia="Arial" w:hAnsi="Arial"/>
                <w:sz w:val="13"/>
                <w:szCs w:val="13"/>
                <w:color w:val="auto"/>
              </w:rPr>
              <w:t>TWCC Holding Corp</w:t>
            </w:r>
          </w:p>
        </w:tc>
        <w:tc>
          <w:tcPr>
            <w:tcW w:w="1360" w:type="dxa"/>
            <w:vAlign w:val="bottom"/>
          </w:tcPr>
          <w:p>
            <w:pPr>
              <w:spacing w:after="0" w:line="128" w:lineRule="exact"/>
              <w:rPr>
                <w:sz w:val="20"/>
                <w:szCs w:val="20"/>
                <w:color w:val="auto"/>
              </w:rPr>
            </w:pPr>
            <w:r>
              <w:rPr>
                <w:rFonts w:ascii="Arial" w:cs="Arial" w:eastAsia="Arial" w:hAnsi="Arial"/>
                <w:sz w:val="13"/>
                <w:szCs w:val="13"/>
                <w:color w:val="auto"/>
              </w:rPr>
              <w:t>Broadcasting &amp;</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Entertainment</w:t>
            </w:r>
          </w:p>
        </w:tc>
        <w:tc>
          <w:tcPr>
            <w:tcW w:w="1260" w:type="dxa"/>
            <w:vAlign w:val="bottom"/>
            <w:gridSpan w:val="3"/>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tcPr>
          <w:p>
            <w:pPr>
              <w:spacing w:after="0"/>
              <w:rPr>
                <w:sz w:val="20"/>
                <w:szCs w:val="20"/>
                <w:color w:val="auto"/>
              </w:rPr>
            </w:pPr>
            <w:r>
              <w:rPr>
                <w:rFonts w:ascii="Arial" w:cs="Arial" w:eastAsia="Arial" w:hAnsi="Arial"/>
                <w:sz w:val="13"/>
                <w:szCs w:val="13"/>
                <w:color w:val="auto"/>
              </w:rPr>
              <w:t>February, 2020</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6"/>
              </w:rPr>
              <w:t>Libor + 5.0%, .75% floor</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color w:val="auto"/>
              </w:rPr>
              <w:t>1,995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1,966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 xml:space="preserve">Zep, Inc. </w:t>
            </w:r>
            <w:r>
              <w:rPr>
                <w:rFonts w:ascii="Arial" w:cs="Arial" w:eastAsia="Arial" w:hAnsi="Arial"/>
                <w:sz w:val="20"/>
                <w:szCs w:val="20"/>
                <w:color w:val="auto"/>
                <w:vertAlign w:val="superscript"/>
              </w:rPr>
              <w:t>(4)</w:t>
            </w:r>
          </w:p>
        </w:tc>
        <w:tc>
          <w:tcPr>
            <w:tcW w:w="1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7"/>
              </w:rPr>
              <w:t>Personal and Non Durable</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300" w:type="dxa"/>
            <w:vAlign w:val="bottom"/>
            <w:gridSpan w:val="2"/>
            <w:vMerge w:val="continue"/>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Senior Loan</w:t>
            </w: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June, 2022</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Libor + 4.75%, 1% floor</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67,717</w:t>
            </w:r>
          </w:p>
        </w:tc>
        <w:tc>
          <w:tcPr>
            <w:tcW w:w="180" w:type="dxa"/>
            <w:vAlign w:val="bottom"/>
          </w:tcPr>
          <w:p>
            <w:pPr>
              <w:spacing w:after="0"/>
              <w:rPr>
                <w:sz w:val="12"/>
                <w:szCs w:val="12"/>
                <w:color w:val="auto"/>
              </w:rPr>
            </w:pPr>
          </w:p>
        </w:tc>
        <w:tc>
          <w:tcPr>
            <w:tcW w:w="12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67,128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67,163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gridSpan w:val="3"/>
            <w:shd w:val="clear" w:color="auto" w:fill="CCEEFF"/>
          </w:tcPr>
          <w:p>
            <w:pPr>
              <w:ind w:left="40"/>
              <w:spacing w:after="0" w:line="129" w:lineRule="exact"/>
              <w:rPr>
                <w:sz w:val="20"/>
                <w:szCs w:val="20"/>
                <w:color w:val="auto"/>
              </w:rPr>
            </w:pPr>
            <w:r>
              <w:rPr>
                <w:rFonts w:ascii="Arial" w:cs="Arial" w:eastAsia="Arial" w:hAnsi="Arial"/>
                <w:sz w:val="13"/>
                <w:szCs w:val="13"/>
                <w:color w:val="auto"/>
              </w:rPr>
              <w:t>Total Accrued Interest, net of expenses</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gridSpan w:val="3"/>
          </w:tcPr>
          <w:p>
            <w:pPr>
              <w:ind w:left="40"/>
              <w:spacing w:after="0" w:line="129" w:lineRule="exact"/>
              <w:rPr>
                <w:sz w:val="20"/>
                <w:szCs w:val="20"/>
                <w:color w:val="auto"/>
              </w:rPr>
            </w:pPr>
            <w:r>
              <w:rPr>
                <w:rFonts w:ascii="Arial" w:cs="Arial" w:eastAsia="Arial" w:hAnsi="Arial"/>
                <w:sz w:val="13"/>
                <w:szCs w:val="13"/>
                <w:color w:val="auto"/>
              </w:rPr>
              <w:t>Total unrealized appreciation on TRS</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w:t>
            </w: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initial amount of par on the investment in which the TRS is referenced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referenced asset is unsettled as of June 30, 2015</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certain summarized financial information for CSLLF as of June 30, 2015 and December 31, 2015 and for the three and six months ended June 30,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Selected Statements of Assets and Liabilities Information (unaudited):</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1357"/>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June 30, 2015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1"/>
              </w:rPr>
              <w:t>December 31, 2014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Total Return Swap</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57"/>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held as collateral on Total Return Swap</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Non-collateral cash and cash equivalents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Receivable due on Total Return Swap</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35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81"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9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19,070</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Selected Statement of Operations Information (unaudited):</w:t>
            </w: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Arial" w:cs="Arial" w:eastAsia="Arial" w:hAnsi="Arial"/>
                <w:sz w:val="18"/>
                <w:szCs w:val="18"/>
                <w:b w:val="1"/>
                <w:bCs w:val="1"/>
                <w:color w:val="auto"/>
                <w:w w:val="92"/>
              </w:rPr>
              <w:t>For the three months ended June 30</w:t>
            </w:r>
          </w:p>
        </w:tc>
        <w:tc>
          <w:tcPr>
            <w:tcW w:w="120" w:type="dxa"/>
            <w:vAlign w:val="bottom"/>
          </w:tcPr>
          <w:p>
            <w:pPr>
              <w:spacing w:after="0"/>
              <w:rPr>
                <w:sz w:val="24"/>
                <w:szCs w:val="24"/>
                <w:color w:val="auto"/>
              </w:rPr>
            </w:pPr>
          </w:p>
        </w:tc>
        <w:tc>
          <w:tcPr>
            <w:tcW w:w="2800" w:type="dxa"/>
            <w:vAlign w:val="bottom"/>
            <w:gridSpan w:val="9"/>
          </w:tcPr>
          <w:p>
            <w:pPr>
              <w:ind w:left="6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385"/>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Operating Loss</w:t>
            </w: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Total Return Swap</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unrealized appreciation on Total Return Swap</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IN NET ASSETS RESULTING FROM OPERATIONS</w:t>
            </w: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CION/Capitala Senior Liquid Loan Fund I, LLC</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June 24, 2015, the Company formed a joint venture with CION Investment Corporation (“CION”), to create CION/Capitala Senior Liquid Loan Fund I, LLC (“CCSLLF”). The joint venture is expected to invest primarily in senior secured loans to broadly syndicated and larger middle-market companies.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and CION have committed to provide an aggregate of $50 million of equity to the joint venture, with the Company providing $10 million and CION providing $40 million. In addition, CCSLLF is in negotiations to obtain third party asset-level financing. As of June 30, 2015, neither the Company nor CION have made an initial capital call to CCSLLF. As such, CCSLLF generated no net income for the three and six month periods ended June 30, 2015 and holds no assets as of June 30, 2015. The Company and CION intend to begin funding the portfolio with new investments during the third quarter of 2015.</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a practical expedient, the Company will use NAV to value its investment in CCSLLF. Because our investment in CCSLLF is not redeemable without restriction, the fair value of CCSLLF will be classified as a level 3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Disclosed, But Not Carried, At Fair Value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the level of each financial liability within the fair value hierarchy (dollars in thousands):</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116,660</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116,660</w:t>
            </w: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the level of each financial liability within the fair value hierarchy (dollars in thousands):</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115,479</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115,479</w:t>
            </w: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estimated fair value of the Notes was based on the closing price as of the measurement date as the Notes are traded on the New York Stock Exchange under the ticker “CLA.”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80" w:firstLine="881"/>
        <w:spacing w:after="0" w:line="273" w:lineRule="auto"/>
        <w:rPr>
          <w:sz w:val="20"/>
          <w:szCs w:val="20"/>
          <w:color w:val="auto"/>
        </w:rPr>
      </w:pPr>
      <w:r>
        <w:rPr>
          <w:rFonts w:ascii="Arial" w:cs="Arial" w:eastAsia="Arial" w:hAnsi="Arial"/>
          <w:sz w:val="17"/>
          <w:szCs w:val="17"/>
          <w:color w:val="auto"/>
        </w:rPr>
        <w:t>On September 24, 2013, the Company entered into an initial investment advisory agreement (the “Investment Advisory Agreement”) with our Investment Advisor, which was initially approved by the Board of Directors of the Company on June 10, 2013. The Investment Advisory Agreement was re-approved by the Board of Directors of the Company on August 6, 2015. The initial term of the Investment Advisory Agreement is two years, with automatic, one-year renewals at the end of each year subject to certain approvals by our Board and/or our stockholders.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178" w:lineRule="exact"/>
        <w:rPr>
          <w:sz w:val="20"/>
          <w:szCs w:val="20"/>
          <w:color w:val="auto"/>
        </w:rPr>
      </w:pPr>
    </w:p>
    <w:p>
      <w:pPr>
        <w:ind w:left="1720" w:right="300" w:hanging="564"/>
        <w:spacing w:after="0" w:line="277"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1720" w:right="160" w:hanging="564"/>
        <w:spacing w:after="0" w:line="277"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14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220" w:firstLine="881"/>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our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3"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69" w:lineRule="exact"/>
        <w:rPr>
          <w:sz w:val="20"/>
          <w:szCs w:val="20"/>
          <w:color w:val="auto"/>
        </w:rPr>
      </w:pPr>
    </w:p>
    <w:p>
      <w:pPr>
        <w:ind w:left="1720" w:right="380" w:hanging="564"/>
        <w:spacing w:after="0" w:line="277"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 (8.0% annualized);</w:t>
      </w:r>
    </w:p>
    <w:p>
      <w:pPr>
        <w:spacing w:after="0" w:line="170" w:lineRule="exact"/>
        <w:rPr>
          <w:rFonts w:ascii="Arial" w:cs="Arial" w:eastAsia="Arial" w:hAnsi="Arial"/>
          <w:sz w:val="18"/>
          <w:szCs w:val="18"/>
          <w:color w:val="auto"/>
        </w:rPr>
      </w:pPr>
    </w:p>
    <w:p>
      <w:pPr>
        <w:ind w:left="1720" w:right="180" w:hanging="564"/>
        <w:spacing w:after="0" w:line="257"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1720" w:hanging="564"/>
        <w:spacing w:after="0" w:line="264"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54" w:lineRule="exact"/>
        <w:rPr>
          <w:sz w:val="20"/>
          <w:szCs w:val="20"/>
          <w:color w:val="auto"/>
        </w:rPr>
      </w:pPr>
    </w:p>
    <w:p>
      <w:pPr>
        <w:ind w:right="60" w:firstLine="881"/>
        <w:spacing w:after="0" w:line="293"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100" w:firstLine="881"/>
        <w:spacing w:after="0" w:line="312" w:lineRule="auto"/>
        <w:rPr>
          <w:sz w:val="20"/>
          <w:szCs w:val="20"/>
          <w:color w:val="auto"/>
        </w:rPr>
      </w:pPr>
      <w:r>
        <w:rPr>
          <w:rFonts w:ascii="Arial" w:cs="Arial" w:eastAsia="Arial" w:hAnsi="Arial"/>
          <w:sz w:val="16"/>
          <w:szCs w:val="16"/>
          <w:color w:val="auto"/>
        </w:rPr>
        <w:t>For the three months ended June 30, 2015 and 2014, we incurred $2.6 million and $2.3 million in base management fees, respectively. For the three months ended June 30, 2015 and 2014, our Investment Advisor waived fees of zero and $0.1 million, respectively. For the three months ended June 30, 2015 and 2014, we incurred $1.3 million and $1.4 million, respectively, in incentive fees related to pre-incentive fee net investment income.</w:t>
      </w:r>
    </w:p>
    <w:p>
      <w:pPr>
        <w:spacing w:after="0" w:line="147" w:lineRule="exact"/>
        <w:rPr>
          <w:sz w:val="20"/>
          <w:szCs w:val="20"/>
          <w:color w:val="auto"/>
        </w:rPr>
      </w:pPr>
    </w:p>
    <w:p>
      <w:pPr>
        <w:jc w:val="both"/>
        <w:ind w:right="180" w:firstLine="881"/>
        <w:spacing w:after="0" w:line="286" w:lineRule="auto"/>
        <w:rPr>
          <w:sz w:val="20"/>
          <w:szCs w:val="20"/>
          <w:color w:val="auto"/>
        </w:rPr>
      </w:pPr>
      <w:r>
        <w:rPr>
          <w:rFonts w:ascii="Arial" w:cs="Arial" w:eastAsia="Arial" w:hAnsi="Arial"/>
          <w:sz w:val="17"/>
          <w:szCs w:val="17"/>
          <w:color w:val="auto"/>
        </w:rPr>
        <w:t>For the six months ended June 30, 2015 and 2014, we incurred $5.0 million and $4.3 million in base management fees, respectively. For the six months ended June 30, 2015 and 2014, our Investment Advisor waived fees of zero and $0.2 million, respectively. For the six months ended June 30, 2015 and 2014, we incurred $2.5 million and $2.8 million, respectively, in incentive fees related to pre-incentive fee net investment income.</w:t>
      </w:r>
    </w:p>
    <w:p>
      <w:pPr>
        <w:spacing w:after="0" w:line="166"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On September 24, 2013, the Company entered into an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has an initial term of two years and may be renewed annually with the approval of our Board. On August 6, 2015,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97" w:lineRule="exact"/>
        <w:rPr>
          <w:sz w:val="20"/>
          <w:szCs w:val="20"/>
          <w:color w:val="auto"/>
        </w:rPr>
      </w:pPr>
    </w:p>
    <w:p>
      <w:pPr>
        <w:ind w:right="120" w:firstLine="881"/>
        <w:spacing w:after="0" w:line="312" w:lineRule="auto"/>
        <w:rPr>
          <w:sz w:val="20"/>
          <w:szCs w:val="20"/>
          <w:color w:val="auto"/>
        </w:rPr>
      </w:pPr>
      <w:r>
        <w:rPr>
          <w:rFonts w:ascii="Arial" w:cs="Arial" w:eastAsia="Arial" w:hAnsi="Arial"/>
          <w:sz w:val="16"/>
          <w:szCs w:val="16"/>
          <w:color w:val="auto"/>
        </w:rPr>
        <w:t>For the three and six months ended June 30, 2015, we paid our administrator $0.3 million and $0.6 million for our allocable portion of the Administrator’s overhead paid directly by and reimbursable to the Administrator. For the three and six months ended June 30, 2014, we paid our administrator $0.2 million and $0.5 million for our allocable portion of the Administrator’s overhead paid directly by and reimbursable to the Administrator.</w:t>
      </w:r>
    </w:p>
    <w:p>
      <w:pPr>
        <w:spacing w:after="0" w:line="147" w:lineRule="exact"/>
        <w:rPr>
          <w:sz w:val="20"/>
          <w:szCs w:val="20"/>
          <w:color w:val="auto"/>
        </w:rPr>
      </w:pPr>
    </w:p>
    <w:p>
      <w:pPr>
        <w:ind w:right="22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At June 30, 2015 and December 31, 2014, the Company had the following receivables from (payables to) related parties relating to management fees, incentive fees, and reimbursable expenses (dollars in thousands):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2015</w:t>
            </w:r>
          </w:p>
        </w:tc>
        <w:tc>
          <w:tcPr>
            <w:tcW w:w="10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 2014</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Shareholders/Limited Partners</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“Management and incentive fee payable” and “Due to related parties.”</w:t>
      </w:r>
    </w:p>
    <w:p>
      <w:pPr>
        <w:spacing w:after="0" w:line="170"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At times, the Company maintains deposit accounts and certificates of deposit with financial institutions that are shareholders of the Company. Total deposits with these financial institutions were approximately $31 thousand at December 31, 2014. There were no related party deposits outstanding at June 30,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60" w:firstLine="881"/>
        <w:spacing w:after="0" w:line="285" w:lineRule="auto"/>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 of its investment portfolio. As of June 30, 2015, the Company has issued $192.2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June 30, 2015, Fund II and Fund III had total assets of approximately $373.4 million. On June 10, 2014, the Company received an exemptive order from the SEC exempting the Company, Fund</w:t>
      </w:r>
    </w:p>
    <w:p>
      <w:pPr>
        <w:spacing w:after="0" w:line="2" w:lineRule="exact"/>
        <w:rPr>
          <w:sz w:val="20"/>
          <w:szCs w:val="20"/>
          <w:color w:val="auto"/>
        </w:rPr>
      </w:pPr>
    </w:p>
    <w:p>
      <w:pPr>
        <w:jc w:val="both"/>
        <w:ind w:right="600" w:firstLine="8"/>
        <w:spacing w:after="0" w:line="277" w:lineRule="auto"/>
        <w:tabs>
          <w:tab w:leader="none" w:pos="1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3"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For the three months ended June 30, 2015 and June 30, 2014, the Company recorded $2.1 million and $2.1 million, respectively, of interest, annual charges, and financing expenses related to the SBA guaranteed debentures, of which $1.9 million and $1.9 million, respectively, was attributable to interest expense and annual charges, and $0.2 million and $0.2 million, respectively, was attributable to amortization of commitment and upfront fees. For the six months ended June 30, 2015 and June 30, 2014, the Company recorded $4.1 million and $4.3 million, respectively, of interest, annual charges, and financing expenses related to the SBA guaranteed debentures, of which $3.8 million and $3.9 million, respectively, was attributable to interest expense and annual charges, and $0.3 million and $0.4 million, respectively, was attributable to amortization of commitment and upfront fees. The weighted average interest rate for all SBA-guaranteed debentures as of June 30, 2015 and December 31, 2014 was 3.51% and 3.51%, respectively. In addition to the stated interest rate, the SBA also charges an annual fee on all SBA-guaranteed debentures issued, which is included in the Company’s interest expense. The weighted average annual fee for all SBA-guaranteed debentures as of June 30, 2015 and December 31, 2014 was 0.48% and 0.48%, respectively.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June 30, 2015 and December 31, 2014,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w w:val="93"/>
              </w:rPr>
              <w:t>Interest Rate</w:t>
            </w:r>
          </w:p>
        </w:tc>
        <w:tc>
          <w:tcPr>
            <w:tcW w:w="24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SBA Annual Charge</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2015</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0"/>
        </w:trPr>
        <w:tc>
          <w:tcPr>
            <w:tcW w:w="3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2015</w:t>
            </w:r>
          </w:p>
        </w:tc>
        <w:tc>
          <w:tcPr>
            <w:tcW w:w="1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0.871%</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March 1, 2016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5.524%</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0.871%</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March 1, 2019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4.620%</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0.941%</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4.084%</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0.515%</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15,700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0.285%</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0.515%</w:t>
            </w:r>
          </w:p>
        </w:tc>
        <w:tc>
          <w:tcPr>
            <w:tcW w:w="3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187"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For the three and six months ended June 30, 2015, the Company has recorded $2.0 million and $4.0 million of interest expense and $0.1 million and $0.3 million of amortization of deferred financing costs related to the Notes, respectively.</w:t>
      </w:r>
    </w:p>
    <w:p>
      <w:pPr>
        <w:spacing w:after="0" w:line="170"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For the three and six months ended June 30, 2014, the Company has recorded $0.3 million of interest expense and $0.02 million of amortization of deferred financing costs related to the Notes,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 up to $50,000,000 and may be increased up to $150,000,000 pursuant to its “accordion” feature. The Credit Facility matures on October 17, 2018. On January 6, 2015, the Company entered into an Incremental Assumption Agreement, (the “Incremental Assumption Agreement”), relating to the Credit Facility. The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34" w:name="page35"/>
    <w:bookmarkEnd w:id="34"/>
    <w:p>
      <w:pPr>
        <w:ind w:right="20"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160" w:firstLine="881"/>
        <w:spacing w:after="0" w:line="342" w:lineRule="auto"/>
        <w:rPr>
          <w:sz w:val="20"/>
          <w:szCs w:val="20"/>
          <w:color w:val="auto"/>
        </w:rPr>
      </w:pPr>
      <w:r>
        <w:rPr>
          <w:rFonts w:ascii="Arial" w:cs="Arial" w:eastAsia="Arial" w:hAnsi="Arial"/>
          <w:sz w:val="16"/>
          <w:szCs w:val="16"/>
          <w:color w:val="auto"/>
        </w:rPr>
        <w:t>On April 14, 2015, the Company repaid the full $25.0 million balance outstanding on the Credit Facility, which included $15.0 million drawn at March 31, 2015, $10.0 million drawn on April 2, 2015, and accrued interest to date. There are no borrowings outstanding as of June 30, 2015.</w:t>
      </w:r>
    </w:p>
    <w:p>
      <w:pPr>
        <w:spacing w:after="0" w:line="124"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For the three months ended June 30, 2015, the Company recorded $28 thousand of interest expense, $0.2 million of amortization of deferred financing costs and $0.2 million of unused commitment fees related to the Credit Facility.</w:t>
      </w:r>
    </w:p>
    <w:p>
      <w:pPr>
        <w:spacing w:after="0" w:line="170"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For the six months ended June 30, 2015, the Company recorded $36 thousand of interest expense, $0.4 million of amortization of deferred financing costs and $0.5 million of unused commitment fees related to the Credit Facility.</w:t>
      </w:r>
    </w:p>
    <w:p>
      <w:pPr>
        <w:spacing w:after="0" w:line="170"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$237.9 million at June 30, 2015. As part of the terms of the Credit Facility, the Company may not make cash distributions with respect to any taxable year that exceed 110% (125% if the Company is not in default and its covered debt does not exceed 85% of the borrowing base) of the amounts required to be distributed to maintain eligibility as a RIC and to reduce the Company’s tax liability to zero for taxes imposed on its investment company taxable income and net capital gains.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229" w:lineRule="exact"/>
        <w:rPr>
          <w:sz w:val="20"/>
          <w:szCs w:val="20"/>
          <w:color w:val="auto"/>
        </w:rPr>
      </w:pPr>
    </w:p>
    <w:p>
      <w:pPr>
        <w:ind w:right="120" w:firstLine="881"/>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2015, the Company recognized director fee expense of $0.1 million and $0.2 million, respectively. For the three and six months ended June 30, 2014, the Company recognized director fee expense of $0.1 million and $0.2 million, respectively.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Summarized Financial Information of Our Unconsolidated Subsidiaries</w:t>
      </w:r>
    </w:p>
    <w:p>
      <w:pPr>
        <w:spacing w:after="0" w:line="229"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The Company holds a control interest, as defined by the 1940 Act, in three majority owned portfolio companies that are considered significant subsidiaries under the guidance in Regulation S-X, but are not consolidated in the Company’s consolidated financial statements. Below is a brief description of each portfolio company, along with summarized financial information as of June 30, 2015 and December 31, 2014, and for the six month periods ended June 30, 2015 and June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260" w:firstLine="881"/>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 fast food, retail, and other similar chains, throughout the United States. Print Direction, Inc. also provides warehousing and distribution services for these customers. The loss the Company generated from Print Direction, Inc., which includes all interest, dividends, PIK interest and dividends, fees, and unrealized depreciation, was $(0.9) million for the six months ended June 30, 2015. The income the Company generated from Print Direction, Inc., which includes all interest, dividends, PIK interest and dividends, fees, and unrealized depreciation, was $3.6 million for the six months ended June 30,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360" w:firstLine="881"/>
        <w:spacing w:after="0" w:line="31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$1.5 million and $2.8 million for the six months ended June 30, 2015 and June 30,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loss the Company generated from On-Site Fuel Service, Inc., which includes all interest, dividends, PIK interest and dividends, fees, and unrealized depreciation, was $(0.2) million for the six months ended June 30, 2015. The loss the Company generated from On-Site Fuel Service, Inc. which includes all interest, dividends, PIK interest and dividends, fees, and unrealized depreciation was ($2.2) million for the six months ended June 30, 2014.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707" w:gutter="0" w:footer="0" w:header="0"/>
        </w:sectPr>
      </w:pPr>
    </w:p>
    <w:bookmarkStart w:id="35" w:name="page36"/>
    <w:bookmarkEnd w:id="35"/>
    <w:p>
      <w:pPr>
        <w:ind w:left="880"/>
        <w:spacing w:after="0"/>
        <w:rPr>
          <w:sz w:val="20"/>
          <w:szCs w:val="20"/>
          <w:color w:val="auto"/>
        </w:rPr>
      </w:pPr>
      <w:r>
        <w:rPr>
          <w:rFonts w:ascii="Arial" w:cs="Arial" w:eastAsia="Arial" w:hAnsi="Arial"/>
          <w:sz w:val="18"/>
          <w:szCs w:val="18"/>
          <w:color w:val="auto"/>
        </w:rPr>
        <w:t>The summarized financial information of our unconsolidated subsidiaries is as follows (dollars in thousands):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2015</w:t>
            </w:r>
          </w:p>
        </w:tc>
        <w:tc>
          <w:tcPr>
            <w:tcW w:w="8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2014</w:t>
            </w:r>
          </w:p>
        </w:tc>
        <w:tc>
          <w:tcPr>
            <w:tcW w:w="80" w:type="dxa"/>
            <w:vAlign w:val="bottom"/>
          </w:tcPr>
          <w:p>
            <w:pPr>
              <w:spacing w:after="0"/>
              <w:rPr>
                <w:sz w:val="19"/>
                <w:szCs w:val="19"/>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5,439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5,346</w:t>
            </w:r>
          </w:p>
        </w:tc>
      </w:tr>
      <w:tr>
        <w:trPr>
          <w:trHeight w:val="223"/>
        </w:trPr>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14,580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14,510</w:t>
            </w:r>
          </w:p>
        </w:tc>
      </w:tr>
      <w:tr>
        <w:trPr>
          <w:trHeight w:val="223"/>
        </w:trPr>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(7,701)</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June 30, 2014</w:t>
            </w:r>
          </w:p>
        </w:tc>
        <w:tc>
          <w:tcPr>
            <w:tcW w:w="80" w:type="dxa"/>
            <w:vAlign w:val="bottom"/>
            <w:gridSpan w:val="2"/>
          </w:tcPr>
          <w:p>
            <w:pPr>
              <w:spacing w:after="0"/>
              <w:rPr>
                <w:sz w:val="19"/>
                <w:szCs w:val="19"/>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3,215</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4,611</w:t>
            </w:r>
          </w:p>
        </w:tc>
        <w:tc>
          <w:tcPr>
            <w:tcW w:w="60" w:type="dxa"/>
            <w:vAlign w:val="bottom"/>
          </w:tcPr>
          <w:p>
            <w:pPr>
              <w:spacing w:after="0"/>
              <w:rPr>
                <w:sz w:val="19"/>
                <w:szCs w:val="19"/>
                <w:color w:val="auto"/>
              </w:rPr>
            </w:pPr>
          </w:p>
        </w:tc>
      </w:tr>
      <w:tr>
        <w:trPr>
          <w:trHeight w:val="223"/>
        </w:trPr>
        <w:tc>
          <w:tcPr>
            <w:tcW w:w="7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3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9"/>
                <w:szCs w:val="19"/>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2015</w:t>
            </w:r>
          </w:p>
        </w:tc>
        <w:tc>
          <w:tcPr>
            <w:tcW w:w="8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2014</w:t>
            </w:r>
          </w:p>
        </w:tc>
        <w:tc>
          <w:tcPr>
            <w:tcW w:w="80" w:type="dxa"/>
            <w:vAlign w:val="bottom"/>
          </w:tcPr>
          <w:p>
            <w:pPr>
              <w:spacing w:after="0"/>
              <w:rPr>
                <w:sz w:val="19"/>
                <w:szCs w:val="19"/>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4,818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4,351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5,002</w:t>
            </w:r>
          </w:p>
        </w:tc>
      </w:tr>
      <w:tr>
        <w:trPr>
          <w:trHeight w:val="223"/>
        </w:trPr>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9,820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2,842</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3,179</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6,912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6,921</w:t>
            </w:r>
          </w:p>
        </w:tc>
      </w:tr>
      <w:tr>
        <w:trPr>
          <w:trHeight w:val="223"/>
        </w:trPr>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10,100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(280)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89"/>
              </w:rPr>
              <w:t>Six Months Ended</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85"/>
              </w:rPr>
              <w:t>June 30, 2014</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7,918</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4,839</w:t>
            </w:r>
          </w:p>
        </w:tc>
        <w:tc>
          <w:tcPr>
            <w:tcW w:w="6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4,691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90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2,427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6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6" w:name="page37"/>
    <w:bookmarkEnd w:id="36"/>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88"/>
              </w:rPr>
              <w:t>As of</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2600" w:type="dxa"/>
            <w:vAlign w:val="bottom"/>
            <w:gridSpan w:val="6"/>
          </w:tcPr>
          <w:p>
            <w:pPr>
              <w:spacing w:after="0"/>
              <w:rPr>
                <w:sz w:val="20"/>
                <w:szCs w:val="20"/>
                <w:color w:val="auto"/>
              </w:rPr>
            </w:pPr>
            <w:r>
              <w:rPr>
                <w:rFonts w:ascii="Arial" w:cs="Arial" w:eastAsia="Arial" w:hAnsi="Arial"/>
                <w:sz w:val="18"/>
                <w:szCs w:val="18"/>
                <w:b w:val="1"/>
                <w:bCs w:val="1"/>
                <w:color w:val="auto"/>
                <w:w w:val="90"/>
              </w:rPr>
              <w:t>June 30, 2015  December 31,2014</w:t>
            </w:r>
          </w:p>
        </w:tc>
        <w:tc>
          <w:tcPr>
            <w:tcW w:w="80" w:type="dxa"/>
            <w:vAlign w:val="bottom"/>
          </w:tcPr>
          <w:p>
            <w:pPr>
              <w:spacing w:after="0"/>
              <w:rPr>
                <w:sz w:val="19"/>
                <w:szCs w:val="19"/>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13,021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18,228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18,464</w:t>
            </w:r>
          </w:p>
        </w:tc>
      </w:tr>
      <w:tr>
        <w:trPr>
          <w:trHeight w:val="223"/>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31,485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10,656</w:t>
            </w:r>
          </w:p>
        </w:tc>
        <w:tc>
          <w:tcPr>
            <w:tcW w:w="7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12,439</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12,174</w:t>
            </w:r>
          </w:p>
        </w:tc>
      </w:tr>
      <w:tr>
        <w:trPr>
          <w:trHeight w:val="223"/>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24,613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4,468</w:t>
            </w:r>
          </w:p>
        </w:tc>
        <w:tc>
          <w:tcPr>
            <w:tcW w:w="7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6,872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Six Months Ended</w:t>
            </w: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June 30, 2014</w:t>
            </w:r>
          </w:p>
        </w:tc>
        <w:tc>
          <w:tcPr>
            <w:tcW w:w="80" w:type="dxa"/>
            <w:vAlign w:val="bottom"/>
            <w:gridSpan w:val="2"/>
          </w:tcPr>
          <w:p>
            <w:pPr>
              <w:spacing w:after="0"/>
              <w:rPr>
                <w:sz w:val="19"/>
                <w:szCs w:val="19"/>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110,211</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57,728</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104,868</w:t>
            </w:r>
          </w:p>
        </w:tc>
        <w:tc>
          <w:tcPr>
            <w:tcW w:w="60" w:type="dxa"/>
            <w:vAlign w:val="bottom"/>
          </w:tcPr>
          <w:p>
            <w:pPr>
              <w:spacing w:after="0"/>
              <w:rPr>
                <w:sz w:val="19"/>
                <w:szCs w:val="19"/>
                <w:color w:val="auto"/>
              </w:rPr>
            </w:pPr>
          </w:p>
        </w:tc>
      </w:tr>
      <w:tr>
        <w:trPr>
          <w:trHeight w:val="223"/>
        </w:trPr>
        <w:tc>
          <w:tcPr>
            <w:tcW w:w="7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3,569</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c>
          <w:tcPr>
            <w:tcW w:w="2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Public Offering</w:t>
      </w:r>
    </w:p>
    <w:p>
      <w:pPr>
        <w:spacing w:after="0" w:line="229"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300" w:firstLine="881"/>
        <w:spacing w:after="0" w:line="312" w:lineRule="auto"/>
        <w:rPr>
          <w:sz w:val="20"/>
          <w:szCs w:val="20"/>
          <w:color w:val="auto"/>
        </w:rPr>
      </w:pPr>
      <w:r>
        <w:rPr>
          <w:rFonts w:ascii="Arial" w:cs="Arial" w:eastAsia="Arial" w:hAnsi="Arial"/>
          <w:sz w:val="16"/>
          <w:szCs w:val="16"/>
          <w:color w:val="auto"/>
        </w:rPr>
        <w:t xml:space="preserve">In accordance with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June 30, 2015, there were no dilutive shares.</w:t>
      </w:r>
    </w:p>
    <w:p>
      <w:pPr>
        <w:spacing w:after="0" w:line="147" w:lineRule="exact"/>
        <w:rPr>
          <w:sz w:val="20"/>
          <w:szCs w:val="20"/>
          <w:color w:val="auto"/>
        </w:rPr>
      </w:pPr>
    </w:p>
    <w:p>
      <w:pPr>
        <w:ind w:right="700" w:firstLine="881"/>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three and six months ended June 30, 2015 and June 30, 2014 (dollars in thousands except share and per share data):</w:t>
      </w:r>
    </w:p>
    <w:p>
      <w:pPr>
        <w:spacing w:after="0" w:line="13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20"/>
                <w:szCs w:val="20"/>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2015</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2014</w:t>
            </w:r>
          </w:p>
        </w:tc>
        <w:tc>
          <w:tcPr>
            <w:tcW w:w="18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0"/>
              </w:rPr>
              <w:t>June 30, 2015</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2014</w:t>
            </w:r>
          </w:p>
        </w:tc>
        <w:tc>
          <w:tcPr>
            <w:tcW w:w="100" w:type="dxa"/>
            <w:vAlign w:val="bottom"/>
          </w:tcPr>
          <w:p>
            <w:pPr>
              <w:spacing w:after="0"/>
              <w:rPr>
                <w:sz w:val="19"/>
                <w:szCs w:val="19"/>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15,957,926</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12,974,420</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14,474,446</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12,974,420</w:t>
            </w:r>
          </w:p>
        </w:tc>
      </w:tr>
      <w:tr>
        <w:trPr>
          <w:trHeight w:val="202"/>
        </w:trPr>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increase in net assets per share from operations-basic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Company’s distributions are recorded as payable on the date declared. Shareholders have the option to receive payment of the distribution in cash, shares of common stock, or a combination of cash and common stock.</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37" w:name="page38"/>
    <w:bookmarkEnd w:id="37"/>
    <w:p>
      <w:pPr>
        <w:spacing w:after="0" w:line="46"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2015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Date Declared</w:t>
            </w:r>
          </w:p>
        </w:tc>
        <w:tc>
          <w:tcPr>
            <w:tcW w:w="2300" w:type="dxa"/>
            <w:vAlign w:val="bottom"/>
            <w:gridSpan w:val="3"/>
          </w:tcPr>
          <w:p>
            <w:pPr>
              <w:ind w:left="120"/>
              <w:spacing w:after="0"/>
              <w:rPr>
                <w:sz w:val="20"/>
                <w:szCs w:val="20"/>
                <w:color w:val="auto"/>
              </w:rPr>
            </w:pPr>
            <w:r>
              <w:rPr>
                <w:rFonts w:ascii="Arial" w:cs="Arial" w:eastAsia="Arial" w:hAnsi="Arial"/>
                <w:sz w:val="18"/>
                <w:szCs w:val="18"/>
                <w:b w:val="1"/>
                <w:bCs w:val="1"/>
                <w:color w:val="auto"/>
              </w:rPr>
              <w:t>Record Date</w:t>
            </w: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2015</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29, 2015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January 2, 2015</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February 20, 2015</w:t>
            </w:r>
          </w:p>
        </w:tc>
        <w:tc>
          <w:tcPr>
            <w:tcW w:w="220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2015</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30, 2015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 xml:space="preserve">March 23, 2015 </w:t>
            </w:r>
            <w:r>
              <w:rPr>
                <w:rFonts w:ascii="Arial" w:cs="Arial" w:eastAsia="Arial" w:hAnsi="Arial"/>
                <w:sz w:val="29"/>
                <w:szCs w:val="29"/>
                <w:color w:val="auto"/>
                <w:vertAlign w:val="superscript"/>
              </w:rPr>
              <w:t>(1)</w:t>
            </w:r>
          </w:p>
        </w:tc>
        <w:tc>
          <w:tcPr>
            <w:tcW w:w="2200" w:type="dxa"/>
            <w:vAlign w:val="bottom"/>
            <w:gridSpan w:val="2"/>
          </w:tcPr>
          <w:p>
            <w:pPr>
              <w:spacing w:after="0"/>
              <w:rPr>
                <w:sz w:val="20"/>
                <w:szCs w:val="20"/>
                <w:color w:val="auto"/>
              </w:rPr>
            </w:pPr>
            <w:r>
              <w:rPr>
                <w:rFonts w:ascii="Arial" w:cs="Arial" w:eastAsia="Arial" w:hAnsi="Arial"/>
                <w:sz w:val="18"/>
                <w:szCs w:val="18"/>
                <w:color w:val="auto"/>
              </w:rPr>
              <w:t>March 30,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5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April 23, 2015 </w:t>
            </w:r>
            <w:r>
              <w:rPr>
                <w:rFonts w:ascii="Arial" w:cs="Arial" w:eastAsia="Arial" w:hAnsi="Arial"/>
                <w:sz w:val="29"/>
                <w:szCs w:val="29"/>
                <w:color w:val="auto"/>
                <w:vertAlign w:val="superscript"/>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 xml:space="preserve">May 21, 2015 </w:t>
            </w:r>
            <w:r>
              <w:rPr>
                <w:rFonts w:ascii="Arial" w:cs="Arial" w:eastAsia="Arial" w:hAnsi="Arial"/>
                <w:sz w:val="29"/>
                <w:szCs w:val="29"/>
                <w:color w:val="auto"/>
                <w:vertAlign w:val="superscript"/>
              </w:rPr>
              <w:t>(1)</w:t>
            </w:r>
          </w:p>
        </w:tc>
        <w:tc>
          <w:tcPr>
            <w:tcW w:w="2200" w:type="dxa"/>
            <w:vAlign w:val="bottom"/>
            <w:gridSpan w:val="2"/>
          </w:tcPr>
          <w:p>
            <w:pPr>
              <w:spacing w:after="0"/>
              <w:rPr>
                <w:sz w:val="20"/>
                <w:szCs w:val="20"/>
                <w:color w:val="auto"/>
              </w:rPr>
            </w:pPr>
            <w:r>
              <w:rPr>
                <w:rFonts w:ascii="Arial" w:cs="Arial" w:eastAsia="Arial" w:hAnsi="Arial"/>
                <w:sz w:val="18"/>
                <w:szCs w:val="18"/>
                <w:color w:val="auto"/>
              </w:rPr>
              <w:t>May 28,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5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June 22, 2015 </w:t>
            </w:r>
            <w:r>
              <w:rPr>
                <w:rFonts w:ascii="Arial" w:cs="Arial" w:eastAsia="Arial" w:hAnsi="Arial"/>
                <w:sz w:val="29"/>
                <w:szCs w:val="29"/>
                <w:color w:val="auto"/>
                <w:vertAlign w:val="superscript"/>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 xml:space="preserve">July 23, 2015 </w:t>
            </w:r>
            <w:r>
              <w:rPr>
                <w:rFonts w:ascii="Arial" w:cs="Arial" w:eastAsia="Arial" w:hAnsi="Arial"/>
                <w:sz w:val="29"/>
                <w:szCs w:val="29"/>
                <w:color w:val="auto"/>
                <w:vertAlign w:val="superscript"/>
              </w:rPr>
              <w:t>(1)</w:t>
            </w:r>
          </w:p>
        </w:tc>
        <w:tc>
          <w:tcPr>
            <w:tcW w:w="2200" w:type="dxa"/>
            <w:vAlign w:val="bottom"/>
            <w:gridSpan w:val="2"/>
          </w:tcPr>
          <w:p>
            <w:pPr>
              <w:spacing w:after="0"/>
              <w:rPr>
                <w:sz w:val="20"/>
                <w:szCs w:val="20"/>
                <w:color w:val="auto"/>
              </w:rPr>
            </w:pPr>
            <w:r>
              <w:rPr>
                <w:rFonts w:ascii="Arial" w:cs="Arial" w:eastAsia="Arial" w:hAnsi="Arial"/>
                <w:sz w:val="18"/>
                <w:szCs w:val="18"/>
                <w:color w:val="auto"/>
              </w:rPr>
              <w:t>July 30,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August 21, 2015 </w:t>
            </w:r>
            <w:r>
              <w:rPr>
                <w:rFonts w:ascii="Arial" w:cs="Arial" w:eastAsia="Arial" w:hAnsi="Arial"/>
                <w:sz w:val="29"/>
                <w:szCs w:val="29"/>
                <w:color w:val="auto"/>
                <w:vertAlign w:val="superscript"/>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 xml:space="preserve">September 23, 2015 </w:t>
            </w:r>
            <w:r>
              <w:rPr>
                <w:rFonts w:ascii="Arial" w:cs="Arial" w:eastAsia="Arial" w:hAnsi="Arial"/>
                <w:sz w:val="29"/>
                <w:szCs w:val="29"/>
                <w:color w:val="auto"/>
                <w:vertAlign w:val="superscript"/>
              </w:rPr>
              <w:t>(1)</w:t>
            </w:r>
          </w:p>
        </w:tc>
        <w:tc>
          <w:tcPr>
            <w:tcW w:w="2200" w:type="dxa"/>
            <w:vAlign w:val="bottom"/>
            <w:gridSpan w:val="2"/>
          </w:tcPr>
          <w:p>
            <w:pPr>
              <w:spacing w:after="0"/>
              <w:rPr>
                <w:sz w:val="20"/>
                <w:szCs w:val="20"/>
                <w:color w:val="auto"/>
              </w:rPr>
            </w:pPr>
            <w:r>
              <w:rPr>
                <w:rFonts w:ascii="Arial" w:cs="Arial" w:eastAsia="Arial" w:hAnsi="Arial"/>
                <w:sz w:val="18"/>
                <w:szCs w:val="18"/>
                <w:color w:val="auto"/>
              </w:rPr>
              <w:t>September 29,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October 23, 2015 </w:t>
            </w:r>
            <w:r>
              <w:rPr>
                <w:rFonts w:ascii="Arial" w:cs="Arial" w:eastAsia="Arial" w:hAnsi="Arial"/>
                <w:sz w:val="29"/>
                <w:szCs w:val="29"/>
                <w:color w:val="auto"/>
                <w:vertAlign w:val="superscript"/>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 xml:space="preserve">November 20, 2015 </w:t>
            </w:r>
            <w:r>
              <w:rPr>
                <w:rFonts w:ascii="Arial" w:cs="Arial" w:eastAsia="Arial" w:hAnsi="Arial"/>
                <w:sz w:val="29"/>
                <w:szCs w:val="29"/>
                <w:color w:val="auto"/>
                <w:vertAlign w:val="superscript"/>
              </w:rPr>
              <w:t>(1)</w:t>
            </w:r>
          </w:p>
        </w:tc>
        <w:tc>
          <w:tcPr>
            <w:tcW w:w="2200" w:type="dxa"/>
            <w:vAlign w:val="bottom"/>
            <w:gridSpan w:val="2"/>
          </w:tcPr>
          <w:p>
            <w:pPr>
              <w:spacing w:after="0"/>
              <w:rPr>
                <w:sz w:val="20"/>
                <w:szCs w:val="20"/>
                <w:color w:val="auto"/>
              </w:rPr>
            </w:pPr>
            <w:r>
              <w:rPr>
                <w:rFonts w:ascii="Arial" w:cs="Arial" w:eastAsia="Arial" w:hAnsi="Arial"/>
                <w:sz w:val="18"/>
                <w:szCs w:val="18"/>
                <w:color w:val="auto"/>
              </w:rPr>
              <w:t>November 27,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December 22, 2015 </w:t>
            </w:r>
            <w:r>
              <w:rPr>
                <w:rFonts w:ascii="Arial" w:cs="Arial" w:eastAsia="Arial" w:hAnsi="Arial"/>
                <w:sz w:val="29"/>
                <w:szCs w:val="29"/>
                <w:color w:val="auto"/>
                <w:vertAlign w:val="superscript"/>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30,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April 1 , 2015</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April 23, 2015</w:t>
            </w:r>
          </w:p>
        </w:tc>
        <w:tc>
          <w:tcPr>
            <w:tcW w:w="2200" w:type="dxa"/>
            <w:vAlign w:val="bottom"/>
            <w:gridSpan w:val="2"/>
          </w:tcPr>
          <w:p>
            <w:pPr>
              <w:spacing w:after="0"/>
              <w:rPr>
                <w:sz w:val="20"/>
                <w:szCs w:val="20"/>
                <w:color w:val="auto"/>
              </w:rPr>
            </w:pPr>
            <w:r>
              <w:rPr>
                <w:rFonts w:ascii="Arial" w:cs="Arial" w:eastAsia="Arial" w:hAnsi="Arial"/>
                <w:sz w:val="18"/>
                <w:szCs w:val="18"/>
                <w:color w:val="auto"/>
              </w:rPr>
              <w:t>April 29, 2015</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April 1 , 2015</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21, 2015</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28, 2015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April 1 , 2015</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June 22, 2015</w:t>
            </w:r>
          </w:p>
        </w:tc>
        <w:tc>
          <w:tcPr>
            <w:tcW w:w="2200" w:type="dxa"/>
            <w:vAlign w:val="bottom"/>
            <w:gridSpan w:val="2"/>
          </w:tcPr>
          <w:p>
            <w:pPr>
              <w:spacing w:after="0"/>
              <w:rPr>
                <w:sz w:val="20"/>
                <w:szCs w:val="20"/>
                <w:color w:val="auto"/>
              </w:rPr>
            </w:pPr>
            <w:r>
              <w:rPr>
                <w:rFonts w:ascii="Arial" w:cs="Arial" w:eastAsia="Arial" w:hAnsi="Arial"/>
                <w:sz w:val="18"/>
                <w:szCs w:val="18"/>
                <w:color w:val="auto"/>
              </w:rPr>
              <w:t>June 29, 2015</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4,266</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6"/>
              </w:rPr>
              <w:t>Total distributions declared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February 26, 2015, the Company’s Board of Directors declared a special distribution of $0.50 per share of the Company’s common stock, to be paid monthly over the remainder of 2015.</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distribution declarations for the six months ended June 30, 2014:</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Record Date</w:t>
            </w:r>
          </w:p>
        </w:tc>
        <w:tc>
          <w:tcPr>
            <w:tcW w:w="2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26, 2014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May 8, 2014</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June 9, 2014</w:t>
            </w:r>
          </w:p>
        </w:tc>
        <w:tc>
          <w:tcPr>
            <w:tcW w:w="26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26, 2014</w:t>
            </w: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r>
      <w:tr>
        <w:trPr>
          <w:trHeight w:val="223"/>
        </w:trPr>
        <w:tc>
          <w:tcPr>
            <w:tcW w:w="3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6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94"/>
              </w:rPr>
              <w:t>Total Distributions Declared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Repurchase Program</w:t>
      </w:r>
    </w:p>
    <w:p>
      <w:pPr>
        <w:spacing w:after="0" w:line="229"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w:t>
      </w:r>
    </w:p>
    <w:p>
      <w:pPr>
        <w:spacing w:after="0" w:line="193"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color w:val="auto"/>
        </w:rPr>
        <w:t>During the six months ended June 30, 2015, the Company repurchased 224,602 shares of common stock in open market transactions for an aggregate cost (including transaction costs) of $3.9 million. Since the approval of the Plan, the Company has repurchased 224,602 shares of common stock in open market transactions for an aggregate cost (including transaction costs) of $3.9 million. As of June 30, 2015, none of these share repurchases were unsettled. The Company is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Highlights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is a schedule of financial highlights for the six months ended June 30, 2015 and 2014 (dollars in thousands, except share and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 data):</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June 30, 2015</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June 30, 2014</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20.71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realized gain on investments(1)</w:t>
            </w: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unrealized appreciation on investments(1)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(0.94)</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realized gains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Accretive impact of stock repurchase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60"/>
              <w:spacing w:after="0"/>
              <w:rPr>
                <w:sz w:val="20"/>
                <w:szCs w:val="20"/>
                <w:color w:val="auto"/>
              </w:rPr>
            </w:pPr>
            <w:r>
              <w:rPr>
                <w:rFonts w:ascii="Arial" w:cs="Arial" w:eastAsia="Arial" w:hAnsi="Arial"/>
                <w:sz w:val="18"/>
                <w:szCs w:val="18"/>
                <w:color w:val="auto"/>
              </w:rPr>
              <w:t>Other(8)</w:t>
            </w: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291,865</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263,904</w:t>
            </w:r>
          </w:p>
        </w:tc>
        <w:tc>
          <w:tcPr>
            <w:tcW w:w="22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16,262,391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12,974,420</w:t>
            </w:r>
          </w:p>
        </w:tc>
      </w:tr>
    </w:tbl>
    <w:p>
      <w:pPr>
        <w:sectPr>
          <w:pgSz w:w="11900" w:h="16884" w:orient="portrait"/>
          <w:cols w:equalWidth="0" w:num="1">
            <w:col w:w="11420"/>
          </w:cols>
          <w:pgMar w:left="240" w:top="881"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15.60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18.89</w:t>
            </w:r>
          </w:p>
        </w:tc>
        <w:tc>
          <w:tcPr>
            <w:tcW w:w="64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Ratio of incentive fee to average net assets(4)</w:t>
            </w:r>
          </w:p>
        </w:tc>
        <w:tc>
          <w:tcPr>
            <w:tcW w:w="7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4"/>
              </w:rPr>
              <w:t>Ratio of other operating expenses, net of management fee waiver to average net assets(4)(7)</w:t>
            </w:r>
          </w:p>
        </w:tc>
        <w:tc>
          <w:tcPr>
            <w:tcW w:w="7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assets(4)</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Portfolio turnover rate(3)</w:t>
            </w:r>
          </w:p>
        </w:tc>
        <w:tc>
          <w:tcPr>
            <w:tcW w:w="7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outstanding(5)</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307,876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204,063</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18.93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15.73</w:t>
            </w:r>
          </w:p>
        </w:tc>
        <w:tc>
          <w:tcPr>
            <w:tcW w:w="6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ratio per unit(6)</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3,573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1,863</w:t>
            </w:r>
          </w:p>
        </w:tc>
        <w:tc>
          <w:tcPr>
            <w:tcW w:w="640" w:type="dxa"/>
            <w:vAlign w:val="bottom"/>
          </w:tcPr>
          <w:p>
            <w:pPr>
              <w:spacing w:after="0"/>
              <w:rPr>
                <w:sz w:val="18"/>
                <w:szCs w:val="18"/>
                <w:color w:val="auto"/>
              </w:rPr>
            </w:pPr>
          </w:p>
        </w:tc>
      </w:tr>
      <w:tr>
        <w:trPr>
          <w:trHeight w:val="648"/>
        </w:trPr>
        <w:tc>
          <w:tcPr>
            <w:tcW w:w="5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5100"/>
              <w:spacing w:after="0"/>
              <w:rPr>
                <w:sz w:val="20"/>
                <w:szCs w:val="20"/>
                <w:color w:val="auto"/>
              </w:rPr>
            </w:pPr>
            <w:r>
              <w:rPr>
                <w:rFonts w:ascii="Arial" w:cs="Arial" w:eastAsia="Arial" w:hAnsi="Arial"/>
                <w:sz w:val="18"/>
                <w:szCs w:val="18"/>
                <w:color w:val="auto"/>
              </w:rPr>
              <w:t>28</w:t>
            </w: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ind w:left="940" w:hanging="41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940" w:right="480" w:hanging="413"/>
        <w:spacing w:after="0" w:line="265"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ind w:left="940" w:right="620" w:hanging="413"/>
        <w:spacing w:after="0" w:line="250"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940" w:hanging="41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940" w:hanging="41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940" w:right="540" w:hanging="413"/>
        <w:spacing w:after="0" w:line="265"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indebtness not represented by senior securities, to the aggregate amount of senior securities representing indebtness. We have excluded our SBA-guaranteed debentures from the asset coverage calculation as of June 30,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indebtness. Including our unfunded commitments of $21.4 million as of June 30, 2015, our asset coverage ratio would be $3,005.</w:t>
      </w:r>
    </w:p>
    <w:p>
      <w:pPr>
        <w:spacing w:after="0" w:line="1" w:lineRule="exact"/>
        <w:rPr>
          <w:rFonts w:ascii="Arial" w:cs="Arial" w:eastAsia="Arial" w:hAnsi="Arial"/>
          <w:sz w:val="17"/>
          <w:szCs w:val="17"/>
          <w:color w:val="auto"/>
        </w:rPr>
      </w:pPr>
    </w:p>
    <w:p>
      <w:pPr>
        <w:ind w:left="940" w:hanging="41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 of waived management fees to average net assets was 0.15% for the six months ended June 30, 2014.</w:t>
      </w:r>
    </w:p>
    <w:p>
      <w:pPr>
        <w:spacing w:after="0" w:line="9" w:lineRule="exact"/>
        <w:rPr>
          <w:rFonts w:ascii="Arial" w:cs="Arial" w:eastAsia="Arial" w:hAnsi="Arial"/>
          <w:sz w:val="18"/>
          <w:szCs w:val="18"/>
          <w:color w:val="auto"/>
        </w:rPr>
      </w:pPr>
    </w:p>
    <w:p>
      <w:pPr>
        <w:ind w:left="940" w:right="660" w:hanging="413"/>
        <w:spacing w:after="0" w:line="255"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July 1, 2015, the Company’s Board of Directors declared normal monthly distributions for July, August, and September of 2015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Date Declared</w:t>
            </w:r>
          </w:p>
        </w:tc>
        <w:tc>
          <w:tcPr>
            <w:tcW w:w="2420" w:type="dxa"/>
            <w:vAlign w:val="bottom"/>
          </w:tcPr>
          <w:p>
            <w:pPr>
              <w:ind w:left="760"/>
              <w:spacing w:after="0"/>
              <w:rPr>
                <w:sz w:val="20"/>
                <w:szCs w:val="20"/>
                <w:color w:val="auto"/>
              </w:rPr>
            </w:pPr>
            <w:r>
              <w:rPr>
                <w:rFonts w:ascii="Arial" w:cs="Arial" w:eastAsia="Arial" w:hAnsi="Arial"/>
                <w:sz w:val="18"/>
                <w:szCs w:val="18"/>
                <w:color w:val="auto"/>
              </w:rPr>
              <w:t>Record Date</w:t>
            </w:r>
          </w:p>
        </w:tc>
        <w:tc>
          <w:tcPr>
            <w:tcW w:w="100" w:type="dxa"/>
            <w:vAlign w:val="bottom"/>
          </w:tcPr>
          <w:p>
            <w:pPr>
              <w:spacing w:after="0"/>
              <w:rPr>
                <w:sz w:val="20"/>
                <w:szCs w:val="20"/>
                <w:color w:val="auto"/>
              </w:rPr>
            </w:pPr>
          </w:p>
        </w:tc>
        <w:tc>
          <w:tcPr>
            <w:tcW w:w="2500" w:type="dxa"/>
            <w:vAlign w:val="bottom"/>
            <w:gridSpan w:val="2"/>
          </w:tcPr>
          <w:p>
            <w:pPr>
              <w:ind w:left="700"/>
              <w:spacing w:after="0"/>
              <w:rPr>
                <w:sz w:val="20"/>
                <w:szCs w:val="20"/>
                <w:color w:val="auto"/>
              </w:rPr>
            </w:pPr>
            <w:r>
              <w:rPr>
                <w:rFonts w:ascii="Arial" w:cs="Arial" w:eastAsia="Arial" w:hAnsi="Arial"/>
                <w:sz w:val="18"/>
                <w:szCs w:val="18"/>
                <w:color w:val="auto"/>
              </w:rPr>
              <w:t>Payment Date</w:t>
            </w:r>
          </w:p>
        </w:tc>
        <w:tc>
          <w:tcPr>
            <w:tcW w:w="220" w:type="dxa"/>
            <w:vAlign w:val="bottom"/>
          </w:tcPr>
          <w:p>
            <w:pPr>
              <w:spacing w:after="0"/>
              <w:rPr>
                <w:sz w:val="20"/>
                <w:szCs w:val="20"/>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Distributions per Share</w:t>
            </w:r>
          </w:p>
        </w:tc>
        <w:tc>
          <w:tcPr>
            <w:tcW w:w="860" w:type="dxa"/>
            <w:vAlign w:val="bottom"/>
          </w:tcPr>
          <w:p>
            <w:pPr>
              <w:spacing w:after="0"/>
              <w:rPr>
                <w:sz w:val="20"/>
                <w:szCs w:val="20"/>
                <w:color w:val="auto"/>
              </w:rPr>
            </w:pPr>
          </w:p>
        </w:tc>
      </w:tr>
      <w:tr>
        <w:trPr>
          <w:trHeight w:val="210"/>
        </w:trPr>
        <w:tc>
          <w:tcPr>
            <w:tcW w:w="5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July 23,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July 30, 2015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2015</w:t>
            </w: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August 21, 2015</w:t>
            </w:r>
          </w:p>
        </w:tc>
        <w:tc>
          <w:tcPr>
            <w:tcW w:w="10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August 28, 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8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1, 2015</w:t>
            </w: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September 23, 2015</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860" w:type="dxa"/>
            <w:vAlign w:val="bottom"/>
          </w:tcPr>
          <w:p>
            <w:pPr>
              <w:spacing w:after="0"/>
              <w:rPr>
                <w:sz w:val="18"/>
                <w:szCs w:val="18"/>
                <w:color w:val="auto"/>
              </w:rPr>
            </w:pPr>
          </w:p>
        </w:tc>
      </w:tr>
      <w:tr>
        <w:trPr>
          <w:trHeight w:val="432"/>
        </w:trPr>
        <w:tc>
          <w:tcPr>
            <w:tcW w:w="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2190"/>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13, 2015, the Company received $4.8 million in proceeds for liquidation of our investments in Southern Pump &amp; Tank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24, 2015, the Company invested $8.0 million in subordinated debt of Vology, Inc. yielding 15% cash interest.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31, 2015, the Company invested $27.0 million in senior secured term debt of Western Window Systems, LLC initially yielding 12.2% cash interest. The Company also invested $3.0 million in the common stock of Western Window Systems, LLC. The Company led syndication of this investment, which included a $5.0 million revolver and an $18.0 million first-out term loan.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July 31, 2015, the Company funded its $6.0 million commitment to U.S. Well Services, LLC senior secured debt, yielding 12% interest.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237" w:lineRule="exact"/>
        <w:rPr>
          <w:sz w:val="20"/>
          <w:szCs w:val="20"/>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960" w:right="40" w:hanging="331"/>
        <w:spacing w:after="0" w:line="277"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960" w:hanging="331"/>
        <w:spacing w:after="0"/>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“Risk Factors” and elsewhere in this Quarterly Report on Form 10-Q.</w:t>
      </w:r>
    </w:p>
    <w:p>
      <w:pPr>
        <w:spacing w:after="0" w:line="237"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ind w:right="340" w:firstLine="881"/>
        <w:spacing w:after="0" w:line="279" w:lineRule="auto"/>
        <w:rPr>
          <w:sz w:val="20"/>
          <w:szCs w:val="20"/>
          <w:color w:val="auto"/>
        </w:rPr>
      </w:pPr>
      <w:r>
        <w:rPr>
          <w:rFonts w:ascii="Arial" w:cs="Arial" w:eastAsia="Arial" w:hAnsi="Arial"/>
          <w:sz w:val="17"/>
          <w:szCs w:val="17"/>
          <w:color w:val="auto"/>
        </w:rPr>
        <w:t>We provide capital to lower and traditional middle-market companies primarily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200" w:firstLine="923"/>
        <w:spacing w:after="0" w:line="286" w:lineRule="auto"/>
        <w:rPr>
          <w:sz w:val="20"/>
          <w:szCs w:val="20"/>
          <w:color w:val="auto"/>
        </w:rPr>
      </w:pPr>
      <w:r>
        <w:rPr>
          <w:rFonts w:ascii="Arial" w:cs="Arial" w:eastAsia="Arial" w:hAnsi="Arial"/>
          <w:sz w:val="17"/>
          <w:szCs w:val="17"/>
          <w:color w:val="auto"/>
        </w:rPr>
        <w:t xml:space="preserve">We invest in mezzanine and senior debt investments that are secured by subordinated liens on all or a portion of our borrowers’ assets and, to a lesser extent, in senior, cash flow-based “unitranche” securities. Many of our debt investments are coupled with equity interests, whether in the form of detachable “penny” warrants or equity co-investments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borrowers’ financial sponsors.</w:t>
      </w:r>
    </w:p>
    <w:p>
      <w:pPr>
        <w:spacing w:after="0" w:line="166"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for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 market and middle market companies.</w:t>
      </w:r>
    </w:p>
    <w:p>
      <w:pPr>
        <w:spacing w:after="0" w:line="178"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June 30, 2015, the Company had 16,262,391 shares of common stock outstanding.</w:t>
      </w:r>
    </w:p>
    <w:p>
      <w:pPr>
        <w:spacing w:after="0" w:line="178"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As provided under Regulation S-X and ASC Topic 946 </w:t>
      </w:r>
      <w:r>
        <w:rPr>
          <w:rFonts w:ascii="Arial" w:cs="Arial" w:eastAsia="Arial" w:hAnsi="Arial"/>
          <w:sz w:val="17"/>
          <w:szCs w:val="17"/>
          <w:i w:val="1"/>
          <w:iCs w:val="1"/>
          <w:color w:val="auto"/>
        </w:rPr>
        <w:t>– Financial Services – Investment Companies</w:t>
      </w:r>
      <w:r>
        <w:rPr>
          <w:rFonts w:ascii="Arial" w:cs="Arial" w:eastAsia="Arial" w:hAnsi="Arial"/>
          <w:sz w:val="17"/>
          <w:szCs w:val="17"/>
          <w:color w:val="auto"/>
        </w:rPr>
        <w:t xml:space="preserve"> ,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interests in Capitala Senior Liquid Loan Fund I, LLC (“CSLLF”) and CION/Capitala Senior Liquid Loan Fund I, LLC (“CCSLLF”) because the entities are not considered substantially wholly owned investment company subsidiaries. Further, CSLLF and CCSLLF are joint ventures for which shared power exists relating to the decisions that most significantly impact the economic performance of the entities. See Note 4 for description of the Company’s investments in CSLLF and CCSLLF.</w:t>
      </w:r>
    </w:p>
    <w:p>
      <w:pPr>
        <w:spacing w:after="0" w:line="178" w:lineRule="exact"/>
        <w:rPr>
          <w:sz w:val="20"/>
          <w:szCs w:val="20"/>
          <w:color w:val="auto"/>
        </w:rPr>
      </w:pPr>
    </w:p>
    <w:p>
      <w:pPr>
        <w:ind w:right="60" w:firstLine="881"/>
        <w:spacing w:after="0" w:line="302" w:lineRule="auto"/>
        <w:rPr>
          <w:sz w:val="20"/>
          <w:szCs w:val="20"/>
          <w:color w:val="auto"/>
        </w:rPr>
      </w:pPr>
      <w:r>
        <w:rPr>
          <w:rFonts w:ascii="Arial" w:cs="Arial" w:eastAsia="Arial" w:hAnsi="Arial"/>
          <w:sz w:val="16"/>
          <w:szCs w:val="16"/>
          <w:color w:val="auto"/>
        </w:rPr>
        <w:t>The Company’s financial position as of June 30, 2015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1960" w:right="440" w:hanging="331"/>
        <w:spacing w:after="0" w:line="277"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1960" w:right="460" w:hanging="331"/>
        <w:spacing w:after="0" w:line="308" w:lineRule="auto"/>
        <w:tabs>
          <w:tab w:leader="none" w:pos="1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46" w:lineRule="exact"/>
        <w:rPr>
          <w:rFonts w:ascii="Arial" w:cs="Arial" w:eastAsia="Arial" w:hAnsi="Arial"/>
          <w:sz w:val="17"/>
          <w:szCs w:val="17"/>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8" w:right="319" w:bottom="1440" w:gutter="0" w:footer="0" w:header="0"/>
        </w:sectPr>
      </w:pPr>
    </w:p>
    <w:bookmarkStart w:id="44" w:name="page45"/>
    <w:bookmarkEnd w:id="44"/>
    <w:p>
      <w:pPr>
        <w:ind w:left="1960" w:hanging="331"/>
        <w:spacing w:after="0"/>
        <w:tabs>
          <w:tab w:leader="none" w:pos="1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fidelity bond, directors’ and officers’ liability insurance, errors and omissions liability insurance and other insurance premiums;</w:t>
      </w:r>
    </w:p>
    <w:p>
      <w:pPr>
        <w:spacing w:after="0" w:line="236" w:lineRule="exact"/>
        <w:rPr>
          <w:rFonts w:ascii="Arial" w:cs="Arial" w:eastAsia="Arial" w:hAnsi="Arial"/>
          <w:sz w:val="17"/>
          <w:szCs w:val="17"/>
          <w:color w:val="auto"/>
        </w:rPr>
      </w:pPr>
    </w:p>
    <w:p>
      <w:pPr>
        <w:ind w:left="1960" w:hanging="331"/>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1960" w:right="60" w:hanging="331"/>
        <w:spacing w:after="0" w:line="276" w:lineRule="auto"/>
        <w:tabs>
          <w:tab w:leader="none" w:pos="1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 ASC 820 defines fair value, establishes a framework used to measure fair value and requires disclosures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left="880" w:right="360"/>
        <w:spacing w:after="0" w:line="314"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42" w:lineRule="exact"/>
        <w:rPr>
          <w:sz w:val="20"/>
          <w:szCs w:val="20"/>
          <w:color w:val="auto"/>
        </w:rPr>
      </w:pPr>
    </w:p>
    <w:p>
      <w:pPr>
        <w:ind w:left="880" w:right="3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140" w:gutter="0" w:footer="0" w:header="0"/>
        </w:sectPr>
      </w:pPr>
    </w:p>
    <w:bookmarkStart w:id="45" w:name="page46"/>
    <w:bookmarkEnd w:id="45"/>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As a practical expedient, the Company uses net asset value (“NAV”) as the fair value for CSLLF and CCSLLF. CSLLF and CCSLLF record their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30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investment is not performing in accordance with its contractual terms or when the Company has reason to believe that it will not collect all principal and interest in accordance with the contractual terms of the debt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right="14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120" w:firstLine="881"/>
        <w:spacing w:after="0" w:line="342" w:lineRule="auto"/>
        <w:rPr>
          <w:sz w:val="20"/>
          <w:szCs w:val="20"/>
          <w:color w:val="auto"/>
        </w:rPr>
      </w:pPr>
      <w:r>
        <w:rPr>
          <w:rFonts w:ascii="Arial" w:cs="Arial" w:eastAsia="Arial" w:hAnsi="Arial"/>
          <w:sz w:val="16"/>
          <w:szCs w:val="16"/>
          <w:i w:val="1"/>
          <w:iCs w:val="1"/>
          <w:color w:val="auto"/>
        </w:rPr>
        <w:t xml:space="preserve">Original issue discount/premiums: </w:t>
      </w:r>
      <w:r>
        <w:rPr>
          <w:rFonts w:ascii="Arial" w:cs="Arial" w:eastAsia="Arial" w:hAnsi="Arial"/>
          <w:sz w:val="16"/>
          <w:szCs w:val="16"/>
          <w:color w:val="auto"/>
        </w:rPr>
        <w:t>Discounts/premiums received to par on loans purchased on the secondary market are capitalized and accreted</w:t>
      </w:r>
      <w:r>
        <w:rPr>
          <w:rFonts w:ascii="Arial" w:cs="Arial" w:eastAsia="Arial" w:hAnsi="Arial"/>
          <w:sz w:val="16"/>
          <w:szCs w:val="16"/>
          <w:i w:val="1"/>
          <w:iCs w:val="1"/>
          <w:color w:val="auto"/>
        </w:rPr>
        <w:t xml:space="preserve"> </w:t>
      </w:r>
      <w:r>
        <w:rPr>
          <w:rFonts w:ascii="Arial" w:cs="Arial" w:eastAsia="Arial" w:hAnsi="Arial"/>
          <w:sz w:val="16"/>
          <w:szCs w:val="16"/>
          <w:color w:val="auto"/>
        </w:rPr>
        <w:t>or amortized into income over the life of the loan. Any remaining discount/premium is accreted or amortized into income upon prepayment of the loan.</w:t>
      </w:r>
    </w:p>
    <w:p>
      <w:pPr>
        <w:spacing w:after="0" w:line="124"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2015 and December 31, 2014, there were no uncertain tax positions.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139" w:gutter="0" w:footer="0" w:header="0"/>
        </w:sectPr>
      </w:pPr>
    </w:p>
    <w:bookmarkStart w:id="47" w:name="page48"/>
    <w:bookmarkEnd w:id="47"/>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2015 and December 31, 2014.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40" w:firstLine="881"/>
        <w:spacing w:after="0" w:line="340" w:lineRule="auto"/>
        <w:rPr>
          <w:sz w:val="20"/>
          <w:szCs w:val="20"/>
          <w:color w:val="auto"/>
        </w:rPr>
      </w:pPr>
      <w:r>
        <w:rPr>
          <w:rFonts w:ascii="Arial" w:cs="Arial" w:eastAsia="Arial" w:hAnsi="Arial"/>
          <w:sz w:val="15"/>
          <w:szCs w:val="15"/>
          <w:color w:val="auto"/>
        </w:rPr>
        <w:t>The Company’s activities from commencement of operations remain subject to examination by U.S. federal, state, and local tax authorities. No interest expense or penalties have been assessed for the six month periods ended June 30, 2015 and June 30, 2014. If the Company were required to recognize interest and penalties, if any, related to unrecognized tax benefits this would be recognized as income tax expense in the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June 30, 2015, our portfolio consisted of investments in 60 portfolio companies with a fair value of approximately $565.3 million.</w:t>
      </w:r>
    </w:p>
    <w:p>
      <w:pPr>
        <w:spacing w:after="0" w:line="237"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During the three months ended June 30, 2015, we made approximately $102.8 million of investments and had approximately $57.4 million in repayments resulting in net investments of approximately $45.4 million for the period. During the three months ended June 30, 2014, we made approximately $22.6 million of investments and had approximately $9.4 million in repayments resulting in net investments of approximately $13.2 million for the period.</w:t>
      </w:r>
    </w:p>
    <w:p>
      <w:pPr>
        <w:spacing w:after="0" w:line="147" w:lineRule="exact"/>
        <w:rPr>
          <w:sz w:val="20"/>
          <w:szCs w:val="20"/>
          <w:color w:val="auto"/>
        </w:rPr>
      </w:pPr>
    </w:p>
    <w:p>
      <w:pPr>
        <w:ind w:right="180" w:firstLine="881"/>
        <w:spacing w:after="0" w:line="312" w:lineRule="auto"/>
        <w:rPr>
          <w:sz w:val="20"/>
          <w:szCs w:val="20"/>
          <w:color w:val="auto"/>
        </w:rPr>
      </w:pPr>
      <w:r>
        <w:rPr>
          <w:rFonts w:ascii="Arial" w:cs="Arial" w:eastAsia="Arial" w:hAnsi="Arial"/>
          <w:sz w:val="16"/>
          <w:szCs w:val="16"/>
          <w:color w:val="auto"/>
        </w:rPr>
        <w:t>During the six months ended June 30, 2015, we made approximately $170.0 million of investments and had approximately $91.9 million in repayments resulting in net investments of approximately $78.1 million for the period. During the six months ended June 30, 2014, we made approximately $63.6 million of investments and had approximately $20.2 million in repayments resulting in net investments of approximately $43.4 million for the period.</w:t>
      </w:r>
    </w:p>
    <w:p>
      <w:pPr>
        <w:spacing w:after="0" w:line="147" w:lineRule="exact"/>
        <w:rPr>
          <w:sz w:val="20"/>
          <w:szCs w:val="20"/>
          <w:color w:val="auto"/>
        </w:rPr>
      </w:pPr>
    </w:p>
    <w:p>
      <w:pPr>
        <w:ind w:right="40" w:firstLine="917"/>
        <w:spacing w:after="0" w:line="259" w:lineRule="auto"/>
        <w:rPr>
          <w:sz w:val="20"/>
          <w:szCs w:val="20"/>
          <w:color w:val="auto"/>
        </w:rPr>
      </w:pPr>
      <w:r>
        <w:rPr>
          <w:rFonts w:ascii="Arial" w:cs="Arial" w:eastAsia="Arial" w:hAnsi="Arial"/>
          <w:sz w:val="18"/>
          <w:szCs w:val="18"/>
          <w:color w:val="auto"/>
        </w:rPr>
        <w:t>As of June 30, 2015, our debt investment portfolio, which represented 82.7% of our total portfolio, had a weighted average yield of approximately 12.0%. As of June 30, 2015, 73.8% of our debt investment portfolio was bearing a fixed rate of interest. As of December 31, 2014, our debt investment portfolio, which represented 76.7% of our total portfolio, had a weighted average yield of approximately 12.5%. As of December 31, 2014, 79.0% of our debt investment portfolio was bearing a fixed rate of interest.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amortized cost and the fair value of investments and cash and cash equivalents as of June 30, 2015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Investments at</w:t>
            </w:r>
          </w:p>
        </w:tc>
        <w:tc>
          <w:tcPr>
            <w:tcW w:w="80" w:type="dxa"/>
            <w:vAlign w:val="bottom"/>
          </w:tcPr>
          <w:p>
            <w:pPr>
              <w:spacing w:after="0"/>
              <w:rPr>
                <w:sz w:val="18"/>
                <w:szCs w:val="18"/>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Percentage of</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80" w:type="dxa"/>
            <w:vAlign w:val="bottom"/>
          </w:tcPr>
          <w:p>
            <w:pPr>
              <w:spacing w:after="0"/>
              <w:rPr>
                <w:sz w:val="20"/>
                <w:szCs w:val="20"/>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9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204,237</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204,242</w:t>
            </w:r>
          </w:p>
        </w:tc>
        <w:tc>
          <w:tcPr>
            <w:tcW w:w="1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Subordinated Debt</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272,563</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262,998</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82,818</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604,847</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Investments at</w:t>
            </w:r>
          </w:p>
        </w:tc>
        <w:tc>
          <w:tcPr>
            <w:tcW w:w="80" w:type="dxa"/>
            <w:vAlign w:val="bottom"/>
          </w:tcPr>
          <w:p>
            <w:pPr>
              <w:spacing w:after="0"/>
              <w:rPr>
                <w:sz w:val="18"/>
                <w:szCs w:val="18"/>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Percentage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80" w:type="dxa"/>
            <w:vAlign w:val="bottom"/>
          </w:tcPr>
          <w:p>
            <w:pPr>
              <w:spacing w:after="0"/>
              <w:rPr>
                <w:sz w:val="20"/>
                <w:szCs w:val="20"/>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Total Portfolio</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27.3%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Subordinated Debt</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231,901</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62,855</w:t>
            </w:r>
          </w:p>
        </w:tc>
        <w:tc>
          <w:tcPr>
            <w:tcW w:w="1540" w:type="dxa"/>
            <w:vAlign w:val="bottom"/>
            <w:tcBorders>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55,107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10.3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48" w:name="page49"/>
    <w:bookmarkEnd w:id="48"/>
    <w:p>
      <w:pPr>
        <w:ind w:left="88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June 30, 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 2014</w:t>
            </w:r>
          </w:p>
        </w:tc>
        <w:tc>
          <w:tcPr>
            <w:tcW w:w="1140" w:type="dxa"/>
            <w:vAlign w:val="bottom"/>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Investments</w:t>
            </w:r>
          </w:p>
        </w:tc>
        <w:tc>
          <w:tcPr>
            <w:tcW w:w="13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Investments</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2"/>
              </w:rPr>
              <w:t>of</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at</w:t>
            </w:r>
          </w:p>
        </w:tc>
        <w:tc>
          <w:tcPr>
            <w:tcW w:w="13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at</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1140" w:type="dxa"/>
            <w:vAlign w:val="bottom"/>
          </w:tcPr>
          <w:p>
            <w:pPr>
              <w:spacing w:after="0"/>
              <w:rPr>
                <w:sz w:val="18"/>
                <w:szCs w:val="18"/>
                <w:color w:val="auto"/>
              </w:rPr>
            </w:pPr>
          </w:p>
        </w:tc>
      </w:tr>
      <w:tr>
        <w:trPr>
          <w:trHeight w:val="234"/>
        </w:trPr>
        <w:tc>
          <w:tcPr>
            <w:tcW w:w="50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28,475</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27,094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 Electronics</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28,300</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IT Government Contracting</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18,997</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19,126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23,632</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Printing Services</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17,468</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18,324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15,687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17,006</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14,349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Bakery Supplies Distributor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Personal Product Manufacturer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16,000</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16,241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15,846</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 Fund</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15,256</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Home Décor Manufacturer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14,535</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14,611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14,547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13,449</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13,212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Construction Services</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12,420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Bowling Products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11,984</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10,577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Energy Services</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10,825</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10,573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Dental Practice Management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7,826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8,005</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Conglomerate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7,179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4,783</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Specialty Clothing</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5,723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Produce Distribution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5,711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Crane Rental and Sales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Scrap Metal Recycler</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4,927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Satellite Communications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Building Products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4,895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 Specialty Services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Petroleum Equipment Supplier</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3,850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Automotive Chemicals &amp; Lubricants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3,891</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4,219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 Manufacturing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Western Wear Retail</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10,920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Professional Employer Organization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Online Travel Sales &amp; Marketing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Specialty Defense Contractor</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Culinary Products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IT Hosting Services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QSR Franchisee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17,465</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Wireless Communication Retailer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Restaurant Chain</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4,804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14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Home Product Manufacturer</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9"/>
                <w:szCs w:val="19"/>
                <w:color w:val="auto"/>
              </w:rPr>
            </w:pP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5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0" w:gutter="0" w:footer="0" w:header="0"/>
        </w:sectPr>
      </w:pPr>
    </w:p>
    <w:bookmarkStart w:id="49" w:name="page50"/>
    <w:bookmarkEnd w:id="49"/>
    <w:p>
      <w:pPr>
        <w:ind w:right="140" w:firstLine="881"/>
        <w:spacing w:after="0" w:line="308" w:lineRule="auto"/>
        <w:rPr>
          <w:sz w:val="20"/>
          <w:szCs w:val="20"/>
          <w:color w:val="auto"/>
        </w:rPr>
      </w:pPr>
      <w:r>
        <w:rPr>
          <w:rFonts w:ascii="Arial" w:cs="Arial" w:eastAsia="Arial" w:hAnsi="Arial"/>
          <w:sz w:val="17"/>
          <w:szCs w:val="17"/>
          <w:color w:val="auto"/>
        </w:rPr>
        <w:t>As of June 30, 2015, we had 5 portfolio companies within the energy sector, representing approximately 10.7% of the total investment portfolio, based on fair values. The June 30, 2015 fair values were approximately 85.8% of cost, compared to 89.5% at December 31, 2014.</w:t>
      </w:r>
    </w:p>
    <w:p>
      <w:pPr>
        <w:spacing w:after="0" w:line="147"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At June 30, 2015, all energy related investments were current on interest payments. Management continues to closely monitor each of these investments, maintaining frequent dialogue with company management and, where appropriate, sponsors.</w:t>
      </w:r>
    </w:p>
    <w:p>
      <w:pPr>
        <w:spacing w:after="0" w:line="170"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With the exception of an $8.3 million investment and a $1.0 million investment in internationally headquartered companies, all investments made by us as of June 30, 2015 and December 31, 2014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2015 and December 31, 2014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June 30, 2015</w:t>
            </w:r>
          </w:p>
        </w:tc>
        <w:tc>
          <w:tcPr>
            <w:tcW w:w="140" w:type="dxa"/>
            <w:vAlign w:val="bottom"/>
          </w:tcPr>
          <w:p>
            <w:pPr>
              <w:spacing w:after="0"/>
              <w:rPr>
                <w:sz w:val="20"/>
                <w:szCs w:val="20"/>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3"/>
              </w:rPr>
              <w:t>Investments at</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26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Total Portfolio</w:t>
            </w:r>
          </w:p>
        </w:tc>
        <w:tc>
          <w:tcPr>
            <w:tcW w:w="1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Fair Value</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South</w:t>
            </w:r>
          </w:p>
        </w:tc>
        <w:tc>
          <w:tcPr>
            <w:tcW w:w="17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298,559</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Midwest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100,426</w:t>
            </w:r>
          </w:p>
        </w:tc>
        <w:tc>
          <w:tcPr>
            <w:tcW w:w="1460" w:type="dxa"/>
            <w:vAlign w:val="bottom"/>
            <w:gridSpan w:val="3"/>
          </w:tcPr>
          <w:p>
            <w:pPr>
              <w:jc w:val="right"/>
              <w:ind w:right="17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38,103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93,573</w:t>
            </w:r>
          </w:p>
        </w:tc>
        <w:tc>
          <w:tcPr>
            <w:tcW w:w="1460" w:type="dxa"/>
            <w:vAlign w:val="bottom"/>
            <w:tcBorders>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West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63,471</w:t>
            </w:r>
          </w:p>
        </w:tc>
        <w:tc>
          <w:tcPr>
            <w:tcW w:w="1460" w:type="dxa"/>
            <w:vAlign w:val="bottom"/>
            <w:gridSpan w:val="3"/>
          </w:tcPr>
          <w:p>
            <w:pPr>
              <w:jc w:val="right"/>
              <w:ind w:right="17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75,066</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9,285</w:t>
            </w:r>
          </w:p>
        </w:tc>
        <w:tc>
          <w:tcPr>
            <w:tcW w:w="1460" w:type="dxa"/>
            <w:vAlign w:val="bottom"/>
            <w:tcBorders>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In addition to various risk management tools, our investment adviser also uses an investment rating system to characterize and monitor our expected level of return on each investment in our portfolio.</w:t>
      </w:r>
    </w:p>
    <w:p>
      <w:pPr>
        <w:spacing w:after="0" w:line="170"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3"/>
          </w:tcPr>
          <w:p>
            <w:pPr>
              <w:ind w:left="660"/>
              <w:spacing w:after="0"/>
              <w:rPr>
                <w:sz w:val="20"/>
                <w:szCs w:val="20"/>
                <w:color w:val="auto"/>
              </w:rPr>
            </w:pPr>
            <w:r>
              <w:rPr>
                <w:rFonts w:ascii="Arial" w:cs="Arial" w:eastAsia="Arial" w:hAnsi="Arial"/>
                <w:sz w:val="18"/>
                <w:szCs w:val="18"/>
                <w:b w:val="1"/>
                <w:bCs w:val="1"/>
                <w:color w:val="auto"/>
              </w:rPr>
              <w:t>Investment</w:t>
            </w:r>
          </w:p>
        </w:tc>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340" w:type="dxa"/>
            <w:vAlign w:val="bottom"/>
            <w:gridSpan w:val="3"/>
          </w:tcPr>
          <w:p>
            <w:pPr>
              <w:ind w:left="660"/>
              <w:spacing w:after="0"/>
              <w:rPr>
                <w:sz w:val="20"/>
                <w:szCs w:val="20"/>
                <w:color w:val="auto"/>
              </w:rPr>
            </w:pPr>
            <w:r>
              <w:rPr>
                <w:rFonts w:ascii="Arial" w:cs="Arial" w:eastAsia="Arial" w:hAnsi="Arial"/>
                <w:sz w:val="18"/>
                <w:szCs w:val="18"/>
                <w:b w:val="1"/>
                <w:bCs w:val="1"/>
                <w:color w:val="auto"/>
              </w:rPr>
              <w:t>Rating</w:t>
            </w:r>
          </w:p>
        </w:tc>
        <w:tc>
          <w:tcPr>
            <w:tcW w:w="8800" w:type="dxa"/>
            <w:vAlign w:val="bottom"/>
          </w:tcPr>
          <w:p>
            <w:pPr>
              <w:spacing w:after="0"/>
              <w:rPr>
                <w:sz w:val="20"/>
                <w:szCs w:val="20"/>
                <w:color w:val="auto"/>
              </w:rPr>
            </w:pPr>
            <w:r>
              <w:rPr>
                <w:rFonts w:ascii="Arial" w:cs="Arial" w:eastAsia="Arial" w:hAnsi="Arial"/>
                <w:sz w:val="18"/>
                <w:szCs w:val="18"/>
                <w:b w:val="1"/>
                <w:bCs w:val="1"/>
                <w:color w:val="auto"/>
              </w:rPr>
              <w:t>Definition</w:t>
            </w:r>
          </w:p>
        </w:tc>
        <w:tc>
          <w:tcPr>
            <w:tcW w:w="2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1"/>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5"/>
              </w:rPr>
              <w:t>In general, the investment may be performing above our internal expectations. Full return of principal and interest is</w:t>
            </w:r>
          </w:p>
        </w:tc>
        <w:tc>
          <w:tcPr>
            <w:tcW w:w="2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Capital gain is expected.</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6"/>
              </w:rPr>
              <w:t>In general, the investment may be performing within our internal expectations, and potential risks to the applicable</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investment are considered to be neutral or favorable compared to any potential risks at the time of the original investment.</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new investments are initially given this rating.</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In general, the investment may be performing below our internal expectations and therefore, investments in this category</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may require closer internal monitoring; however, the valuation team believes that no loss of investment return (interest</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and/or dividends) or principal is expected. The investment also may be out of compliance with certain senior or senior</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subordinated debt financial covenants.</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In general, the investment may be performing below internal expectations and quantitative or qualitative risks may have</w:t>
            </w:r>
          </w:p>
        </w:tc>
        <w:tc>
          <w:tcPr>
            <w:tcW w:w="2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increased substantially since the original investment. Loss of some or all principal is expected.</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w w:val="91"/>
              </w:rPr>
              <w:t>In general, the investment may be performing substantially below our internal expectations and a number of quantitative</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7"/>
              </w:rPr>
              <w:t>or qualitative risks may have increased substantially since the original investment. Loss of some or all principal is</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w:t>
            </w:r>
          </w:p>
        </w:tc>
        <w:tc>
          <w:tcPr>
            <w:tcW w:w="28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50" w:name="page51"/>
    <w:bookmarkEnd w:id="50"/>
    <w:p>
      <w:pPr>
        <w:jc w:val="both"/>
        <w:ind w:right="420" w:firstLine="881"/>
        <w:spacing w:after="0" w:line="312" w:lineRule="auto"/>
        <w:rPr>
          <w:sz w:val="20"/>
          <w:szCs w:val="20"/>
          <w:color w:val="auto"/>
        </w:rPr>
      </w:pPr>
      <w:r>
        <w:rPr>
          <w:rFonts w:ascii="Arial" w:cs="Arial" w:eastAsia="Arial" w:hAnsi="Arial"/>
          <w:sz w:val="16"/>
          <w:szCs w:val="16"/>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147"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2015 and December 31, 2014 (dollars in thousands):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As of June 30, 2015</w:t>
            </w:r>
          </w:p>
        </w:tc>
        <w:tc>
          <w:tcPr>
            <w:tcW w:w="140" w:type="dxa"/>
            <w:vAlign w:val="bottom"/>
          </w:tcPr>
          <w:p>
            <w:pPr>
              <w:spacing w:after="0"/>
              <w:rPr>
                <w:sz w:val="20"/>
                <w:szCs w:val="20"/>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As of December 31, 2014</w:t>
            </w:r>
          </w:p>
        </w:tc>
      </w:tr>
      <w:tr>
        <w:trPr>
          <w:trHeight w:val="191"/>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3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Total</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Performance Rating</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343,125</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271,864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83,108</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12,280</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565,314</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As of June 30, 2015, the Company had one debt investment on cash non-accrual status with an amortized cost of $17.9 million and a fair value of $10.5 million representing 3.3% and 1.9% of the investment portfolio, respectively. As of December 31, 2014, the Company had debt investments in one portfolio company on cash non-accrual status with an amortized cost of $3.4 million and a fair value of $0.0 million representing 0.8% and 0.0% of the investment portfolio, respectively.</w:t>
      </w:r>
    </w:p>
    <w:p>
      <w:pPr>
        <w:spacing w:after="0" w:line="187"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As of June 30, 2015, the Company had one debt investment on PIK non-accrual status with an amortized cost of $8.1 million, and a fair value of $5.7 million, representing 1.5%, and 1.0% of the investment portfolio, respectively. As of December 31, 2014, the Company had debt investments in one portfolio company on PIK non-accrual status with an amortized cost of $13.1 million, and a fair value of $10.6 million, representing 3.0%, and 2.2%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results for the three and six months ended June 30, 2015 and 2014 are as follows (dollars in thousands):</w:t>
      </w:r>
    </w:p>
    <w:p>
      <w:pPr>
        <w:sectPr>
          <w:pgSz w:w="11900" w:h="16838" w:orient="portrait"/>
          <w:cols w:equalWidth="0" w:num="1">
            <w:col w:w="11380"/>
          </w:cols>
          <w:pgMar w:left="240" w:top="88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investment income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expenses, net</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realized gain from investments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unrealized appreciation/(depreciation)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increase in net assets resulting from operations</w:t>
      </w:r>
    </w:p>
    <w:p>
      <w:pPr>
        <w:spacing w:after="0" w:line="31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For the three months ended</w:t>
            </w:r>
          </w:p>
        </w:tc>
        <w:tc>
          <w:tcPr>
            <w:tcW w:w="120" w:type="dxa"/>
            <w:vAlign w:val="bottom"/>
          </w:tcPr>
          <w:p>
            <w:pPr>
              <w:spacing w:after="0"/>
              <w:rPr>
                <w:sz w:val="20"/>
                <w:szCs w:val="20"/>
                <w:color w:val="auto"/>
              </w:rPr>
            </w:pPr>
          </w:p>
        </w:tc>
        <w:tc>
          <w:tcPr>
            <w:tcW w:w="220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23"/>
        </w:trPr>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June 30, 2014</w:t>
            </w:r>
          </w:p>
        </w:tc>
        <w:tc>
          <w:tcPr>
            <w:tcW w:w="16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June 30, 2014</w:t>
            </w:r>
          </w:p>
        </w:tc>
        <w:tc>
          <w:tcPr>
            <w:tcW w:w="80" w:type="dxa"/>
            <w:vAlign w:val="bottom"/>
            <w:gridSpan w:val="2"/>
          </w:tcPr>
          <w:p>
            <w:pPr>
              <w:spacing w:after="0"/>
              <w:rPr>
                <w:sz w:val="19"/>
                <w:szCs w:val="19"/>
                <w:color w:val="auto"/>
              </w:rPr>
            </w:pPr>
          </w:p>
        </w:tc>
      </w:tr>
      <w:tr>
        <w:trPr>
          <w:trHeight w:val="209"/>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3"/>
              </w:rPr>
              <w:t>29,125</w:t>
            </w:r>
          </w:p>
        </w:tc>
        <w:tc>
          <w:tcPr>
            <w:tcW w:w="16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24,901</w:t>
            </w:r>
          </w:p>
        </w:tc>
        <w:tc>
          <w:tcPr>
            <w:tcW w:w="6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9,767</w:t>
            </w: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20"/>
                <w:szCs w:val="20"/>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18,991</w:t>
            </w:r>
          </w:p>
        </w:tc>
        <w:tc>
          <w:tcPr>
            <w:tcW w:w="3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13,546</w:t>
            </w:r>
          </w:p>
        </w:tc>
        <w:tc>
          <w:tcPr>
            <w:tcW w:w="60" w:type="dxa"/>
            <w:vAlign w:val="bottom"/>
          </w:tcPr>
          <w:p>
            <w:pPr>
              <w:spacing w:after="0"/>
              <w:rPr>
                <w:sz w:val="20"/>
                <w:szCs w:val="20"/>
                <w:color w:val="auto"/>
              </w:rPr>
            </w:pPr>
          </w:p>
        </w:tc>
      </w:tr>
      <w:tr>
        <w:trPr>
          <w:trHeight w:val="195"/>
        </w:trPr>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5,317</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5,634</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w w:val="83"/>
              </w:rPr>
              <w:t>10,134</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11,355</w:t>
            </w:r>
          </w:p>
        </w:tc>
        <w:tc>
          <w:tcPr>
            <w:tcW w:w="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15,837</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25,177</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18"/>
                <w:szCs w:val="18"/>
                <w:color w:val="auto"/>
              </w:rPr>
            </w:pPr>
          </w:p>
        </w:tc>
      </w:tr>
      <w:tr>
        <w:trPr>
          <w:trHeight w:val="244"/>
        </w:trPr>
        <w:tc>
          <w:tcPr>
            <w:tcW w:w="3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(16,212)</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(20,502)</w:t>
            </w:r>
          </w:p>
        </w:tc>
        <w:tc>
          <w:tcPr>
            <w:tcW w:w="3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(5,607)</w:t>
            </w:r>
          </w:p>
        </w:tc>
      </w:tr>
      <w:tr>
        <w:trPr>
          <w:trHeight w:val="223"/>
        </w:trPr>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3"/>
              </w:rPr>
              <w:t>14,809</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7,430</w:t>
            </w:r>
          </w:p>
        </w:tc>
        <w:tc>
          <w:tcPr>
            <w:tcW w:w="6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-899795</wp:posOffset>
            </wp:positionV>
            <wp:extent cx="593471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34710" cy="14605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-608330</wp:posOffset>
            </wp:positionV>
            <wp:extent cx="593471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34710" cy="14605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-325120</wp:posOffset>
            </wp:positionV>
            <wp:extent cx="593471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400" w:space="720"/>
            <w:col w:w="6260"/>
          </w:cols>
          <w:pgMar w:left="240" w:top="882" w:right="27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composition of our investment income for the three months ended June 30, 2015 and 2014 was as follows (dollars in thousands):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4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Pr>
          <w:p>
            <w:pPr>
              <w:spacing w:after="0"/>
              <w:rPr>
                <w:sz w:val="20"/>
                <w:szCs w:val="20"/>
                <w:color w:val="auto"/>
              </w:rPr>
            </w:pPr>
          </w:p>
        </w:tc>
        <w:tc>
          <w:tcPr>
            <w:tcW w:w="220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23"/>
        </w:trPr>
        <w:tc>
          <w:tcPr>
            <w:tcW w:w="4600" w:type="dxa"/>
            <w:vAlign w:val="bottom"/>
          </w:tcPr>
          <w:p>
            <w:pPr>
              <w:spacing w:after="0"/>
              <w:rPr>
                <w:sz w:val="19"/>
                <w:szCs w:val="19"/>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June 30, 2014</w:t>
            </w:r>
          </w:p>
        </w:tc>
        <w:tc>
          <w:tcPr>
            <w:tcW w:w="16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2015</w:t>
            </w: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June 30, 2014</w:t>
            </w:r>
          </w:p>
        </w:tc>
        <w:tc>
          <w:tcPr>
            <w:tcW w:w="80" w:type="dxa"/>
            <w:vAlign w:val="bottom"/>
            <w:gridSpan w:val="2"/>
          </w:tcPr>
          <w:p>
            <w:pPr>
              <w:spacing w:after="0"/>
              <w:rPr>
                <w:sz w:val="19"/>
                <w:szCs w:val="19"/>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Fee Income</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1,862</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3,091</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7,025</w:t>
            </w:r>
          </w:p>
        </w:tc>
        <w:tc>
          <w:tcPr>
            <w:tcW w:w="60" w:type="dxa"/>
            <w:vAlign w:val="bottom"/>
          </w:tcPr>
          <w:p>
            <w:pPr>
              <w:spacing w:after="0"/>
              <w:rPr>
                <w:sz w:val="18"/>
                <w:szCs w:val="18"/>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29,125</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81"/>
        <w:spacing w:after="0" w:line="312" w:lineRule="auto"/>
        <w:rPr>
          <w:sz w:val="20"/>
          <w:szCs w:val="20"/>
          <w:color w:val="auto"/>
        </w:rPr>
      </w:pPr>
      <w:r>
        <w:rPr>
          <w:rFonts w:ascii="Arial" w:cs="Arial" w:eastAsia="Arial" w:hAnsi="Arial"/>
          <w:sz w:val="16"/>
          <w:szCs w:val="16"/>
          <w:color w:val="auto"/>
        </w:rPr>
        <w:t>The income reported as interest income and payment-in-kind interest and dividend income is generally based on the stated rates as disclosed in the Company’s Schedule of Investments. Accretion/(Amortization) of discounts and premiums paid for purchased loans are included in interest income as an adjustment to yield. As a general rule, the Company’s interest income and payment-in-kind interest and dividend income is recurring in nature.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type w:val="continuous"/>
        </w:sectPr>
      </w:pPr>
    </w:p>
    <w:bookmarkStart w:id="51" w:name="page52"/>
    <w:bookmarkEnd w:id="51"/>
    <w:p>
      <w:pPr>
        <w:ind w:right="40" w:firstLine="881"/>
        <w:spacing w:after="0" w:line="259" w:lineRule="auto"/>
        <w:rPr>
          <w:sz w:val="20"/>
          <w:szCs w:val="20"/>
          <w:color w:val="auto"/>
        </w:rPr>
      </w:pPr>
      <w:r>
        <w:rPr>
          <w:rFonts w:ascii="Arial" w:cs="Arial" w:eastAsia="Arial" w:hAnsi="Arial"/>
          <w:sz w:val="18"/>
          <w:szCs w:val="18"/>
          <w:color w:val="auto"/>
        </w:rPr>
        <w:t>The Company also generates fee income primarily through origination fees charged for new investments, and secondarily via amendment fees, consent fees, prepayment penalties, and other fees. While the fee income is typically non-recurring for each investment, most of the Company’s new investments include an origination fee; as such, fee income is dependent upon the Company’s volume of deployments and to the fee structure associated with those deployments.</w:t>
      </w:r>
    </w:p>
    <w:p>
      <w:pPr>
        <w:spacing w:after="0" w:line="187"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The Company earns dividends on certain equity investments within its investment portfolio. As noted in the Company’s Schedule of Investments, some investments are scheduled to pay a periodic dividend though these recurring dividends do not make up a significant portion of the Company’s total investment income. The Company may and has received more substantial one-time dividends from its equity investment as part of dividend recapitalizations.</w:t>
      </w:r>
    </w:p>
    <w:p>
      <w:pPr>
        <w:spacing w:after="0" w:line="147"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For the three months ended June 30, 2015, total investment income increased $2.6 million, or 20.4% compared to the three months ended June 30, 2014. The increase from the prior period relates primarily to higher interest and PIK income from a growing investment portfolio and increase in fee income due to increase in deployments, offset by a decline in non-recurring dividend income.</w:t>
      </w:r>
    </w:p>
    <w:p>
      <w:pPr>
        <w:spacing w:after="0" w:line="18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For the six months ended June 30, 2015, total investment income increased $4.2 million, or 17.0% compared to the six months ended June 30, 2014. The increase from the prior period relates primarily to higher interest and PIK income from a growing investment portfolio and increase in fee income due to increase in deployments, offset by a decline in non-recurring dividend income.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composition of our expenses for the three months ended June 30, 2015 and June 30, 2014 was as follows (dollars in thousands):</w:t>
      </w:r>
    </w:p>
    <w:p>
      <w:pPr>
        <w:sectPr>
          <w:pgSz w:w="11900" w:h="16838" w:orient="portrait"/>
          <w:cols w:equalWidth="0" w:num="1">
            <w:col w:w="11380"/>
          </w:cols>
          <w:pgMar w:left="240" w:top="881" w:right="27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and financing fees</w:t>
      </w:r>
    </w:p>
    <w:p>
      <w:pPr>
        <w:spacing w:after="0" w:line="23" w:lineRule="exact"/>
        <w:rPr>
          <w:sz w:val="20"/>
          <w:szCs w:val="20"/>
          <w:color w:val="auto"/>
        </w:rPr>
      </w:pPr>
    </w:p>
    <w:p>
      <w:pPr>
        <w:ind w:left="520" w:right="680"/>
        <w:spacing w:after="0" w:line="250" w:lineRule="auto"/>
        <w:rPr>
          <w:sz w:val="20"/>
          <w:szCs w:val="20"/>
          <w:color w:val="auto"/>
        </w:rPr>
      </w:pPr>
      <w:r>
        <w:rPr>
          <w:rFonts w:ascii="Arial" w:cs="Arial" w:eastAsia="Arial" w:hAnsi="Arial"/>
          <w:sz w:val="18"/>
          <w:szCs w:val="18"/>
          <w:color w:val="auto"/>
        </w:rPr>
        <w:t>Management fees, net of management fee waiver Incentive fees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20"/>
                <w:szCs w:val="20"/>
                <w:color w:val="auto"/>
              </w:rPr>
            </w:pPr>
          </w:p>
        </w:tc>
        <w:tc>
          <w:tcPr>
            <w:tcW w:w="226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3"/>
        </w:trPr>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2015</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2014</w:t>
            </w:r>
          </w:p>
        </w:tc>
        <w:tc>
          <w:tcPr>
            <w:tcW w:w="18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0"/>
              </w:rPr>
              <w:t>June 30, 2015</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2014</w:t>
            </w:r>
          </w:p>
        </w:tc>
        <w:tc>
          <w:tcPr>
            <w:tcW w:w="40" w:type="dxa"/>
            <w:vAlign w:val="bottom"/>
            <w:gridSpan w:val="2"/>
          </w:tcPr>
          <w:p>
            <w:pPr>
              <w:spacing w:after="0"/>
              <w:rPr>
                <w:sz w:val="19"/>
                <w:szCs w:val="19"/>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4,681</w:t>
            </w:r>
          </w:p>
        </w:tc>
        <w:tc>
          <w:tcPr>
            <w:tcW w:w="200" w:type="dxa"/>
            <w:vAlign w:val="bottom"/>
          </w:tcPr>
          <w:p>
            <w:pPr>
              <w:spacing w:after="0"/>
              <w:rPr>
                <w:sz w:val="16"/>
                <w:szCs w:val="16"/>
                <w:color w:val="auto"/>
              </w:rPr>
            </w:pPr>
          </w:p>
        </w:tc>
        <w:tc>
          <w:tcPr>
            <w:tcW w:w="4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2,401</w:t>
            </w: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9,317</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2,587</w:t>
            </w:r>
          </w:p>
        </w:tc>
        <w:tc>
          <w:tcPr>
            <w:tcW w:w="4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4,997</w:t>
            </w: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1,329</w:t>
            </w:r>
          </w:p>
        </w:tc>
        <w:tc>
          <w:tcPr>
            <w:tcW w:w="4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2,510</w:t>
            </w: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2,838</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1,170</w:t>
            </w:r>
          </w:p>
        </w:tc>
        <w:tc>
          <w:tcPr>
            <w:tcW w:w="4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2,167</w:t>
            </w:r>
          </w:p>
        </w:tc>
        <w:tc>
          <w:tcPr>
            <w:tcW w:w="3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18,991</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13,546</w:t>
            </w:r>
          </w:p>
        </w:tc>
        <w:tc>
          <w:tcPr>
            <w:tcW w:w="20" w:type="dxa"/>
            <w:vAlign w:val="bottom"/>
            <w:tcBorders>
              <w:bottom w:val="single" w:sz="8" w:color="auto"/>
            </w:tcBorders>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-745490</wp:posOffset>
            </wp:positionV>
            <wp:extent cx="637159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71590" cy="1460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-462280</wp:posOffset>
            </wp:positionV>
            <wp:extent cx="637159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-179705</wp:posOffset>
            </wp:positionV>
            <wp:extent cx="637159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7159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920"/>
          </w:cols>
          <w:pgMar w:left="240" w:top="881" w:right="279" w:bottom="788" w:gutter="0" w:footer="0" w:header="0"/>
          <w:type w:val="continuous"/>
        </w:sectPr>
      </w:pPr>
    </w:p>
    <w:p>
      <w:pPr>
        <w:spacing w:after="0" w:line="2"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For the three months ended June 30, 2015, operating expenses increased $2.9 million, or 41.7%, compared to the three months ended June 30, 2014. For the six months ended June 30, 2015, operating expenses increased $5.4 million, or 40.2%, compared to the six months ended June 30, 2014. The increase for both the three and six month periods was primarily due to interest and financing expense. Interest and financing expenses increased period over period due to the issuance of Notes in June of 2014 and the Credit Facility in October of 2014. Management fees increased over prior period due to growth in assets under management.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During the three and six months ended June 30, 2015, we recognized $15.8 million and $25.2 million, respectively, of net realized gains on our portfolio investments. During the three and six months ended June 30, 2014, we recognized $0.5 million and $1.7 million, respectively, of net realized gains on our portfolio investments. The Company recognized $14.8 million in realized gains on its two largest equity investments outstanding at March 31, 2015 (Corporate Visions, Inc. and Boot Barn Holdings, Inc.) during the second quarter and $9.3 million in realized gains on its largest equity investment outstanding at December 31, 2015 (KBP Investments, LLC.) during the first quarter, continuing to execute its rotation strategy out of equity and into interest yielding debt investments.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Net change in unrealized appreciation on investments reflects the net change in the fair value of our investment portfolio. For the three months ended June 30, 2015, we had net unrealized depreciation of $(16.2) million on portfolio investments. During the three months ended June 30, 2015, we had $(15.7) million in net unrealized depreciation related to reversal of net unrealized appreciation on investments with net realized gains recognized during the period. For the six months ended June 30, 2015, we had net unrealized depreciation of $(20.5) million on portfolio investments. During the six months ended June 30, 2015, we had $(20.8) million in net unrealized depreciation related to reversal of net unrealized appreciation on investments with net realized gains recognized during the period.</w:t>
      </w:r>
    </w:p>
    <w:p>
      <w:pPr>
        <w:spacing w:after="0" w:line="19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For the three months ended June 30, 2014, we had a $0.1 million increase in unrealized appreciation on portfolio investments. For the six months ended June 30, 2014, we had $(5.6) million net unrealized depreciation on portfolio investments.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For the three and six months ended June 30, 2015, we recorded a net increase in net assets resulting from operations of $4.9 million and $14.8 million, respectively. Based on the weighted average shares of common stock outstanding for the three and six months ended June 30, 2015, our per share net increase in net assets resulting from operations was $0.31 and $1.02, respectively. For the three and six months ended June 30, 2014, we recorded a net increase in net assets resulting from operations of $6.2 million and $7.4 million, respectively. Based on the weighted average shares of common stock outstanding for the three and six months ended June 30, 2014 our per share net increase in net assets resulting from operations was $0.48 and $0.57, respectively.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788"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Company uses and intends to use existing cash primarily to originate investments in new and existing portfolio companies, pay dividends to our shareholders, and repay indebtedness.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September 30, 2013, the Company issued 4,000,000 shares at $20.00 per share in its IPO, yielding net proceeds of $74.25 million.</w:t>
      </w:r>
    </w:p>
    <w:p>
      <w:pPr>
        <w:spacing w:after="0" w:line="237" w:lineRule="exact"/>
        <w:rPr>
          <w:sz w:val="20"/>
          <w:szCs w:val="20"/>
          <w:color w:val="auto"/>
        </w:rPr>
      </w:pPr>
    </w:p>
    <w:p>
      <w:pPr>
        <w:ind w:right="600" w:firstLine="881"/>
        <w:spacing w:after="0" w:line="277" w:lineRule="auto"/>
        <w:rPr>
          <w:sz w:val="20"/>
          <w:szCs w:val="20"/>
          <w:color w:val="auto"/>
        </w:rPr>
      </w:pPr>
      <w:r>
        <w:rPr>
          <w:rFonts w:ascii="Arial" w:cs="Arial" w:eastAsia="Arial" w:hAnsi="Arial"/>
          <w:sz w:val="18"/>
          <w:szCs w:val="18"/>
          <w:color w:val="auto"/>
        </w:rPr>
        <w:t>Including the net proceeds from the Company’s IPO on September 30, 2013, the Company has raised approximately $329.4 million in net proceeds and credit availability in debt and equity offerings through June 30, 2015.</w:t>
      </w:r>
    </w:p>
    <w:p>
      <w:pPr>
        <w:spacing w:after="0" w:line="170"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The Company issued $113.4 million in aggregate principal amount of 7.125% fixed-rate notes in June of 2014, yielding net proceeds of $109.1 million after underwriting costs. The Notes will mature on June 16, 2021, and may be redeemed in whole or in part at any time or from time to time at the Company’s option on or after June 17, 2017 at a redemption price equal to 100% of the outstanding principal, plus accrued and unpaid interest. The notes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15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w:t>
      </w:r>
    </w:p>
    <w:p>
      <w:pPr>
        <w:spacing w:after="0" w:line="181" w:lineRule="exact"/>
        <w:rPr>
          <w:sz w:val="20"/>
          <w:szCs w:val="20"/>
          <w:color w:val="auto"/>
        </w:rPr>
      </w:pPr>
    </w:p>
    <w:p>
      <w:pPr>
        <w:ind w:right="200" w:firstLine="881"/>
        <w:spacing w:after="0" w:line="257" w:lineRule="auto"/>
        <w:rPr>
          <w:sz w:val="20"/>
          <w:szCs w:val="20"/>
          <w:color w:val="auto"/>
        </w:rPr>
      </w:pPr>
      <w:r>
        <w:rPr>
          <w:rFonts w:ascii="Arial" w:cs="Arial" w:eastAsia="Arial" w:hAnsi="Arial"/>
          <w:sz w:val="18"/>
          <w:szCs w:val="18"/>
          <w:color w:val="auto"/>
        </w:rPr>
        <w:t>On January 6, 2015, the Company entered into an Incremental Assumption Agreement, (the “Incremental Assumption Agreement”), relating to the Credit Facility. The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 As of June 30, 2015, the Company had no outstanding balance and $80.0 million available on the Credit Facility.</w:t>
      </w:r>
    </w:p>
    <w:p>
      <w:pPr>
        <w:spacing w:after="0" w:line="188"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On April 13, 2015, the Company completed an underwritten offering of 3,500,000 shares of its common stock at a public offering price of $18.32 per share. The total proceeds received in the offering net of underwriting discounts and offering costs were $61.7 million.</w:t>
      </w:r>
    </w:p>
    <w:p>
      <w:pPr>
        <w:spacing w:after="0" w:line="170"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w:t>
      </w:r>
    </w:p>
    <w:p>
      <w:pPr>
        <w:spacing w:after="0" w:line="193"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During the three and six months ended June 30, 2015, the Company repurchased 224,602 shares of common stock in open market transactions for an aggregate cost (including transaction costs) of $3.9 million. As of June 30, 2015, none of these share repurchases were unsettled. The Company is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18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As of June 30, 2015, Fund II had $26.2 million in regulatory capital and $42.2 million in SBA- 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left="880"/>
        <w:spacing w:after="0"/>
        <w:rPr>
          <w:sz w:val="20"/>
          <w:szCs w:val="20"/>
          <w:color w:val="auto"/>
        </w:rPr>
      </w:pPr>
      <w:r>
        <w:rPr>
          <w:rFonts w:ascii="Arial" w:cs="Arial" w:eastAsia="Arial" w:hAnsi="Arial"/>
          <w:sz w:val="18"/>
          <w:szCs w:val="18"/>
          <w:color w:val="auto"/>
        </w:rPr>
        <w:t>As of June 30, 2015, we had $39.5 million in cash and cash equivalents, and our net assets totaled $291.9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will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Company’s significant contractual payment obligations as of June 30, 2015 is as follows (dollars in thousands):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w w:val="90"/>
              </w:rPr>
              <w:t>Contractual Obligations Payments Due by Period</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Less Than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1 - 3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3 - 5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4"/>
              </w:rPr>
              <w:t>More Than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 Years</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192,200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Note Obligations</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113,438</w:t>
            </w:r>
          </w:p>
        </w:tc>
        <w:tc>
          <w:tcPr>
            <w:tcW w:w="20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w w:val="98"/>
              </w:rPr>
              <w:t>113,438</w:t>
            </w: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305,638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167"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4" w:name="page55"/>
    <w:bookmarkEnd w:id="54"/>
    <w:p>
      <w:pPr>
        <w:ind w:left="880"/>
        <w:spacing w:after="0"/>
        <w:rPr>
          <w:sz w:val="20"/>
          <w:szCs w:val="20"/>
          <w:color w:val="auto"/>
        </w:rPr>
      </w:pPr>
      <w:r>
        <w:rPr>
          <w:rFonts w:ascii="Arial" w:cs="Arial" w:eastAsia="Arial" w:hAnsi="Arial"/>
          <w:sz w:val="18"/>
          <w:szCs w:val="18"/>
          <w:color w:val="auto"/>
        </w:rPr>
        <w:t>The following table summarizes our distributions declared since the IPO through June 30, 2015:</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Amount</w:t>
            </w: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Record Date</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Payment Date</w:t>
            </w:r>
          </w:p>
        </w:tc>
        <w:tc>
          <w:tcPr>
            <w:tcW w:w="440" w:type="dxa"/>
            <w:vAlign w:val="bottom"/>
          </w:tcPr>
          <w:p>
            <w:pPr>
              <w:spacing w:after="0"/>
              <w:rPr>
                <w:sz w:val="20"/>
                <w:szCs w:val="20"/>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22,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May 21, 2015</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May 28,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23, 2015</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April 29,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22, 2015</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December 30,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November 20, 2015</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November 27,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23, 2015</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October 29,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23, 2015</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29,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August 21, 2015</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August 28,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23, 2015</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July 30,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22, 2015</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29,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May 21, 2015</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May 28,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23, 2015</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April 29,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23, 2015</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March 30,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23, 2015</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March 30, 2015</w:t>
            </w:r>
          </w:p>
        </w:tc>
        <w:tc>
          <w:tcPr>
            <w:tcW w:w="4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20, 2015</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February 26, 2015</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January 22, 2015</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January 29, 2015</w:t>
            </w:r>
          </w:p>
        </w:tc>
        <w:tc>
          <w:tcPr>
            <w:tcW w:w="44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23"/>
        </w:trPr>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5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5"/>
              </w:rPr>
              <w:t>Total Distributions Declared</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Record Date</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Payment Date</w:t>
            </w:r>
          </w:p>
        </w:tc>
        <w:tc>
          <w:tcPr>
            <w:tcW w:w="440" w:type="dxa"/>
            <w:vAlign w:val="bottom"/>
          </w:tcPr>
          <w:p>
            <w:pPr>
              <w:spacing w:after="0"/>
              <w:rPr>
                <w:sz w:val="20"/>
                <w:szCs w:val="20"/>
                <w:color w:val="auto"/>
              </w:rPr>
            </w:pPr>
          </w:p>
        </w:tc>
        <w:tc>
          <w:tcPr>
            <w:tcW w:w="19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2014</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November 21, 2014</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28, 2014</w:t>
            </w:r>
          </w:p>
        </w:tc>
        <w:tc>
          <w:tcPr>
            <w:tcW w:w="4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22, 2014</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October 30, 2014</w:t>
            </w: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2014</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12, 2014</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26, 2014</w:t>
            </w: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8, 2014</w:t>
            </w: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June 9, 2014</w:t>
            </w:r>
          </w:p>
        </w:tc>
        <w:tc>
          <w:tcPr>
            <w:tcW w:w="2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June 26, 2014</w:t>
            </w: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14, 2014</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March 26, 2014</w:t>
            </w:r>
          </w:p>
        </w:tc>
        <w:tc>
          <w:tcPr>
            <w:tcW w:w="4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r>
      <w:tr>
        <w:trPr>
          <w:trHeight w:val="223"/>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w w:val="95"/>
              </w:rPr>
              <w:t>Total Distributions Declared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Record Date</w:t>
            </w:r>
          </w:p>
        </w:tc>
        <w:tc>
          <w:tcPr>
            <w:tcW w:w="2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Payment Date</w:t>
            </w:r>
          </w:p>
        </w:tc>
        <w:tc>
          <w:tcPr>
            <w:tcW w:w="44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 2013</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2013</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w w:val="95"/>
              </w:rPr>
              <w:t>Total Distributions Declared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Related Parties</w:t>
            </w: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4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We have entered into the Advisory Agreement with Capitala Investment Advisors. Mr. Alala, our chief executive officer, president and chairman of our Board of Directors, is the managing partner and chief investment officer of Capitala Investment Advisors, and Mr. Broyhill, a member of our Board of Directors, has an indirect controlling interest in Capitala Investment Advisors.</w:t>
      </w:r>
    </w:p>
    <w:p>
      <w:pPr>
        <w:spacing w:after="0" w:line="181"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In addition, Capitala Investment Advisors’ investment team manages CapitalSouth Partners SBIC Fund IV, L.P. (“Fund IV”), a private investment limited partnership providing financing solutions to companies that generate between $5 million and $50 million in annual revenues and have between $1 million and $5 million in annual earnings before interest, taxes, depreciation and amortization. Fund IV had its first closing in March 2013 and obtained approval for its Small Business Investment Company license from the U.S. Small Business Administration in April 2013. In addition to Fund IV, affiliates of Capitala Investment Advisors manage several other affiliated funds. Capitala Investment Advisors and its affiliates may determine that an investment is appropriate for us and for one or more of those other funds. In such event, depending on the availability of such investment and other appropriate factors, Capitala Investment Advisors or its affiliates may determine that we should invest side-by-side with one or more other funds. Any such investments will be made only to the extent permitted by applicable law and interpretive positions of the SEC and its staff, and consistent with Capitala Investment Advisors’ allocation procedures. We will not co-invest in transactions with other entities affiliated with Capitala Investment Advisors unless we obtain an exemptive order from the SEC or do so in accordance with existing regulatory guidance. We do not expect to make co-investments, or otherwise compete for investment opportunities, with Fund IV because its focus and investment strategy differ from our own.</w:t>
      </w:r>
    </w:p>
    <w:p>
      <w:pPr>
        <w:spacing w:after="0" w:line="183"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entered into a license agreement with Capitala Investment Advisors, pursuant to which Capitala Investment Advisors has agreed to grant us a non-exclusive, royalty-free license to use the name “Capitala.”</w:t>
      </w:r>
    </w:p>
    <w:p>
      <w:pPr>
        <w:spacing w:after="0" w:line="170"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of Directors, is the chief executive officer, president and a director of our Administrator, and Mr. Broyhill, a member of our Board of Directors, has an indirect controlling interest in Capitala Investment Advisors.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424"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July 1, 2015, the Company’s Board of Directors declared normal monthly distributions for July, August, and September of 2015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Date Declared</w:t>
            </w:r>
          </w:p>
        </w:tc>
        <w:tc>
          <w:tcPr>
            <w:tcW w:w="2520" w:type="dxa"/>
            <w:vAlign w:val="bottom"/>
            <w:gridSpan w:val="2"/>
          </w:tcPr>
          <w:p>
            <w:pPr>
              <w:ind w:left="760"/>
              <w:spacing w:after="0"/>
              <w:rPr>
                <w:sz w:val="20"/>
                <w:szCs w:val="20"/>
                <w:color w:val="auto"/>
              </w:rPr>
            </w:pPr>
            <w:r>
              <w:rPr>
                <w:rFonts w:ascii="Arial" w:cs="Arial" w:eastAsia="Arial" w:hAnsi="Arial"/>
                <w:sz w:val="18"/>
                <w:szCs w:val="18"/>
                <w:color w:val="auto"/>
              </w:rPr>
              <w:t>Record Date</w:t>
            </w:r>
          </w:p>
        </w:tc>
        <w:tc>
          <w:tcPr>
            <w:tcW w:w="2500" w:type="dxa"/>
            <w:vAlign w:val="bottom"/>
            <w:gridSpan w:val="2"/>
          </w:tcPr>
          <w:p>
            <w:pPr>
              <w:ind w:left="700"/>
              <w:spacing w:after="0"/>
              <w:rPr>
                <w:sz w:val="20"/>
                <w:szCs w:val="20"/>
                <w:color w:val="auto"/>
              </w:rPr>
            </w:pPr>
            <w:r>
              <w:rPr>
                <w:rFonts w:ascii="Arial" w:cs="Arial" w:eastAsia="Arial" w:hAnsi="Arial"/>
                <w:sz w:val="18"/>
                <w:szCs w:val="18"/>
                <w:color w:val="auto"/>
              </w:rPr>
              <w:t>Payment Date</w:t>
            </w:r>
          </w:p>
        </w:tc>
        <w:tc>
          <w:tcPr>
            <w:tcW w:w="220" w:type="dxa"/>
            <w:vAlign w:val="bottom"/>
          </w:tcPr>
          <w:p>
            <w:pPr>
              <w:spacing w:after="0"/>
              <w:rPr>
                <w:sz w:val="20"/>
                <w:szCs w:val="20"/>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Distributions per Share</w:t>
            </w:r>
          </w:p>
        </w:tc>
      </w:tr>
      <w:tr>
        <w:trPr>
          <w:trHeight w:val="210"/>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July 23, 2015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July 30, 2015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2015</w:t>
            </w: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1"/>
              </w:rPr>
              <w:t>August 21, 2015</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August 28, 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1, 2015</w:t>
            </w:r>
          </w:p>
        </w:tc>
        <w:tc>
          <w:tcPr>
            <w:tcW w:w="2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September 23, 2015</w:t>
            </w:r>
          </w:p>
        </w:tc>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13, 2015, the Company received $4.8 million in proceeds for liquidation of our investments in Southern Pump &amp; Tank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24, 2015, the Company invested $8.0 million in subordinated debt of Vology, Inc. yielding 15% cash interest.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July 31, 2015, the Company invested $27.0 million in senior secured term debt of Western Window Systems, LLC initially yielding 12.2% cash interest. The Company also invested $3.0 million in the common stock of Western Window Systems, LLC. The Company led syndication of this investment, which included a $5.0 million revolver and an $18.0 million first-out term loan.</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July 31, 2015, the Company funded its $6.0 million commitment to U.S. Well Services, LLC senior secured debt, yielding 12% interest.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2015, we did not engage in hedging activities.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June 30, 2015, the Company held 15 securities at a cost of $123.3 million and a fair value of $122.6 million, bearing a variable rate of interest. The Company’s variable rate investments represent approximately 26.2% of the fair market value of total interest earning debt investments. All variable rate securities are London Interbank Offered Rate (“LIBOR”) based and are subject to interest rate floors. As of June 30, 2015, all variable rate securities were yielding interest at a rate equal to the established interest rate floor. As of June 30, 2015, the Company had no outstanding balance on its revolving credit facility which has a variable rate of interest at LIBOR + 300. As of June 30, 2015, all of our other interest paying liabilities, consisting of $192.2 million in SBA-guaranteed debentures and $113.4 million in notes payable, were bearing interest at a fixed rate.</w:t>
      </w:r>
    </w:p>
    <w:p>
      <w:pPr>
        <w:spacing w:after="0" w:line="178" w:lineRule="exact"/>
        <w:rPr>
          <w:sz w:val="20"/>
          <w:szCs w:val="20"/>
          <w:color w:val="auto"/>
        </w:rPr>
      </w:pPr>
    </w:p>
    <w:p>
      <w:pPr>
        <w:ind w:right="20" w:firstLine="484"/>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ind w:firstLine="484"/>
        <w:spacing w:after="0" w:line="264" w:lineRule="auto"/>
        <w:rPr>
          <w:sz w:val="20"/>
          <w:szCs w:val="20"/>
          <w:color w:val="auto"/>
        </w:rPr>
      </w:pPr>
      <w:r>
        <w:rPr>
          <w:rFonts w:ascii="Arial" w:cs="Arial" w:eastAsia="Arial" w:hAnsi="Arial"/>
          <w:sz w:val="18"/>
          <w:szCs w:val="18"/>
          <w:color w:val="auto"/>
        </w:rPr>
        <w:t>Based on our June 30, 2015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 ):</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Basis Point Change</w:t>
            </w:r>
          </w:p>
        </w:tc>
        <w:tc>
          <w:tcPr>
            <w:tcW w:w="180" w:type="dxa"/>
            <w:vAlign w:val="bottom"/>
          </w:tcPr>
          <w:p>
            <w:pPr>
              <w:spacing w:after="0"/>
              <w:rPr>
                <w:sz w:val="20"/>
                <w:szCs w:val="20"/>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Interest Income</w:t>
            </w:r>
          </w:p>
        </w:tc>
        <w:tc>
          <w:tcPr>
            <w:tcW w:w="1420" w:type="dxa"/>
            <w:vAlign w:val="bottom"/>
          </w:tcPr>
          <w:p>
            <w:pPr>
              <w:ind w:left="200"/>
              <w:spacing w:after="0"/>
              <w:rPr>
                <w:sz w:val="20"/>
                <w:szCs w:val="20"/>
                <w:color w:val="auto"/>
              </w:rPr>
            </w:pPr>
            <w:r>
              <w:rPr>
                <w:rFonts w:ascii="Arial" w:cs="Arial" w:eastAsia="Arial" w:hAnsi="Arial"/>
                <w:sz w:val="18"/>
                <w:szCs w:val="18"/>
                <w:color w:val="auto"/>
                <w:w w:val="88"/>
              </w:rPr>
              <w:t>Interest Expense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Net Income</w:t>
            </w:r>
          </w:p>
        </w:tc>
      </w:tr>
      <w:tr>
        <w:trPr>
          <w:trHeight w:val="210"/>
        </w:trPr>
        <w:tc>
          <w:tcPr>
            <w:tcW w:w="4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Up 300 basis points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Up 200 basis points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1,446</w:t>
            </w:r>
          </w:p>
        </w:tc>
        <w:tc>
          <w:tcPr>
            <w:tcW w:w="142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r>
      <w:tr>
        <w:trPr>
          <w:trHeight w:val="216"/>
        </w:trPr>
        <w:tc>
          <w:tcPr>
            <w:tcW w:w="4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Up 100 basis points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Down 100 basis points</w:t>
            </w:r>
          </w:p>
        </w:tc>
        <w:tc>
          <w:tcPr>
            <w:tcW w:w="1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Down 200 basis points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Down 300 basis points</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900" w:hanging="514"/>
        <w:spacing w:after="0"/>
        <w:tabs>
          <w:tab w:leader="none" w:pos="9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As of June 30, 2015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900" w:hanging="514"/>
        <w:spacing w:after="0"/>
        <w:tabs>
          <w:tab w:leader="none" w:pos="9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2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financing reporting that occurred during the second quarter of 2015 that has materially affected, or is reasonably likely to materially affect, the Company’s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None of us, our Investment Advisor or Administrator or any of the Legacy Funds, is currently subject to any material legal proceedings, nor, to our knowledge, is any material legal proceeding threatened against us, against our Investment Advisor,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2014,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During the quarter ended June 30, 2015, we issued 9,751 shares of common stock under our dividend reinvestment plan. The issuances were not subject to the registration requirements under the Securities Act of 1933, as amended. The cash paid for shares of common stock issued under our dividend reinvestment plan during the quarter ended June 30, 2015 was approximately $151 thousand. Other than the shares issued under our dividend reinvestment plan during the quarter ended June 30, 2015, we did not sell any unregistered equity securities.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and six months ended June 30, 2015, we repurchased 224,602 shares at a weighted average price of $17.29 resulting in $3.9 million paid during the three and six months ended June 30, 2015. The following table outlines repurchases of our common stock during the three and six months ended June 30,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Maximum Number</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(or Approximate</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Shares that May Yet</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Average Price Paid</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Be Purchased Under</w:t>
            </w:r>
          </w:p>
        </w:tc>
      </w:tr>
      <w:tr>
        <w:trPr>
          <w:trHeight w:val="234"/>
        </w:trPr>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2"/>
          </w:tcPr>
          <w:p>
            <w:pPr>
              <w:ind w:left="1360"/>
              <w:spacing w:after="0"/>
              <w:rPr>
                <w:sz w:val="20"/>
                <w:szCs w:val="20"/>
                <w:color w:val="auto"/>
              </w:rPr>
            </w:pPr>
            <w:r>
              <w:rPr>
                <w:rFonts w:ascii="Arial" w:cs="Arial" w:eastAsia="Arial" w:hAnsi="Arial"/>
                <w:sz w:val="18"/>
                <w:szCs w:val="18"/>
                <w:b w:val="1"/>
                <w:bCs w:val="1"/>
                <w:color w:val="auto"/>
              </w:rPr>
              <w:t>Period</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Purchased</w:t>
            </w:r>
          </w:p>
        </w:tc>
        <w:tc>
          <w:tcPr>
            <w:tcW w:w="2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Program</w:t>
            </w:r>
          </w:p>
        </w:tc>
        <w:tc>
          <w:tcPr>
            <w:tcW w:w="12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the Program</w:t>
            </w:r>
          </w:p>
        </w:tc>
      </w:tr>
      <w:tr>
        <w:trPr>
          <w:trHeight w:val="210"/>
        </w:trPr>
        <w:tc>
          <w:tcPr>
            <w:tcW w:w="26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April 1, 2015 – June 30, 2015</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224,602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6"/>
              </w:rPr>
              <w:t>8.1 million</w:t>
            </w:r>
          </w:p>
        </w:tc>
        <w:tc>
          <w:tcPr>
            <w:tcW w:w="80" w:type="dxa"/>
            <w:vAlign w:val="bottom"/>
            <w:tcBorders>
              <w:top w:val="single" w:sz="8" w:color="CCEEFF"/>
            </w:tcBorders>
            <w:shd w:val="clear" w:color="auto" w:fill="CCEEFF"/>
          </w:tcPr>
          <w:p>
            <w:pPr>
              <w:spacing w:after="0"/>
              <w:rPr>
                <w:sz w:val="18"/>
                <w:szCs w:val="18"/>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3.</w:t>
            </w: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4.</w:t>
            </w: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20"/>
          </w:cols>
          <w:pgMar w:left="240" w:top="877" w:right="239" w:bottom="1440" w:gutter="0" w:footer="0" w:header="0"/>
        </w:sect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Number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68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925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Articles of Amendment and Restatement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Fund II Limited Partnership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SBIC Fund III, L.P.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Bylaws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Form of Amended and Restated Limited Partnership Agreement of CapitalSouth Partners Fund II Limited Partnership </w:t>
      </w:r>
      <w:r>
        <w:rPr>
          <w:rFonts w:ascii="Arial" w:cs="Arial" w:eastAsia="Arial" w:hAnsi="Arial"/>
          <w:sz w:val="26"/>
          <w:szCs w:val="26"/>
          <w:color w:val="auto"/>
          <w:vertAlign w:val="superscript"/>
        </w:rPr>
        <w:t>(3)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Form of Amended and Restated Agreement of Limited Partnership of CapitalSouth Partners SBIC Fund III, L.P. </w:t>
      </w:r>
      <w:r>
        <w:rPr>
          <w:rFonts w:ascii="Arial" w:cs="Arial" w:eastAsia="Arial" w:hAnsi="Arial"/>
          <w:sz w:val="28"/>
          <w:szCs w:val="28"/>
          <w:color w:val="auto"/>
          <w:vertAlign w:val="superscript"/>
        </w:rPr>
        <w:t>(3)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Common Stock Certificate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Base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First Supplemental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Global Note (included as Exhibit A to the Form of First Supplemental Indenture) </w:t>
      </w:r>
      <w:r>
        <w:rPr>
          <w:rFonts w:ascii="Arial" w:cs="Arial" w:eastAsia="Arial" w:hAnsi="Arial"/>
          <w:sz w:val="30"/>
          <w:szCs w:val="30"/>
          <w:color w:val="auto"/>
          <w:vertAlign w:val="superscript"/>
        </w:rPr>
        <w:t>(4)</w:t>
      </w:r>
    </w:p>
    <w:p>
      <w:pPr>
        <w:spacing w:after="0" w:line="124" w:lineRule="exact"/>
        <w:rPr>
          <w:sz w:val="20"/>
          <w:szCs w:val="20"/>
          <w:color w:val="auto"/>
        </w:rPr>
      </w:pPr>
    </w:p>
    <w:p>
      <w:pPr>
        <w:sectPr>
          <w:pgSz w:w="11900" w:h="16838" w:orient="portrait"/>
          <w:cols w:equalWidth="0" w:num="2">
            <w:col w:w="1300" w:space="520"/>
            <w:col w:w="960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Dividend Reinvestment Plan </w:t>
            </w:r>
            <w:r>
              <w:rPr>
                <w:rFonts w:ascii="Arial" w:cs="Arial" w:eastAsia="Arial" w:hAnsi="Arial"/>
                <w:sz w:val="30"/>
                <w:szCs w:val="30"/>
                <w:color w:val="auto"/>
                <w:vertAlign w:val="superscript"/>
              </w:rPr>
              <w:t>(1)</w:t>
            </w:r>
          </w:p>
        </w:tc>
      </w:tr>
      <w:tr>
        <w:trPr>
          <w:trHeight w:val="473"/>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Investment Advisory Agreement by and between Registrant and Capitala Investment Advisors, LLC </w:t>
            </w:r>
            <w:r>
              <w:rPr>
                <w:rFonts w:ascii="Arial" w:cs="Arial" w:eastAsia="Arial" w:hAnsi="Arial"/>
                <w:sz w:val="30"/>
                <w:szCs w:val="30"/>
                <w:color w:val="auto"/>
                <w:vertAlign w:val="superscript"/>
              </w:rPr>
              <w:t>(1)</w:t>
            </w:r>
          </w:p>
        </w:tc>
      </w:tr>
      <w:tr>
        <w:trPr>
          <w:trHeight w:val="473"/>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Custodian Agreement </w:t>
            </w:r>
            <w:r>
              <w:rPr>
                <w:rFonts w:ascii="Arial" w:cs="Arial" w:eastAsia="Arial" w:hAnsi="Arial"/>
                <w:sz w:val="30"/>
                <w:szCs w:val="30"/>
                <w:color w:val="auto"/>
                <w:vertAlign w:val="superscript"/>
              </w:rPr>
              <w:t>(1)</w:t>
            </w:r>
          </w:p>
        </w:tc>
      </w:tr>
      <w:tr>
        <w:trPr>
          <w:trHeight w:val="473"/>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Administration Agreement by and between Registrant and Capitala Advisors Corp. </w:t>
            </w:r>
            <w:r>
              <w:rPr>
                <w:rFonts w:ascii="Arial" w:cs="Arial" w:eastAsia="Arial" w:hAnsi="Arial"/>
                <w:sz w:val="30"/>
                <w:szCs w:val="30"/>
                <w:color w:val="auto"/>
                <w:vertAlign w:val="superscript"/>
              </w:rPr>
              <w:t>(1)</w:t>
            </w:r>
          </w:p>
        </w:tc>
      </w:tr>
      <w:tr>
        <w:trPr>
          <w:trHeight w:val="473"/>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Indemnification Agreement by and between Registrant and each of its directors </w:t>
            </w:r>
            <w:r>
              <w:rPr>
                <w:rFonts w:ascii="Arial" w:cs="Arial" w:eastAsia="Arial" w:hAnsi="Arial"/>
                <w:sz w:val="30"/>
                <w:szCs w:val="30"/>
                <w:color w:val="auto"/>
                <w:vertAlign w:val="superscript"/>
              </w:rPr>
              <w:t>(1)</w:t>
            </w:r>
          </w:p>
        </w:tc>
      </w:tr>
      <w:tr>
        <w:trPr>
          <w:trHeight w:val="473"/>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10.6</w:t>
            </w: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Form of Trademark License Agreement by and between Registrant and Capitala Investment Advisors, LLC </w:t>
            </w:r>
            <w:r>
              <w:rPr>
                <w:rFonts w:ascii="Arial" w:cs="Arial" w:eastAsia="Arial" w:hAnsi="Arial"/>
                <w:sz w:val="30"/>
                <w:szCs w:val="30"/>
                <w:color w:val="auto"/>
                <w:vertAlign w:val="superscript"/>
              </w:rPr>
              <w:t>(1)</w:t>
            </w:r>
          </w:p>
        </w:tc>
      </w:tr>
      <w:tr>
        <w:trPr>
          <w:trHeight w:val="29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0020" w:type="dxa"/>
            <w:vAlign w:val="bottom"/>
          </w:tcPr>
          <w:p>
            <w:pPr>
              <w:ind w:left="420"/>
              <w:spacing w:after="0"/>
              <w:rPr>
                <w:sz w:val="20"/>
                <w:szCs w:val="20"/>
                <w:color w:val="auto"/>
              </w:rPr>
            </w:pPr>
            <w:r>
              <w:rPr>
                <w:rFonts w:ascii="Arial" w:cs="Arial" w:eastAsia="Arial" w:hAnsi="Arial"/>
                <w:sz w:val="18"/>
                <w:szCs w:val="18"/>
                <w:color w:val="auto"/>
                <w:w w:val="94"/>
              </w:rPr>
              <w:t>Form of Senior Secured Revolving Credit Agreement dated October 17, 2014, among Capitala Finance Corp., as Borrower, the</w:t>
            </w:r>
          </w:p>
        </w:tc>
      </w:tr>
      <w:tr>
        <w:trPr>
          <w:trHeight w:val="390"/>
        </w:trPr>
        <w:tc>
          <w:tcPr>
            <w:tcW w:w="1400" w:type="dxa"/>
            <w:vAlign w:val="bottom"/>
          </w:tcPr>
          <w:p>
            <w:pPr>
              <w:spacing w:after="0"/>
              <w:rPr>
                <w:sz w:val="24"/>
                <w:szCs w:val="24"/>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lenders party thereto, and ING Capital LLC, as Administrative Agent, Arranger and Bookrunner </w:t>
            </w:r>
            <w:r>
              <w:rPr>
                <w:rFonts w:ascii="Arial" w:cs="Arial" w:eastAsia="Arial" w:hAnsi="Arial"/>
                <w:sz w:val="30"/>
                <w:szCs w:val="30"/>
                <w:color w:val="auto"/>
                <w:vertAlign w:val="superscript"/>
              </w:rPr>
              <w:t>(5)</w:t>
            </w:r>
          </w:p>
        </w:tc>
      </w:tr>
      <w:tr>
        <w:trPr>
          <w:trHeight w:val="295"/>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10.8</w:t>
            </w:r>
          </w:p>
        </w:tc>
        <w:tc>
          <w:tcPr>
            <w:tcW w:w="10020" w:type="dxa"/>
            <w:vAlign w:val="bottom"/>
          </w:tcPr>
          <w:p>
            <w:pPr>
              <w:ind w:left="460"/>
              <w:spacing w:after="0"/>
              <w:rPr>
                <w:sz w:val="20"/>
                <w:szCs w:val="20"/>
                <w:color w:val="auto"/>
              </w:rPr>
            </w:pPr>
            <w:r>
              <w:rPr>
                <w:rFonts w:ascii="Arial" w:cs="Arial" w:eastAsia="Arial" w:hAnsi="Arial"/>
                <w:sz w:val="18"/>
                <w:szCs w:val="18"/>
                <w:color w:val="auto"/>
                <w:w w:val="94"/>
              </w:rPr>
              <w:t>Form of Guarantee, Pledge and Security Agreement dated October 17, 2014, among Capitala Finance Corp., as Borrower, the</w:t>
            </w:r>
          </w:p>
        </w:tc>
      </w:tr>
      <w:tr>
        <w:trPr>
          <w:trHeight w:val="220"/>
        </w:trPr>
        <w:tc>
          <w:tcPr>
            <w:tcW w:w="14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w w:val="98"/>
              </w:rPr>
              <w:t>subsidiary guarantors party thereto, ING Capital LLC, as Revolving Administrative Agent for the Revolving Lenders and as</w:t>
            </w:r>
          </w:p>
        </w:tc>
      </w:tr>
      <w:tr>
        <w:trPr>
          <w:trHeight w:val="390"/>
        </w:trPr>
        <w:tc>
          <w:tcPr>
            <w:tcW w:w="1400" w:type="dxa"/>
            <w:vAlign w:val="bottom"/>
          </w:tcPr>
          <w:p>
            <w:pPr>
              <w:spacing w:after="0"/>
              <w:rPr>
                <w:sz w:val="24"/>
                <w:szCs w:val="24"/>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Collateral Agent, and each Financing Agent and Designated Indebtedness Holder party thereto </w:t>
            </w:r>
            <w:r>
              <w:rPr>
                <w:rFonts w:ascii="Arial" w:cs="Arial" w:eastAsia="Arial" w:hAnsi="Arial"/>
                <w:sz w:val="30"/>
                <w:szCs w:val="30"/>
                <w:color w:val="auto"/>
                <w:vertAlign w:val="superscript"/>
              </w:rPr>
              <w:t>(5)</w:t>
            </w:r>
          </w:p>
        </w:tc>
      </w:tr>
      <w:tr>
        <w:trPr>
          <w:trHeight w:val="295"/>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10.9</w:t>
            </w:r>
          </w:p>
        </w:tc>
        <w:tc>
          <w:tcPr>
            <w:tcW w:w="10020" w:type="dxa"/>
            <w:vAlign w:val="bottom"/>
          </w:tcPr>
          <w:p>
            <w:pPr>
              <w:ind w:left="420"/>
              <w:spacing w:after="0"/>
              <w:rPr>
                <w:sz w:val="20"/>
                <w:szCs w:val="20"/>
                <w:color w:val="auto"/>
              </w:rPr>
            </w:pPr>
            <w:r>
              <w:rPr>
                <w:rFonts w:ascii="Arial" w:cs="Arial" w:eastAsia="Arial" w:hAnsi="Arial"/>
                <w:sz w:val="18"/>
                <w:szCs w:val="18"/>
                <w:color w:val="auto"/>
                <w:w w:val="93"/>
              </w:rPr>
              <w:t>Form of Incremental Assumption Agreement, dated January 6, 2015, relating to the Senior Secured Revolving Credit Agreement,</w:t>
            </w:r>
          </w:p>
        </w:tc>
      </w:tr>
      <w:tr>
        <w:trPr>
          <w:trHeight w:val="220"/>
        </w:trPr>
        <w:tc>
          <w:tcPr>
            <w:tcW w:w="14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w w:val="94"/>
              </w:rPr>
              <w:t>dated as of October 17, 2014, among Capitala Finance Corp., as borrower, the lenders from time to time party thereto, and ING</w:t>
            </w:r>
          </w:p>
        </w:tc>
      </w:tr>
      <w:tr>
        <w:trPr>
          <w:trHeight w:val="390"/>
        </w:trPr>
        <w:tc>
          <w:tcPr>
            <w:tcW w:w="1400" w:type="dxa"/>
            <w:vAlign w:val="bottom"/>
          </w:tcPr>
          <w:p>
            <w:pPr>
              <w:spacing w:after="0"/>
              <w:rPr>
                <w:sz w:val="24"/>
                <w:szCs w:val="24"/>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 xml:space="preserve">Capital LLC, as administrative agent, arranger and bookrunner </w:t>
            </w:r>
            <w:r>
              <w:rPr>
                <w:rFonts w:ascii="Arial" w:cs="Arial" w:eastAsia="Arial" w:hAnsi="Arial"/>
                <w:sz w:val="30"/>
                <w:szCs w:val="30"/>
                <w:color w:val="auto"/>
                <w:vertAlign w:val="superscript"/>
              </w:rPr>
              <w:t>(6)</w:t>
            </w:r>
          </w:p>
        </w:tc>
      </w:tr>
      <w:tr>
        <w:trPr>
          <w:trHeight w:val="525"/>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2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877" w:right="239" w:bottom="1440" w:gutter="0" w:footer="0" w:header="0"/>
          <w:type w:val="continuous"/>
        </w:sectPr>
      </w:pPr>
    </w:p>
    <w:bookmarkStart w:id="59" w:name="page60"/>
    <w:bookmarkEnd w:id="59"/>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9680" w:type="dxa"/>
            <w:vAlign w:val="bottom"/>
          </w:tcPr>
          <w:p>
            <w:pPr>
              <w:ind w:left="380"/>
              <w:spacing w:after="0"/>
              <w:rPr>
                <w:sz w:val="20"/>
                <w:szCs w:val="20"/>
                <w:color w:val="auto"/>
              </w:rPr>
            </w:pPr>
            <w:r>
              <w:rPr>
                <w:rFonts w:ascii="Arial" w:cs="Arial" w:eastAsia="Arial" w:hAnsi="Arial"/>
                <w:sz w:val="18"/>
                <w:szCs w:val="18"/>
                <w:color w:val="auto"/>
                <w:w w:val="93"/>
              </w:rPr>
              <w:t>First Amended and Restated Limited Liability Company Agreement of Capitala Senior Liquid Loan Fund I, LLC, dated March</w:t>
            </w:r>
          </w:p>
        </w:tc>
      </w:tr>
      <w:tr>
        <w:trPr>
          <w:trHeight w:val="390"/>
        </w:trPr>
        <w:tc>
          <w:tcPr>
            <w:tcW w:w="780" w:type="dxa"/>
            <w:vAlign w:val="bottom"/>
          </w:tcPr>
          <w:p>
            <w:pPr>
              <w:spacing w:after="0"/>
              <w:rPr>
                <w:sz w:val="24"/>
                <w:szCs w:val="24"/>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 xml:space="preserve">24, 2015 </w:t>
            </w:r>
            <w:r>
              <w:rPr>
                <w:rFonts w:ascii="Arial" w:cs="Arial" w:eastAsia="Arial" w:hAnsi="Arial"/>
                <w:sz w:val="30"/>
                <w:szCs w:val="30"/>
                <w:color w:val="auto"/>
                <w:vertAlign w:val="superscript"/>
              </w:rPr>
              <w:t>(7)</w:t>
            </w: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11.1</w:t>
            </w:r>
          </w:p>
        </w:tc>
        <w:tc>
          <w:tcPr>
            <w:tcW w:w="9680" w:type="dxa"/>
            <w:vAlign w:val="bottom"/>
          </w:tcPr>
          <w:p>
            <w:pPr>
              <w:ind w:left="380"/>
              <w:spacing w:after="0"/>
              <w:rPr>
                <w:sz w:val="20"/>
                <w:szCs w:val="20"/>
                <w:color w:val="auto"/>
              </w:rPr>
            </w:pPr>
            <w:r>
              <w:rPr>
                <w:rFonts w:ascii="Arial" w:cs="Arial" w:eastAsia="Arial" w:hAnsi="Arial"/>
                <w:sz w:val="18"/>
                <w:szCs w:val="18"/>
                <w:color w:val="auto"/>
                <w:w w:val="95"/>
              </w:rPr>
              <w:t>Computation of Per Share Earnings (included in the notes to the consolidated financial statements contained in this report)</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tcPr>
          <w:p>
            <w:pPr>
              <w:ind w:left="380"/>
              <w:spacing w:after="0"/>
              <w:rPr>
                <w:sz w:val="20"/>
                <w:szCs w:val="20"/>
                <w:color w:val="auto"/>
              </w:rPr>
            </w:pPr>
            <w:r>
              <w:rPr>
                <w:rFonts w:ascii="Arial" w:cs="Arial" w:eastAsia="Arial" w:hAnsi="Arial"/>
                <w:sz w:val="18"/>
                <w:szCs w:val="18"/>
                <w:color w:val="auto"/>
                <w:w w:val="91"/>
              </w:rPr>
              <w:t>Certification of Chief Executive Officer pursuant to Rule 13a-14 of the Securities Exchange Act of 1934, as adopted pursuant to</w:t>
            </w:r>
          </w:p>
        </w:tc>
      </w:tr>
      <w:tr>
        <w:trPr>
          <w:trHeight w:val="230"/>
        </w:trPr>
        <w:tc>
          <w:tcPr>
            <w:tcW w:w="78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tcPr>
          <w:p>
            <w:pPr>
              <w:ind w:left="380"/>
              <w:spacing w:after="0"/>
              <w:rPr>
                <w:sz w:val="20"/>
                <w:szCs w:val="20"/>
                <w:color w:val="auto"/>
              </w:rPr>
            </w:pPr>
            <w:r>
              <w:rPr>
                <w:rFonts w:ascii="Arial" w:cs="Arial" w:eastAsia="Arial" w:hAnsi="Arial"/>
                <w:sz w:val="18"/>
                <w:szCs w:val="18"/>
                <w:color w:val="auto"/>
                <w:w w:val="92"/>
              </w:rPr>
              <w:t>Certification of Chief Financial Officer pursuant to Rule 13a-14 of the Securities Exchange Act of 1934, as adopted pursuant to</w:t>
            </w:r>
          </w:p>
        </w:tc>
      </w:tr>
      <w:tr>
        <w:trPr>
          <w:trHeight w:val="230"/>
        </w:trPr>
        <w:tc>
          <w:tcPr>
            <w:tcW w:w="78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of 2002 (filed herewith)</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18 U.S.C. Section 1350, as adopted pursuant to section 906 of the Sarbanes-Oxley Act of</w:t>
            </w:r>
          </w:p>
        </w:tc>
      </w:tr>
      <w:tr>
        <w:trPr>
          <w:trHeight w:val="230"/>
        </w:trPr>
        <w:tc>
          <w:tcPr>
            <w:tcW w:w="78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171450</wp:posOffset>
            </wp:positionV>
            <wp:extent cx="1724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944" w:right="60" w:hanging="94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944" w:hanging="94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944" w:hanging="94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944" w:hanging="94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170" w:lineRule="exact"/>
        <w:rPr>
          <w:rFonts w:ascii="Arial" w:cs="Arial" w:eastAsia="Arial" w:hAnsi="Arial"/>
          <w:sz w:val="18"/>
          <w:szCs w:val="18"/>
          <w:color w:val="auto"/>
        </w:rPr>
      </w:pPr>
    </w:p>
    <w:p>
      <w:pPr>
        <w:ind w:left="944" w:hanging="944"/>
        <w:spacing w:after="0"/>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225" w:lineRule="exact"/>
        <w:rPr>
          <w:rFonts w:ascii="Arial" w:cs="Arial" w:eastAsia="Arial" w:hAnsi="Arial"/>
          <w:sz w:val="18"/>
          <w:szCs w:val="18"/>
          <w:color w:val="auto"/>
        </w:rPr>
      </w:pPr>
    </w:p>
    <w:p>
      <w:pPr>
        <w:ind w:left="944" w:hanging="944"/>
        <w:spacing w:after="0"/>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225" w:lineRule="exact"/>
        <w:rPr>
          <w:rFonts w:ascii="Arial" w:cs="Arial" w:eastAsia="Arial" w:hAnsi="Arial"/>
          <w:sz w:val="18"/>
          <w:szCs w:val="18"/>
          <w:color w:val="auto"/>
        </w:rPr>
      </w:pPr>
    </w:p>
    <w:p>
      <w:pPr>
        <w:ind w:left="944" w:hanging="944"/>
        <w:spacing w:after="0"/>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200" w:lineRule="exact"/>
        <w:rPr>
          <w:sz w:val="20"/>
          <w:szCs w:val="20"/>
          <w:color w:val="auto"/>
        </w:rPr>
      </w:pPr>
    </w:p>
    <w:p>
      <w:pPr>
        <w:spacing w:after="0" w:line="241"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4"/>
          </w:cols>
          <w:pgMar w:left="896" w:top="881" w:right="5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10, 2015</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10, 2015</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50</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hanging="564"/>
        <w:spacing w:after="0" w:line="277"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right="500" w:hanging="564"/>
        <w:spacing w:after="0" w:line="277"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June 30,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right="540" w:hanging="564"/>
        <w:spacing w:after="0" w:line="277"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June 30,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hanging="564"/>
        <w:spacing w:after="0" w:line="277"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upperLetter"/>
      <w:start w:val="35"/>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2019-12-29T16:49:55Z</dcterms:created>
  <dcterms:modified xsi:type="dcterms:W3CDTF">2019-12-29T16:49:55Z</dcterms:modified>
</cp:coreProperties>
</file>