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295719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56" w:lineRule="exact"/>
        <w:rPr>
          <w:sz w:val="24"/>
          <w:szCs w:val="24"/>
          <w:color w:val="auto"/>
        </w:rPr>
      </w:pPr>
    </w:p>
    <w:p>
      <w:pPr>
        <w:jc w:val="center"/>
        <w:spacing w:after="0" w:line="321" w:lineRule="auto"/>
        <w:rPr>
          <w:sz w:val="20"/>
          <w:szCs w:val="20"/>
          <w:color w:val="auto"/>
        </w:rPr>
      </w:pPr>
      <w:r>
        <w:rPr>
          <w:rFonts w:ascii="Arial" w:cs="Arial" w:eastAsia="Arial" w:hAnsi="Arial"/>
          <w:sz w:val="25"/>
          <w:szCs w:val="25"/>
          <w:b w:val="1"/>
          <w:bCs w:val="1"/>
          <w:color w:val="auto"/>
        </w:rPr>
        <w:t>Portman Ridge Finance Corporation Announces Corporate Rebranding, New Monthly Base Distribution, and Value Creation Initiatives</w:t>
      </w:r>
    </w:p>
    <w:p>
      <w:pPr>
        <w:spacing w:after="0" w:line="10"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Company to be Renamed “BCP Investment Corporation” and Trade Under New Ticker “BCIC”</w:t>
      </w:r>
    </w:p>
    <w:p>
      <w:pPr>
        <w:spacing w:after="0" w:line="152" w:lineRule="exact"/>
        <w:rPr>
          <w:sz w:val="24"/>
          <w:szCs w:val="24"/>
          <w:color w:val="auto"/>
        </w:rPr>
      </w:pPr>
    </w:p>
    <w:p>
      <w:pPr>
        <w:ind w:left="2120"/>
        <w:spacing w:after="0"/>
        <w:rPr>
          <w:sz w:val="20"/>
          <w:szCs w:val="20"/>
          <w:color w:val="auto"/>
        </w:rPr>
      </w:pPr>
      <w:r>
        <w:rPr>
          <w:rFonts w:ascii="Arial" w:cs="Arial" w:eastAsia="Arial" w:hAnsi="Arial"/>
          <w:sz w:val="22"/>
          <w:szCs w:val="22"/>
          <w:b w:val="1"/>
          <w:bCs w:val="1"/>
          <w:color w:val="auto"/>
        </w:rPr>
        <w:t>Transition to Paying the Quarterly Base Distribution Monthly in 2026</w:t>
      </w:r>
    </w:p>
    <w:p>
      <w:pPr>
        <w:spacing w:after="0" w:line="166" w:lineRule="exact"/>
        <w:rPr>
          <w:sz w:val="24"/>
          <w:szCs w:val="24"/>
          <w:color w:val="auto"/>
        </w:rPr>
      </w:pPr>
    </w:p>
    <w:p>
      <w:pPr>
        <w:ind w:left="180"/>
        <w:spacing w:after="0"/>
        <w:rPr>
          <w:sz w:val="20"/>
          <w:szCs w:val="20"/>
          <w:color w:val="auto"/>
        </w:rPr>
      </w:pPr>
      <w:r>
        <w:rPr>
          <w:rFonts w:ascii="Arial" w:cs="Arial" w:eastAsia="Arial" w:hAnsi="Arial"/>
          <w:sz w:val="21"/>
          <w:szCs w:val="21"/>
          <w:b w:val="1"/>
          <w:bCs w:val="1"/>
          <w:color w:val="auto"/>
        </w:rPr>
        <w:t>Company, Management, Adviser and Other Affiliates Intend to Acquire up to 20% of Common Shares Over</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Next 24 Months to the Extent the Stock Trades Below 80% of NAV</w:t>
      </w:r>
    </w:p>
    <w:p>
      <w:pPr>
        <w:spacing w:after="0" w:line="144" w:lineRule="exact"/>
        <w:rPr>
          <w:sz w:val="24"/>
          <w:szCs w:val="24"/>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NEW YORK, June 17, 2025 </w:t>
      </w:r>
      <w:r>
        <w:rPr>
          <w:rFonts w:ascii="Arial" w:cs="Arial" w:eastAsia="Arial" w:hAnsi="Arial"/>
          <w:sz w:val="22"/>
          <w:szCs w:val="22"/>
          <w:color w:val="auto"/>
        </w:rPr>
        <w:t>– Portman Ridge Finance Corporation (NASDAQ: PTMN) (“Portman Ridge” or “PTMN”),</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several updates and initiatives, aimed at enhancing shareholder value. These initiatives include a corporate name change, the transition to paying a monthly distribution, and an enhanced stock purchase program. These changes will go into effect following the successful closing of the merger with Logan Ridge Finance Corporation (“LRFC”).</w:t>
      </w:r>
    </w:p>
    <w:p>
      <w:pPr>
        <w:spacing w:after="0" w:line="101"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Upon closing, Portman Ridge will rebrand and begin operating under the name BCP Investment Corporation (the “Company” or “BCIC”). In connection with the rebranding, the Company will continue to trade on the Nasdaq under the new ticker symbol “BCIC”. This change better reflects the fact that the Company is fully integrated into the broader BC Partners Credit Platform and the credit platform’s commitment to the Company, which is a leading global alternative asset manager with almost $9.0 billion in assets under management across its credit platforms.</w:t>
      </w:r>
    </w:p>
    <w:p>
      <w:pPr>
        <w:spacing w:after="0" w:line="112"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Additionally, beginning in 2026, the Company will transition to paying its currently quarterly base distribution on a monthly basis, while retaining the potential for quarterly supplemental distributions. The quarterly supplemental distributions will continue to approximate 50% of the incremental net investment income earned in excess of the base monthly distributions. We believe that the transition to a monthly base distribution will be valued by investors and has the potential to increase liquidity in the Company’s stock.</w:t>
      </w:r>
    </w:p>
    <w:p>
      <w:pPr>
        <w:spacing w:after="0" w:line="112" w:lineRule="exact"/>
        <w:rPr>
          <w:sz w:val="24"/>
          <w:szCs w:val="24"/>
          <w:color w:val="auto"/>
        </w:rPr>
      </w:pPr>
    </w:p>
    <w:p>
      <w:pPr>
        <w:jc w:val="both"/>
        <w:spacing w:after="0" w:line="261" w:lineRule="auto"/>
        <w:rPr>
          <w:sz w:val="20"/>
          <w:szCs w:val="20"/>
          <w:color w:val="auto"/>
        </w:rPr>
      </w:pPr>
      <w:r>
        <w:rPr>
          <w:rFonts w:ascii="Arial" w:cs="Arial" w:eastAsia="Arial" w:hAnsi="Arial"/>
          <w:sz w:val="22"/>
          <w:szCs w:val="22"/>
          <w:color w:val="auto"/>
        </w:rPr>
        <w:t>To further align our interests with shareholders and drive additional value creation, the Company, along with its management, its adviser and their affiliates intend to acquire up to 20% of the Company’s outstanding common stock over the next 24 months to the extent the Company’s shares continue to trade below 80% of net asset value (“NAV”), which implies a share price of $15.08 based Portman Ridge’s March 31, 2025 NAV per share, or a 31% premium to PTMN’s June 16, 2025 closing market price. These purchases will begin no earlier than 60 calendar days following the date of the closing of the LRFC merger and may occur through</w:t>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22"/>
          <w:szCs w:val="22"/>
          <w:color w:val="auto"/>
        </w:rPr>
        <w:t>various methods, including open market purchases and privately negotiated transactions, and may be conducted pursuant to Rule 10b5-1 and Rule 10b-18 trading plans. In this regard and as previously announced, PTMN’s Board of Directors has authorized an open market stock repurchase program of up to $10 million for the period from March 12, 2025 to March 31, 2026. The Company, its management and its adviser also reserve the right to conduct tender offers as part of the Company’s broader value creation initiatives.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Ted Goldthorpe, President and Chief Executive Officer of PTMN and Head of the BC Partners Credit Platform, stated, “The corporate rebranding of Portman Ridge to BCP Investment Corporation reflects the Company’s affiliation with the broader BC Partners Credit Platform and underscores the significance of the Company to the platform as well as the credit platform’s commitment to its success.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Finally, we remain committed to addressing the discount to NAV at which our shares currently trade as well as increasing our ownership in the Company for better alignment with shareholders. We believe these value creation initiatives represent a thoughtful and constructive framework that supports long-term value creation for our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Meeting of Shareholders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The PTMN special meeting is scheduled for June 20, 2025, at 10:00 am ET. PTMN urges its shareholders to cast their votes by following the instructions outlined in the joint proxy statement. Shareholders of PTMN can also access</w:t>
      </w:r>
    </w:p>
    <w:p>
      <w:pPr>
        <w:jc w:val="both"/>
        <w:spacing w:after="0" w:line="264" w:lineRule="auto"/>
        <w:rPr>
          <w:sz w:val="20"/>
          <w:szCs w:val="20"/>
          <w:color w:val="auto"/>
        </w:rPr>
      </w:pPr>
      <w:r>
        <w:rPr>
          <w:rFonts w:ascii="Arial" w:cs="Arial" w:eastAsia="Arial" w:hAnsi="Arial"/>
          <w:sz w:val="22"/>
          <w:szCs w:val="22"/>
          <w:color w:val="auto"/>
        </w:rPr>
        <w:t xml:space="preserve">the virtual meeting and vote by going to the following website: </w:t>
      </w:r>
      <w:r>
        <w:rPr>
          <w:rFonts w:ascii="Arial" w:cs="Arial" w:eastAsia="Arial" w:hAnsi="Arial"/>
          <w:sz w:val="22"/>
          <w:szCs w:val="22"/>
          <w:u w:val="single" w:color="auto"/>
          <w:color w:val="467886"/>
        </w:rPr>
        <w:t>http://www.virtualshareholdermeeting.com/PTMN2025SM</w:t>
      </w:r>
      <w:r>
        <w:rPr>
          <w:rFonts w:ascii="Arial" w:cs="Arial" w:eastAsia="Arial" w:hAnsi="Arial"/>
          <w:sz w:val="22"/>
          <w:szCs w:val="22"/>
          <w:color w:val="000000"/>
        </w:rPr>
        <w:t>, or by calling 1-833-218-3911 and providing the control</w:t>
      </w:r>
      <w:r>
        <w:rPr>
          <w:rFonts w:ascii="Arial" w:cs="Arial" w:eastAsia="Arial" w:hAnsi="Arial"/>
          <w:sz w:val="22"/>
          <w:szCs w:val="22"/>
          <w:color w:val="467886"/>
        </w:rPr>
        <w:t xml:space="preserve"> </w:t>
      </w:r>
      <w:r>
        <w:rPr>
          <w:rFonts w:ascii="Arial" w:cs="Arial" w:eastAsia="Arial" w:hAnsi="Arial"/>
          <w:sz w:val="22"/>
          <w:szCs w:val="22"/>
          <w:color w:val="000000"/>
        </w:rPr>
        <w:t>number which is listed in the proxy card received.</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 xml:space="preserve">Shareholders can access the joint proxy statement and prospectus by clicking </w:t>
      </w:r>
      <w:r>
        <w:rPr>
          <w:rFonts w:ascii="Arial" w:cs="Arial" w:eastAsia="Arial" w:hAnsi="Arial"/>
          <w:sz w:val="22"/>
          <w:szCs w:val="22"/>
          <w:u w:val="single" w:color="auto"/>
          <w:color w:val="467886"/>
        </w:rPr>
        <w:t>HERE</w:t>
      </w:r>
      <w:r>
        <w:rPr>
          <w:rFonts w:ascii="Arial" w:cs="Arial" w:eastAsia="Arial" w:hAnsi="Arial"/>
          <w:sz w:val="22"/>
          <w:szCs w:val="22"/>
          <w:color w:val="auto"/>
        </w:rPr>
        <w:t>. Shareholders who have questions about the joint proxy statement or about voting their shares should contact the companies’ proxy solicitor, Broadridge, at 1-833-218-3911.</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 xml:space="preserve">PTMN is a publicly traded, externally managed closed-end investment company that has elected to be regulated as a business development company under the Investment Company Act of 1940. PTMN’s middle market investment business originates, structures, finances and manages a portfolio of term loans, mezzanine investments and selected equity securities in middle market companies. PTMN’s investment activities are managed by its investment adviser, Sierra Crest Investment Management LLC, an affiliate of BC Partners Advisors L.P. PTMN’s filings with the Securities and Exchange Commission (“SEC”), earnings releases, press releases and other financial, operational and governance information are available on Portman Ridge’s website at </w:t>
      </w:r>
      <w:r>
        <w:rPr>
          <w:rFonts w:ascii="Arial" w:cs="Arial" w:eastAsia="Arial" w:hAnsi="Arial"/>
          <w:sz w:val="21"/>
          <w:szCs w:val="21"/>
          <w:u w:val="single" w:color="auto"/>
          <w:color w:val="467886"/>
        </w:rPr>
        <w:t>www.portmanridge.com</w:t>
      </w:r>
      <w:r>
        <w:rPr>
          <w:rFonts w:ascii="Arial" w:cs="Arial" w:eastAsia="Arial" w:hAnsi="Arial"/>
          <w:sz w:val="21"/>
          <w:szCs w:val="21"/>
          <w:color w:val="auto"/>
        </w:rPr>
        <w:t>.</w:t>
      </w:r>
    </w:p>
    <w:p>
      <w:pPr>
        <w:sectPr>
          <w:pgSz w:w="11900" w:h="16838" w:orient="portrait"/>
          <w:cols w:equalWidth="0" w:num="1">
            <w:col w:w="11240"/>
          </w:cols>
          <w:pgMar w:left="320" w:top="1423"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About BC Partners Advisors L.P. and BC Partners Credit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BC Partners is a leading international investment firm in private equity, private credit and real estate strategies. Established in 1986, BC Partners has played an active role in developing the European buyout market for three decades.</w:t>
      </w:r>
    </w:p>
    <w:p>
      <w:pPr>
        <w:spacing w:after="0" w:line="91"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color w:val="auto"/>
        </w:rPr>
        <w:t xml:space="preserve">Today, BC Partners executives operate across markets as an integrated team through the firm’s offices in North America and Europe. For more information, please visit </w:t>
      </w:r>
      <w:r>
        <w:rPr>
          <w:rFonts w:ascii="Arial" w:cs="Arial" w:eastAsia="Arial" w:hAnsi="Arial"/>
          <w:sz w:val="22"/>
          <w:szCs w:val="22"/>
          <w:u w:val="single" w:color="auto"/>
          <w:color w:val="467886"/>
        </w:rPr>
        <w:t>https://www.bcpartners.com/</w:t>
      </w:r>
      <w:r>
        <w:rPr>
          <w:rFonts w:ascii="Arial" w:cs="Arial" w:eastAsia="Arial" w:hAnsi="Arial"/>
          <w:sz w:val="22"/>
          <w:szCs w:val="22"/>
          <w:color w:val="auto"/>
        </w:rPr>
        <w:t>.</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BC Partners Credit was launched in February 2017 and has pursued a strategy focused on identifying attractive credit opportunities in any market environment and across sectors, leveraging the deal sourcing and infrastructure made available from BC Partners.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Some of the statements in this communication constitute forward-looking statements because they relate to future events, future performance or financial condition. The forward-looking statements may include statements as to future operating results and distribution projections of the Company; business prospects of the Company, and future share repurchase/purchase activity.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More information on the risks and other potential factors that could affect these forward-looking statements is included in Registration Statement and Joint Proxy Statement (in each case, as defined below).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annual reports on Form 10-K, quarterly reports on Form 10-Q and current reports on Form 8-K.</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Information and Where to Find It</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auto"/>
        </w:rPr>
        <w:t>This document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w:t>
      </w:r>
    </w:p>
    <w:p>
      <w:pPr>
        <w:sectPr>
          <w:pgSz w:w="11900" w:h="16838" w:orient="portrait"/>
          <w:cols w:equalWidth="0" w:num="1">
            <w:col w:w="11240"/>
          </w:cols>
          <w:pgMar w:left="320" w:top="1421" w:right="339" w:bottom="1440" w:gutter="0" w:footer="0" w:header="0"/>
        </w:sectPr>
      </w:pPr>
    </w:p>
    <w:bookmarkStart w:id="3" w:name="page4"/>
    <w:bookmarkEnd w:id="3"/>
    <w:p>
      <w:pPr>
        <w:jc w:val="both"/>
        <w:spacing w:after="0" w:line="258" w:lineRule="auto"/>
        <w:rPr>
          <w:sz w:val="20"/>
          <w:szCs w:val="20"/>
          <w:color w:val="auto"/>
        </w:rPr>
      </w:pPr>
      <w:r>
        <w:rPr>
          <w:rFonts w:ascii="Arial" w:cs="Arial" w:eastAsia="Arial" w:hAnsi="Arial"/>
          <w:sz w:val="22"/>
          <w:szCs w:val="22"/>
          <w:color w:val="auto"/>
        </w:rPr>
        <w:t xml:space="preserve">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w:t>
      </w:r>
      <w:r>
        <w:rPr>
          <w:rFonts w:ascii="Arial" w:cs="Arial" w:eastAsia="Arial" w:hAnsi="Arial"/>
          <w:sz w:val="22"/>
          <w:szCs w:val="22"/>
          <w:u w:val="single" w:color="auto"/>
          <w:color w:val="467886"/>
        </w:rPr>
        <w:t>https://www.loganridgefinance.com</w:t>
      </w:r>
      <w:r>
        <w:rPr>
          <w:rFonts w:ascii="Arial" w:cs="Arial" w:eastAsia="Arial" w:hAnsi="Arial"/>
          <w:sz w:val="22"/>
          <w:szCs w:val="22"/>
          <w:color w:val="000000"/>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PTMN, its directors, certain of its executive officers and certain employees and officers of PTMN’s investment adviser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LRFC’s investment adviser,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w:t>
      </w:r>
    </w:p>
    <w:p>
      <w:pPr>
        <w:sectPr>
          <w:pgSz w:w="11900" w:h="16838" w:orient="portrait"/>
          <w:cols w:equalWidth="0" w:num="1">
            <w:col w:w="11240"/>
          </w:cols>
          <w:pgMar w:left="320" w:top="1423" w:right="3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22"/>
          <w:szCs w:val="22"/>
          <w:color w:val="auto"/>
        </w:rPr>
        <w:t>and other relevant materials when such documents become available. These documents may be obtained free of charge from the sources indicated above.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Contacts: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Portman Ridge Finance Corporation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650 Madison Avenue, 3rd floor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NY 10022</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Brandon Satoren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Chief Financial Officer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Brandon.Satoren@bcpartners.com</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891-2880</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Equity Group Inc.</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Lena Cati</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lcati@equityny.com</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836-9611</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Val Ferraro</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vferraro@equityny.com</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0800"/>
      </w:cols>
      <w:pgMar w:left="320" w:top="1423"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2025-06-17T15:58:25Z</dcterms:created>
  <dcterms:modified xsi:type="dcterms:W3CDTF">2025-06-17T15:58:25Z</dcterms:modified>
</cp:coreProperties>
</file>