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N-54C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
        <w:spacing w:after="0" w:line="246" w:lineRule="auto"/>
        <w:rPr>
          <w:sz w:val="20"/>
          <w:szCs w:val="20"/>
          <w:color w:val="auto"/>
        </w:rPr>
      </w:pPr>
      <w:r>
        <w:rPr>
          <w:rFonts w:ascii="Times New Roman" w:cs="Times New Roman" w:eastAsia="Times New Roman" w:hAnsi="Times New Roman"/>
          <w:sz w:val="22"/>
          <w:szCs w:val="22"/>
          <w:b w:val="1"/>
          <w:bCs w:val="1"/>
          <w:color w:val="auto"/>
        </w:rPr>
        <w:t>NOTIFICATION OF WITHDRAWAL OF ELECTION TO BE SUBJECT TO SECTIONS 55 THROUGH 65 OF THE INVESTMENT COMPANY ACT OF 1940 FILED PURSUANT TO SECTION 54(c)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undersigned business development company hereby notifies the Securities and Exchange Commission that it withdraws its election, pursuant to the provisions of section 54(c) of the Investment Company Act of 1940, as amended (the “Act”), to be subject to the provisions of sections 55 through 65 of the Act and, in connection with such notification of withdrawal of election, submits the following information:</w:t>
      </w:r>
    </w:p>
    <w:p>
      <w:pPr>
        <w:sectPr>
          <w:pgSz w:w="11900" w:h="16838" w:orient="portrait"/>
          <w:cols w:equalWidth="0" w:num="1">
            <w:col w:w="11004"/>
          </w:cols>
          <w:pgMar w:left="436" w:top="376" w:right="459" w:bottom="1440" w:gutter="0" w:footer="0" w:header="0"/>
        </w:sectPr>
      </w:pP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Logan Ridge Finance Corporation</w:t>
      </w:r>
    </w:p>
    <w:p>
      <w:pPr>
        <w:spacing w:after="0" w:line="128" w:lineRule="exact"/>
        <w:rPr>
          <w:sz w:val="24"/>
          <w:szCs w:val="24"/>
          <w:color w:val="auto"/>
        </w:rPr>
      </w:pPr>
    </w:p>
    <w:p>
      <w:pPr>
        <w:sectPr>
          <w:pgSz w:w="11900" w:h="16838" w:orient="portrait"/>
          <w:cols w:equalWidth="0" w:num="2">
            <w:col w:w="5024" w:space="720"/>
            <w:col w:w="5260"/>
          </w:cols>
          <w:pgMar w:left="436" w:top="376" w:right="459" w:bottom="1440" w:gutter="0" w:footer="0" w:header="0"/>
          <w:type w:val="continuous"/>
        </w:sectPr>
      </w:pP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Address of Principal Business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108" w:lineRule="exact"/>
        <w:rPr>
          <w:sz w:val="24"/>
          <w:szCs w:val="24"/>
          <w:color w:val="auto"/>
        </w:rPr>
      </w:pPr>
    </w:p>
    <w:p>
      <w:pPr>
        <w:sectPr>
          <w:pgSz w:w="11900" w:h="16838" w:orient="portrait"/>
          <w:cols w:equalWidth="0" w:num="2">
            <w:col w:w="5024" w:space="720"/>
            <w:col w:w="5260"/>
          </w:cols>
          <w:pgMar w:left="436" w:top="376" w:right="459" w:bottom="1440" w:gutter="0" w:footer="0" w:header="0"/>
          <w:type w:val="continuous"/>
        </w:sectPr>
      </w:pP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(212) 891-2880</w:t>
      </w:r>
    </w:p>
    <w:p>
      <w:pPr>
        <w:spacing w:after="0" w:line="129" w:lineRule="exact"/>
        <w:rPr>
          <w:sz w:val="24"/>
          <w:szCs w:val="24"/>
          <w:color w:val="auto"/>
        </w:rPr>
      </w:pPr>
    </w:p>
    <w:p>
      <w:pPr>
        <w:sectPr>
          <w:pgSz w:w="11900" w:h="16838" w:orient="portrait"/>
          <w:cols w:equalWidth="0" w:num="2">
            <w:col w:w="5024" w:space="720"/>
            <w:col w:w="5260"/>
          </w:cols>
          <w:pgMar w:left="436" w:top="376" w:right="459" w:bottom="1440" w:gutter="0" w:footer="0" w:header="0"/>
          <w:type w:val="continuous"/>
        </w:sectPr>
      </w:pP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File Number under the Securities Exchange Act of 1934: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814-01022</w:t>
      </w:r>
    </w:p>
    <w:p>
      <w:pPr>
        <w:spacing w:after="0" w:line="215" w:lineRule="exact"/>
        <w:rPr>
          <w:sz w:val="24"/>
          <w:szCs w:val="24"/>
          <w:color w:val="auto"/>
        </w:rPr>
      </w:pPr>
    </w:p>
    <w:p>
      <w:pPr>
        <w:sectPr>
          <w:pgSz w:w="11900" w:h="16838" w:orient="portrait"/>
          <w:cols w:equalWidth="0" w:num="2">
            <w:col w:w="5024" w:space="720"/>
            <w:col w:w="5260"/>
          </w:cols>
          <w:pgMar w:left="436" w:top="376" w:right="459" w:bottom="1440" w:gutter="0" w:footer="0" w:header="0"/>
          <w:type w:val="continuous"/>
        </w:sectPr>
      </w:pPr>
    </w:p>
    <w:p>
      <w:pPr>
        <w:spacing w:after="0" w:line="25" w:lineRule="exact"/>
        <w:rPr>
          <w:sz w:val="24"/>
          <w:szCs w:val="24"/>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completing the cover page, a company withdrawing its election under section 54(a) of the Act must state one of the following bases for filing the notification of withdrawal:</w:t>
      </w:r>
    </w:p>
    <w:p>
      <w:pPr>
        <w:spacing w:after="0" w:line="189" w:lineRule="exact"/>
        <w:rPr>
          <w:sz w:val="24"/>
          <w:szCs w:val="24"/>
          <w:color w:val="auto"/>
        </w:rPr>
      </w:pPr>
    </w:p>
    <w:p>
      <w:pPr>
        <w:ind w:left="664" w:right="40" w:hanging="664"/>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company has never made a public offering of its securities; does not have more than 100 security holders for purposes of section 3(c)(1) of the Act and the rules thereunder; and does not propose to make a public offering.</w:t>
      </w:r>
    </w:p>
    <w:p>
      <w:pPr>
        <w:spacing w:after="0" w:line="53" w:lineRule="exact"/>
        <w:rPr>
          <w:rFonts w:ascii="MS PGothic" w:cs="MS PGothic" w:eastAsia="MS PGothic" w:hAnsi="MS PGothic"/>
          <w:sz w:val="18"/>
          <w:szCs w:val="18"/>
          <w:color w:val="auto"/>
        </w:rPr>
      </w:pPr>
    </w:p>
    <w:p>
      <w:pPr>
        <w:ind w:left="664" w:right="660" w:hanging="664"/>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company (1) has distributed substantially all of its assets to its security holders and has effected, or is in the process of effecting, a winding-up of its affairs, and (2) is not liquidating as part of a merger.</w:t>
      </w:r>
    </w:p>
    <w:p>
      <w:pPr>
        <w:spacing w:after="0" w:line="54" w:lineRule="exact"/>
        <w:rPr>
          <w:sz w:val="24"/>
          <w:szCs w:val="24"/>
          <w:color w:val="auto"/>
        </w:rPr>
      </w:pPr>
    </w:p>
    <w:p>
      <w:pPr>
        <w:ind w:left="664" w:right="40" w:hanging="664"/>
        <w:spacing w:after="0" w:line="266"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company has (1) sold substantially all of its assets to another company; or (2) merged into or consolidated with another company. Give the name of the other company and state whether the other company is a registered investment company, a company excluded from the definition of an investment company by section 3(c)(1) of the Act, a business development company, or none of the above.</w:t>
      </w:r>
    </w:p>
    <w:p>
      <w:pPr>
        <w:spacing w:after="0" w:line="68" w:lineRule="exact"/>
        <w:rPr>
          <w:sz w:val="24"/>
          <w:szCs w:val="24"/>
          <w:color w:val="auto"/>
        </w:rPr>
      </w:pPr>
    </w:p>
    <w:p>
      <w:pPr>
        <w:ind w:left="664" w:right="100" w:hanging="664"/>
        <w:spacing w:after="0" w:line="266"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 The company has changed the nature of its business so as to cease to be a business development company, and such change was authorized by the vote of a majority of its outstanding voting securities or partnership interests. Describe the company’s new business. Give the date of the shareholders’ or partners’ meeting and the number of votes in favor of and opposed to the change.</w:t>
      </w:r>
    </w:p>
    <w:p>
      <w:pPr>
        <w:spacing w:after="0" w:line="67" w:lineRule="exact"/>
        <w:rPr>
          <w:rFonts w:ascii="MS PGothic" w:cs="MS PGothic" w:eastAsia="MS PGothic" w:hAnsi="MS PGothic"/>
          <w:sz w:val="18"/>
          <w:szCs w:val="18"/>
          <w:color w:val="auto"/>
        </w:rPr>
      </w:pPr>
    </w:p>
    <w:p>
      <w:pPr>
        <w:ind w:left="664" w:right="300" w:hanging="664"/>
        <w:spacing w:after="0" w:line="282"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 The company has filed a notice of registration under section 8 of the Act. State the filing date of the company’s notice of registration (Form N-8A) under the Act.</w:t>
      </w:r>
    </w:p>
    <w:p>
      <w:pPr>
        <w:spacing w:after="0" w:line="53" w:lineRule="exact"/>
        <w:rPr>
          <w:rFonts w:ascii="MS PGothic" w:cs="MS PGothic" w:eastAsia="MS PGothic" w:hAnsi="MS PGothic"/>
          <w:sz w:val="18"/>
          <w:szCs w:val="18"/>
          <w:color w:val="auto"/>
        </w:rPr>
      </w:pPr>
    </w:p>
    <w:p>
      <w:pPr>
        <w:ind w:left="344" w:hanging="344"/>
        <w:spacing w:after="0"/>
        <w:tabs>
          <w:tab w:leader="none" w:pos="3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   Other. Explain the circumstances surrounding the withdrawal of election.</w:t>
      </w:r>
    </w:p>
    <w:p>
      <w:pPr>
        <w:spacing w:after="0" w:line="225"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On July 15, 2025, pursuant to the Agreement and Plan of Merger, dated as of January 29, 2025, by and among Logan Ridge Finance Corporation (the “Company”) and Portman Ridge Finance Corporation (“PTMN”), the Company merged with and into PTMN, with PTMN as the surviving corporation, at which time the separate corporate existence of the Company ended. PTMN is a Delaware corporation and has elected to be regulated as a business development company under section 54(a) of the Act.</w:t>
      </w:r>
    </w:p>
    <w:p>
      <w:pPr>
        <w:spacing w:after="0" w:line="180" w:lineRule="exact"/>
        <w:rPr>
          <w:sz w:val="24"/>
          <w:szCs w:val="24"/>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PTMN, as successor by merger to the Company, has caused this notification to be signed on its behalf by the undersigned duly authorized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376" w:right="4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Act, the undersigned company has caused this notification of withdrawal of election to be subject to sections 55 through 65 of the Act to be duly signed on its behalf in the city of New York and state of New York on the 15th day of July, 2025.</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 successor by merger to Logan Ridge Finance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Goldthorpe</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 President, and Chairman of</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3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7"/>
          <w:szCs w:val="17"/>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Brandon Satoren</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2025-07-15T15:22:19Z</dcterms:created>
  <dcterms:modified xsi:type="dcterms:W3CDTF">2025-07-15T15:22:19Z</dcterms:modified>
</cp:coreProperties>
</file>