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Logan Ridge Finance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814-01022</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90-0945675</w:t>
      </w:r>
    </w:p>
    <w:p>
      <w:pPr>
        <w:spacing w:after="0" w:line="34" w:lineRule="exact"/>
        <w:rPr>
          <w:sz w:val="24"/>
          <w:szCs w:val="24"/>
          <w:color w:val="auto"/>
        </w:rPr>
      </w:pPr>
    </w:p>
    <w:p>
      <w:pPr>
        <w:sectPr>
          <w:pgSz w:w="11900" w:h="16838" w:orient="portrait"/>
          <w:cols w:equalWidth="0" w:num="3">
            <w:col w:w="4500" w:space="720"/>
            <w:col w:w="2980" w:space="720"/>
            <w:col w:w="2300"/>
          </w:cols>
          <w:pgMar w:left="320" w:top="740"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740" w:right="359" w:bottom="1440" w:gutter="0" w:footer="0" w:header="0"/>
          <w:type w:val="continuous"/>
        </w:sectPr>
      </w:pPr>
    </w:p>
    <w:p>
      <w:pPr>
        <w:spacing w:after="0" w:line="9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7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New York , New York</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sectPr>
          <w:pgSz w:w="11900" w:h="16838" w:orient="portrait"/>
          <w:cols w:equalWidth="0" w:num="2">
            <w:col w:w="7480" w:space="720"/>
            <w:col w:w="3020"/>
          </w:cols>
          <w:pgMar w:left="320" w:top="740" w:right="3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740" w:right="359" w:bottom="144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74"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9" w:lineRule="exact"/>
        <w:rPr>
          <w:sz w:val="24"/>
          <w:szCs w:val="24"/>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LRFC</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23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type w:val="continuous"/>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Logan Ridge Finance Corporation (the “Company”) entered into a Side Letter Agreement (the “Side Letter Agreement”) with Mount</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Logan Management LLC, a Delaware limited liability company and the investment adviser to the Company (the “Company Adviser”). Pursuant to the terms of the Side Letter Agreement, and contingent upon the closing of the previously announced merger of the Company with and into Portman Ridge Finance Corporation, a Delaware corporation (the “Merger”), the Company Adviser will finance a pre-closing cash payment of $0.47 per share to Company shareholders of record as of May 6, 2025.</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summary is not a complete description of all of the terms and conditions of the Side Letter Agreement and is qualified in its entirety by reference to the full text of the Side Letter Agreement, which is filed as Exhibit 10.1, which is incorporated by reference into this Item 1.01.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17, 2025, the Company issued a press release announcing the signing of the Side Letter Agreement. 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97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Side Letter Agreement, by and between Logan Ridge Finance Corporation and Mount Logan Management LLC, dated as of June 17,</w:t>
            </w: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2025.</w:t>
            </w:r>
          </w:p>
        </w:tc>
        <w:tc>
          <w:tcPr>
            <w:tcW w:w="160" w:type="dxa"/>
            <w:vAlign w:val="bottom"/>
            <w:tcBorders>
              <w:top w:val="single" w:sz="8" w:color="0000FF"/>
            </w:tcBorders>
          </w:tcPr>
          <w:p>
            <w:pPr>
              <w:spacing w:after="0"/>
              <w:rPr>
                <w:sz w:val="13"/>
                <w:szCs w:val="13"/>
                <w:color w:val="auto"/>
              </w:rPr>
            </w:pPr>
          </w:p>
        </w:tc>
        <w:tc>
          <w:tcPr>
            <w:tcW w:w="4700" w:type="dxa"/>
            <w:vAlign w:val="bottom"/>
            <w:tcBorders>
              <w:top w:val="single" w:sz="8" w:color="0000FF"/>
            </w:tcBorders>
          </w:tcPr>
          <w:p>
            <w:pPr>
              <w:spacing w:after="0"/>
              <w:rPr>
                <w:sz w:val="13"/>
                <w:szCs w:val="13"/>
                <w:color w:val="auto"/>
              </w:rPr>
            </w:pPr>
          </w:p>
        </w:tc>
        <w:tc>
          <w:tcPr>
            <w:tcW w:w="43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29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40" w:type="dxa"/>
            <w:vAlign w:val="bottom"/>
          </w:tcPr>
          <w:p>
            <w:pPr>
              <w:spacing w:after="0"/>
              <w:rPr>
                <w:sz w:val="24"/>
                <w:szCs w:val="24"/>
                <w:color w:val="auto"/>
              </w:rPr>
            </w:pPr>
          </w:p>
        </w:tc>
        <w:tc>
          <w:tcPr>
            <w:tcW w:w="5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of Logan Ridge Finance Corporation, dated June 17, 2025.</w:t>
            </w:r>
          </w:p>
        </w:tc>
        <w:tc>
          <w:tcPr>
            <w:tcW w:w="4480" w:type="dxa"/>
            <w:vAlign w:val="bottom"/>
            <w:gridSpan w:val="2"/>
          </w:tcPr>
          <w:p>
            <w:pPr>
              <w:spacing w:after="0"/>
              <w:rPr>
                <w:sz w:val="24"/>
                <w:szCs w:val="24"/>
                <w:color w:val="auto"/>
              </w:rPr>
            </w:pPr>
          </w:p>
        </w:tc>
      </w:tr>
      <w:tr>
        <w:trPr>
          <w:trHeight w:val="345"/>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08"/>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2025</w:t>
      </w:r>
    </w:p>
    <w:p>
      <w:pPr>
        <w:sectPr>
          <w:pgSz w:w="11900" w:h="16838" w:orient="portrait"/>
          <w:cols w:equalWidth="0" w:num="1">
            <w:col w:w="11220"/>
          </w:cols>
          <w:pgMar w:left="320" w:top="141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Logan Ridge Finance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Mount Logan Management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 Side Letter to Merger Agreement</w:t>
      </w:r>
    </w:p>
    <w:p>
      <w:pPr>
        <w:spacing w:after="0" w:line="21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This side letter (this “</w:t>
      </w:r>
      <w:r>
        <w:rPr>
          <w:rFonts w:ascii="Times New Roman" w:cs="Times New Roman" w:eastAsia="Times New Roman" w:hAnsi="Times New Roman"/>
          <w:sz w:val="20"/>
          <w:szCs w:val="20"/>
          <w:u w:val="single" w:color="auto"/>
          <w:color w:val="auto"/>
        </w:rPr>
        <w:t>Side Letter</w:t>
      </w:r>
      <w:r>
        <w:rPr>
          <w:rFonts w:ascii="Times New Roman" w:cs="Times New Roman" w:eastAsia="Times New Roman" w:hAnsi="Times New Roman"/>
          <w:sz w:val="20"/>
          <w:szCs w:val="20"/>
          <w:color w:val="auto"/>
        </w:rPr>
        <w:t>”), dated as of June 17, 2025, is executed by and between Logan Ridge Finance Corporation, a Maryland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for the limited purposes set forth therein, Mount Logan Management LLC, a Delaware limited liability company and investment adviser to the Company ((the “</w:t>
      </w:r>
      <w:r>
        <w:rPr>
          <w:rFonts w:ascii="Times New Roman" w:cs="Times New Roman" w:eastAsia="Times New Roman" w:hAnsi="Times New Roman"/>
          <w:sz w:val="20"/>
          <w:szCs w:val="20"/>
          <w:u w:val="single" w:color="auto"/>
          <w:color w:val="auto"/>
        </w:rPr>
        <w:t>Company Adviser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Signing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Entities</w:t>
      </w:r>
      <w:r>
        <w:rPr>
          <w:rFonts w:ascii="Times New Roman" w:cs="Times New Roman" w:eastAsia="Times New Roman" w:hAnsi="Times New Roman"/>
          <w:sz w:val="20"/>
          <w:szCs w:val="20"/>
          <w:color w:val="auto"/>
        </w:rPr>
        <w:t>”), with respect to that certain Agreement and Plan of Merger, dated as of January 29, 2025, by and among the Signing Entities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Capitalized terms used but not defined herein shall have the respective meanings ascribed to such terms in the Merger Agreement.</w:t>
      </w:r>
    </w:p>
    <w:p>
      <w:pPr>
        <w:spacing w:after="0" w:line="1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Stockholders Payment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right="100" w:hanging="320"/>
        <w:spacing w:after="0" w:line="257" w:lineRule="auto"/>
        <w:tabs>
          <w:tab w:leader="none" w:pos="129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consummation of the Transactions, the Company Adviser or one of its Affiliates shall pay or cause to be paid (other than by the Acquiror or the Company), to the holder of each share of Company Common Stock that was issued and outstanding as of the close of business on May 6, 2025 (such shares, together, the “</w:t>
      </w:r>
      <w:r>
        <w:rPr>
          <w:rFonts w:ascii="Times New Roman" w:cs="Times New Roman" w:eastAsia="Times New Roman" w:hAnsi="Times New Roman"/>
          <w:sz w:val="20"/>
          <w:szCs w:val="20"/>
          <w:u w:val="single" w:color="auto"/>
          <w:color w:val="auto"/>
        </w:rPr>
        <w:t>Eligible Company 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an amount in cash equal to $0.47 per share of Eligible Company Common Stock held by such holder (the “</w:t>
      </w:r>
      <w:r>
        <w:rPr>
          <w:rFonts w:ascii="Times New Roman" w:cs="Times New Roman" w:eastAsia="Times New Roman" w:hAnsi="Times New Roman"/>
          <w:sz w:val="20"/>
          <w:szCs w:val="20"/>
          <w:u w:val="single" w:color="auto"/>
          <w:color w:val="auto"/>
        </w:rPr>
        <w:t>Company Stockholders Payment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right="20" w:hanging="320"/>
        <w:spacing w:after="0" w:line="253"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the Company Adviser shall appoint a nationally recognized financial institution (the “</w:t>
      </w:r>
      <w:r>
        <w:rPr>
          <w:rFonts w:ascii="Times New Roman" w:cs="Times New Roman" w:eastAsia="Times New Roman" w:hAnsi="Times New Roman"/>
          <w:sz w:val="20"/>
          <w:szCs w:val="20"/>
          <w:u w:val="single" w:color="auto"/>
          <w:color w:val="auto"/>
        </w:rPr>
        <w:t>Payment Agent</w:t>
      </w:r>
      <w:r>
        <w:rPr>
          <w:rFonts w:ascii="Times New Roman" w:cs="Times New Roman" w:eastAsia="Times New Roman" w:hAnsi="Times New Roman"/>
          <w:sz w:val="20"/>
          <w:szCs w:val="20"/>
          <w:color w:val="auto"/>
        </w:rPr>
        <w:t>”) to act as payment agent, pursuant to a payment agent agreement to be entered into between the Company Adviser and the Payment Agent, to make the aggregate Company Stockholders Payment. At or prior to the Closing, the Company Adviser shall deposit, or shall cause one of its Affiliates to deposit, with the Payment Agent the aggregate Company Stockholders Payment (such cash deposit, plus any interest or other income earned thereon, the “</w:t>
      </w:r>
      <w:r>
        <w:rPr>
          <w:rFonts w:ascii="Times New Roman" w:cs="Times New Roman" w:eastAsia="Times New Roman" w:hAnsi="Times New Roman"/>
          <w:sz w:val="20"/>
          <w:szCs w:val="20"/>
          <w:u w:val="single" w:color="auto"/>
          <w:color w:val="auto"/>
        </w:rPr>
        <w:t>Payment Fund</w:t>
      </w:r>
      <w:r>
        <w:rPr>
          <w:rFonts w:ascii="Times New Roman" w:cs="Times New Roman" w:eastAsia="Times New Roman" w:hAnsi="Times New Roman"/>
          <w:sz w:val="20"/>
          <w:szCs w:val="20"/>
          <w:color w:val="auto"/>
        </w:rPr>
        <w:t xml:space="preserve">”). The Payment Fund shall not be used for any purpose other than to fund payments pursuant to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0" w:hanging="320"/>
        <w:spacing w:after="0" w:line="253" w:lineRule="auto"/>
        <w:tabs>
          <w:tab w:leader="none" w:pos="129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the Closing, the Company Adviser shall instruct the Payment Agent to promptly deliver to each holder of record of Eligible Company Common Stock the Company Stockholders Payment for each such share of Eligible Company Common Stock held of record by such holder (subject to deduction for any withholding Tax). The Payment Agent may condition such payment upon receipt of such information from such holder as is required by applicable Law or the Payment Agent’s internal processes. No interest will be paid or accrued for the benefit of holders of record of Eligible Company Common Stock on their respective Company Stockholders Payment.</w:t>
      </w:r>
    </w:p>
    <w:p>
      <w:pPr>
        <w:spacing w:after="0" w:line="178" w:lineRule="exact"/>
        <w:rPr>
          <w:rFonts w:ascii="Times New Roman" w:cs="Times New Roman" w:eastAsia="Times New Roman" w:hAnsi="Times New Roman"/>
          <w:sz w:val="20"/>
          <w:szCs w:val="20"/>
          <w:color w:val="auto"/>
        </w:rPr>
      </w:pPr>
    </w:p>
    <w:p>
      <w:pPr>
        <w:ind w:left="1300" w:right="40" w:hanging="320"/>
        <w:spacing w:after="0" w:line="268" w:lineRule="auto"/>
        <w:tabs>
          <w:tab w:leader="none" w:pos="12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Holders of record of Eligible Company Common Stock, in their capacities as such, shall have no rights under this Side Letter or the Merger Agreement other than the right to receive their respective Company Stockholders Payment pursuant to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No other holders of shares, other securities or voting power of the Acquiror or the Company,</w:t>
      </w:r>
    </w:p>
    <w:p>
      <w:pPr>
        <w:sectPr>
          <w:pgSz w:w="11900" w:h="16838" w:orient="portrait"/>
          <w:cols w:equalWidth="0" w:num="1">
            <w:col w:w="11240"/>
          </w:cols>
          <w:pgMar w:left="320" w:top="117" w:right="339" w:bottom="1440" w:gutter="0" w:footer="0" w:header="0"/>
        </w:sectPr>
      </w:pPr>
    </w:p>
    <w:bookmarkStart w:id="4" w:name="page5"/>
    <w:bookmarkEnd w:id="4"/>
    <w:p>
      <w:pPr>
        <w:ind w:left="968" w:right="60"/>
        <w:spacing w:after="0" w:line="283" w:lineRule="auto"/>
        <w:rPr>
          <w:sz w:val="20"/>
          <w:szCs w:val="20"/>
          <w:color w:val="auto"/>
        </w:rPr>
      </w:pPr>
      <w:r>
        <w:rPr>
          <w:rFonts w:ascii="Times New Roman" w:cs="Times New Roman" w:eastAsia="Times New Roman" w:hAnsi="Times New Roman"/>
          <w:sz w:val="20"/>
          <w:szCs w:val="20"/>
          <w:color w:val="auto"/>
        </w:rPr>
        <w:t xml:space="preserve">in their capacities as such, shall have any rights to receive any Company Stockholders Payment or other payments pursuant to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968" w:right="260" w:hanging="320"/>
        <w:spacing w:after="0" w:line="269" w:lineRule="auto"/>
        <w:tabs>
          <w:tab w:leader="none" w:pos="9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Side Letter, all terms, conditions and provisions of the Merger Agreement shall remain in full force and effect.</w:t>
      </w:r>
    </w:p>
    <w:p>
      <w:pPr>
        <w:spacing w:after="0" w:line="172" w:lineRule="exact"/>
        <w:rPr>
          <w:rFonts w:ascii="Times New Roman" w:cs="Times New Roman" w:eastAsia="Times New Roman" w:hAnsi="Times New Roman"/>
          <w:sz w:val="20"/>
          <w:szCs w:val="20"/>
          <w:color w:val="auto"/>
        </w:rPr>
      </w:pPr>
    </w:p>
    <w:p>
      <w:pPr>
        <w:ind w:left="968" w:hanging="320"/>
        <w:spacing w:after="0" w:line="261" w:lineRule="auto"/>
        <w:tabs>
          <w:tab w:leader="none" w:pos="95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Sections 9.5 (Amendment), 11.2 (Notices), 11.3 (Interpretation; Construction), 11.4 (Counterparts), 11.6 (Governing Law; Jurisdiction; Waiver of Jury Trial) and 11.7 (Assignment; Third Party Beneficiaries) of the Merger Agreement shall apply to this Side Letter,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set forth herein.</w:t>
      </w:r>
    </w:p>
    <w:p>
      <w:pPr>
        <w:spacing w:after="0" w:line="393"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88"/>
          </w:cols>
          <w:pgMar w:left="652" w:top="1413" w:right="459" w:bottom="1440" w:gutter="0" w:footer="0" w:header="0"/>
        </w:sectPr>
      </w:pPr>
    </w:p>
    <w:bookmarkStart w:id="5" w:name="page6"/>
    <w:bookmarkEnd w:id="5"/>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Company and the Company Adviser have caused this Agreement to be executed by their respective officers thereunto duly authorized as of the date first above written.</w:t>
      </w:r>
    </w:p>
    <w:p>
      <w:pPr>
        <w:spacing w:after="0" w:line="20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u w:val="single" w:color="auto"/>
          <w:color w:val="auto"/>
        </w:rPr>
        <w:t>LOGAN RIDGE FINANCE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5340" w:type="dxa"/>
        <w:tblCellMar>
          <w:top w:w="0" w:type="dxa"/>
          <w:left w:w="0" w:type="dxa"/>
          <w:bottom w:w="0" w:type="dxa"/>
          <w:right w:w="0" w:type="dxa"/>
        </w:tblCellMar>
      </w:tblPr>
      <w:tr>
        <w:trPr>
          <w:trHeight w:val="262"/>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Ted Goldthorpe</w:t>
            </w:r>
          </w:p>
        </w:tc>
      </w:tr>
      <w:tr>
        <w:trPr>
          <w:trHeight w:val="244"/>
        </w:trPr>
        <w:tc>
          <w:tcPr>
            <w:tcW w:w="6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Ted Goldthorpe</w:t>
            </w:r>
          </w:p>
        </w:tc>
      </w:tr>
      <w:tr>
        <w:trPr>
          <w:trHeight w:val="258"/>
        </w:trPr>
        <w:tc>
          <w:tcPr>
            <w:tcW w:w="6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93"/>
        </w:trPr>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MOUNT LOGAN MANAGEMENT LLC</w:t>
            </w:r>
          </w:p>
        </w:tc>
      </w:tr>
      <w:tr>
        <w:trPr>
          <w:trHeight w:val="746"/>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By:</w:t>
            </w:r>
          </w:p>
        </w:tc>
        <w:tc>
          <w:tcPr>
            <w:tcW w:w="2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Ted Goldthorpe</w:t>
            </w:r>
          </w:p>
        </w:tc>
        <w:tc>
          <w:tcPr>
            <w:tcW w:w="2540" w:type="dxa"/>
            <w:vAlign w:val="bottom"/>
            <w:tcBorders>
              <w:bottom w:val="single" w:sz="8" w:color="auto"/>
            </w:tcBorders>
          </w:tcPr>
          <w:p>
            <w:pPr>
              <w:spacing w:after="0"/>
              <w:rPr>
                <w:sz w:val="24"/>
                <w:szCs w:val="24"/>
                <w:color w:val="auto"/>
              </w:rPr>
            </w:pPr>
          </w:p>
        </w:tc>
      </w:tr>
      <w:tr>
        <w:trPr>
          <w:trHeight w:val="244"/>
        </w:trPr>
        <w:tc>
          <w:tcPr>
            <w:tcW w:w="6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Ted Goldthorpe</w:t>
            </w:r>
          </w:p>
        </w:tc>
      </w:tr>
      <w:tr>
        <w:trPr>
          <w:trHeight w:val="258"/>
        </w:trPr>
        <w:tc>
          <w:tcPr>
            <w:tcW w:w="6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Side Letter</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22755" cy="1097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43" w:lineRule="exact"/>
        <w:rPr>
          <w:sz w:val="20"/>
          <w:szCs w:val="20"/>
          <w:color w:val="auto"/>
        </w:rPr>
      </w:pPr>
    </w:p>
    <w:p>
      <w:pPr>
        <w:jc w:val="center"/>
        <w:ind w:left="340" w:right="520"/>
        <w:spacing w:after="0" w:line="298" w:lineRule="auto"/>
        <w:rPr>
          <w:sz w:val="20"/>
          <w:szCs w:val="20"/>
          <w:color w:val="auto"/>
        </w:rPr>
      </w:pPr>
      <w:r>
        <w:rPr>
          <w:rFonts w:ascii="Arial" w:cs="Arial" w:eastAsia="Arial" w:hAnsi="Arial"/>
          <w:sz w:val="25"/>
          <w:szCs w:val="25"/>
          <w:b w:val="1"/>
          <w:bCs w:val="1"/>
          <w:color w:val="auto"/>
        </w:rPr>
        <w:t>Logan Ridge Finance Corporation Announces Adviser Funded Cash Payment to Shareholders in Connection with its Merger with Portman Ridge Finance Corporation</w:t>
      </w:r>
    </w:p>
    <w:p>
      <w:pPr>
        <w:spacing w:after="0" w:line="38" w:lineRule="exact"/>
        <w:rPr>
          <w:sz w:val="20"/>
          <w:szCs w:val="20"/>
          <w:color w:val="auto"/>
        </w:rPr>
      </w:pPr>
    </w:p>
    <w:p>
      <w:pPr>
        <w:jc w:val="center"/>
        <w:ind w:left="340" w:right="200"/>
        <w:spacing w:after="0" w:line="285" w:lineRule="auto"/>
        <w:rPr>
          <w:sz w:val="20"/>
          <w:szCs w:val="20"/>
          <w:color w:val="auto"/>
        </w:rPr>
      </w:pPr>
      <w:r>
        <w:rPr>
          <w:rFonts w:ascii="Arial" w:cs="Arial" w:eastAsia="Arial" w:hAnsi="Arial"/>
          <w:sz w:val="22"/>
          <w:szCs w:val="22"/>
          <w:b w:val="1"/>
          <w:bCs w:val="1"/>
          <w:color w:val="auto"/>
        </w:rPr>
        <w:t>The Company’s Investment Adviser Will Finance an Incremental $0.47 Per Share Payment to Logan Ridge Shareholders Immediately Prior to Closing.</w:t>
      </w:r>
    </w:p>
    <w:p>
      <w:pPr>
        <w:spacing w:after="0" w:line="61" w:lineRule="exact"/>
        <w:rPr>
          <w:sz w:val="20"/>
          <w:szCs w:val="20"/>
          <w:color w:val="auto"/>
        </w:rPr>
      </w:pPr>
    </w:p>
    <w:p>
      <w:pPr>
        <w:jc w:val="center"/>
        <w:spacing w:after="0" w:line="298" w:lineRule="auto"/>
        <w:rPr>
          <w:sz w:val="20"/>
          <w:szCs w:val="20"/>
          <w:color w:val="auto"/>
        </w:rPr>
      </w:pPr>
      <w:r>
        <w:rPr>
          <w:rFonts w:ascii="Arial" w:cs="Arial" w:eastAsia="Arial" w:hAnsi="Arial"/>
          <w:sz w:val="22"/>
          <w:szCs w:val="22"/>
          <w:b w:val="1"/>
          <w:bCs w:val="1"/>
          <w:color w:val="auto"/>
        </w:rPr>
        <w:t>Payment Effectively Results in Logan Ridge Shareholders Receiving 100% of NAV as of March 31, 2025 Adjusted for Estimated Transaction Costs.</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b w:val="1"/>
          <w:bCs w:val="1"/>
          <w:color w:val="auto"/>
        </w:rPr>
        <w:t xml:space="preserve">NEW YORK, June 17, 2025 </w:t>
      </w:r>
      <w:r>
        <w:rPr>
          <w:rFonts w:ascii="Arial" w:cs="Arial" w:eastAsia="Arial" w:hAnsi="Arial"/>
          <w:sz w:val="22"/>
          <w:szCs w:val="22"/>
          <w:color w:val="auto"/>
        </w:rPr>
        <w:t>– Logan Ridge Finance Corporation (NASDAQ: LRFC) (“Logan Ridge” or “LRFC”),</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that it has entered into an agreement with Mount Logan Management LLC, LRFC’s investment adviser (“Mount Logan” or “Investment Adviser”), in connection with its previously announced merger with and into Portman Ridge Finance Corporation (NASDAQ: PTMN) (“Portman Ridge” or “PTMN” and the “Merger”).</w:t>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Pursuant to the terms of the agreement, and contingent upon the closing of the Merger, LRFC’s Investment Adviser will finance a pre-closing cash payment of $0.47 per share to LRFC shareholders of record as of May 6, 2025. This payment, when combined with the previously announced Tax Distribution of no less than $1,000,000, or $0.38 per share, and the 1.5x PTMN shares received for each LRFC share outstanding, will equal 100% of Logan Ridge’s net asset value (“NAV”), based on both Logan Ridge’s and Portman Ridge’s respective NAVs per share as of March 31, 2025 adjusted for estimated transaction costs.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terms and conditions of the Merger remain unchanged and in full effect. The Mount Logan funded payment outlined above represents a commitment by Mount Logan to the combined company and was designed to further align the Merger with shareholder feedback, while maintaining the core strategic and financial rationale for the combination.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Ted Goldthorpe, President and Chief Executive Officer of LRFC and PTMN, and Head of the BC Partners Credit Platform, stated, “We are pleased to announce this agreement, which will provide enhanced value to Logan Ridge shareholders through an additional $0.47 per share payment. We appreciate our shareholders’ support and constructive engagement throughout this process and we look forward to successfully closing the Merger.”</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Meeting of Shareholders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 xml:space="preserve">The LRFC special meeting is scheduled for June 20, 2025, at 10:30 am ET. LRFC urges its shareholders to cast their votes by following the instructions outlined in the joint proxy statement. Shareholders of LRFC can also access the virtual meeting and vote by going to the following website: </w:t>
      </w:r>
      <w:r>
        <w:rPr>
          <w:rFonts w:ascii="Arial" w:cs="Arial" w:eastAsia="Arial" w:hAnsi="Arial"/>
          <w:sz w:val="21"/>
          <w:szCs w:val="21"/>
          <w:u w:val="single" w:color="auto"/>
          <w:color w:val="467886"/>
        </w:rPr>
        <w:t>http://www.virtualshareholdermeeting.com/LRFC2025SM</w:t>
      </w:r>
      <w:r>
        <w:rPr>
          <w:rFonts w:ascii="Arial" w:cs="Arial" w:eastAsia="Arial" w:hAnsi="Arial"/>
          <w:sz w:val="21"/>
          <w:szCs w:val="21"/>
          <w:color w:val="auto"/>
        </w:rPr>
        <w:t>, or by calling 1-833-218-3962 and providing the control number which is listed in the proxy card received.</w:t>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22"/>
          <w:szCs w:val="22"/>
          <w:color w:val="auto"/>
        </w:rPr>
        <w:t xml:space="preserve">Shareholders can access the joint proxy statement and prospectus by clicking </w:t>
      </w:r>
      <w:r>
        <w:rPr>
          <w:rFonts w:ascii="Arial" w:cs="Arial" w:eastAsia="Arial" w:hAnsi="Arial"/>
          <w:sz w:val="22"/>
          <w:szCs w:val="22"/>
          <w:u w:val="single" w:color="auto"/>
          <w:color w:val="467886"/>
        </w:rPr>
        <w:t>HERE</w:t>
      </w:r>
      <w:r>
        <w:rPr>
          <w:rFonts w:ascii="Arial" w:cs="Arial" w:eastAsia="Arial" w:hAnsi="Arial"/>
          <w:sz w:val="22"/>
          <w:szCs w:val="22"/>
          <w:color w:val="auto"/>
        </w:rPr>
        <w:t>. Shareholders who have questions about the joint proxy statement or about voting their shares should contact the companies’ proxy solicitor, Broadridge, at 1-833-218-3962.</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Logan Ridge Finance Corporation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LRFC is a business development company (a “BDC”) that invests primarily in first lien loans and, to a lesser extent, second lien loans and equity securities issued by lower middle-market companies. LRFC invests in performing, well-established middle-market businesses that operate across a wide range of industries. It employs fundamental credit analysis, targeting investments in businesses with relatively low levels of cyclicality and operating risk. For more information, visit </w:t>
      </w:r>
      <w:r>
        <w:rPr>
          <w:rFonts w:ascii="Arial" w:cs="Arial" w:eastAsia="Arial" w:hAnsi="Arial"/>
          <w:sz w:val="22"/>
          <w:szCs w:val="22"/>
          <w:u w:val="single" w:color="auto"/>
          <w:color w:val="467886"/>
        </w:rPr>
        <w:t>www.loganridgefinance.com</w:t>
      </w:r>
      <w:r>
        <w:rPr>
          <w:rFonts w:ascii="Arial" w:cs="Arial" w:eastAsia="Arial" w:hAnsi="Arial"/>
          <w:sz w:val="22"/>
          <w:szCs w:val="22"/>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PTMN is a publicly traded, externally managed investment company that has elected to be regulated as a BDC under the 1940 Act. PTMN’s middle market investment business originates, structures, finances and manages a portfolio of term loans, mezzanine investments and selected equity securities in middle market companies. PTMN’s investment activities are managed by its investment adviser, Sierra Crest Investment Management LLC (“Sierra Crest”). PTMN’s filings with the Securities and Exchange Commission (the “SEC”), earnings releases, press releases and other financial, operational and governance information are available on Portman Ridge’s website at </w:t>
      </w:r>
      <w:r>
        <w:rPr>
          <w:rFonts w:ascii="Arial" w:cs="Arial" w:eastAsia="Arial" w:hAnsi="Arial"/>
          <w:sz w:val="22"/>
          <w:szCs w:val="22"/>
          <w:u w:val="single" w:color="auto"/>
          <w:color w:val="467886"/>
        </w:rPr>
        <w:t>www.portmanridge.com</w:t>
      </w:r>
      <w:r>
        <w:rPr>
          <w:rFonts w:ascii="Arial" w:cs="Arial" w:eastAsia="Arial" w:hAnsi="Arial"/>
          <w:sz w:val="22"/>
          <w:szCs w:val="22"/>
          <w:color w:val="000000"/>
        </w:rPr>
        <w:t>.</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BC Partners Advisors L.P. and BC Partners Credit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BC Partners Advisors L.P. (“BC Partners”) is a leading international investment firm in private equity, private credit and real estate strategies. Established in 1986, BC Partners has played an active role in developing the European buyout market for three decades.</w:t>
      </w:r>
    </w:p>
    <w:p>
      <w:pPr>
        <w:spacing w:after="0" w:line="97"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 xml:space="preserve">Today, BC Partners executives operate across markets as an integrated team through the firm’s offices in North America and Europe. For more information, please visit </w:t>
      </w:r>
      <w:r>
        <w:rPr>
          <w:rFonts w:ascii="Arial" w:cs="Arial" w:eastAsia="Arial" w:hAnsi="Arial"/>
          <w:sz w:val="22"/>
          <w:szCs w:val="22"/>
          <w:u w:val="single" w:color="auto"/>
          <w:color w:val="467886"/>
        </w:rPr>
        <w:t>https://www.bcpartners.com/</w:t>
      </w:r>
      <w:r>
        <w:rPr>
          <w:rFonts w:ascii="Arial" w:cs="Arial" w:eastAsia="Arial" w:hAnsi="Arial"/>
          <w:sz w:val="22"/>
          <w:szCs w:val="22"/>
          <w:color w:val="auto"/>
        </w:rPr>
        <w:t>.</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BC Partners Credit was launched in February 2017 and has pursued a strategy focused on identifying attractive credit opportunities in any market environment and across sectors, leveraging the deal sourcing and infrastructure made available from BC Partners.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w:t>
      </w:r>
    </w:p>
    <w:p>
      <w:pPr>
        <w:sectPr>
          <w:pgSz w:w="11900" w:h="16838" w:orient="portrait"/>
          <w:cols w:equalWidth="0" w:num="1">
            <w:col w:w="11240"/>
          </w:cols>
          <w:pgMar w:left="320" w:top="1423" w:right="339" w:bottom="1440" w:gutter="0" w:footer="0" w:header="0"/>
        </w:sectPr>
      </w:pPr>
    </w:p>
    <w:bookmarkStart w:id="8" w:name="page9"/>
    <w:bookmarkEnd w:id="8"/>
    <w:p>
      <w:pPr>
        <w:jc w:val="both"/>
        <w:ind w:firstLine="8"/>
        <w:spacing w:after="0" w:line="259" w:lineRule="auto"/>
        <w:tabs>
          <w:tab w:leader="none" w:pos="26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to implement its future plans with respect to the combined company; (xii) the ability of Sierra Crest and its affiliates to attract and retain highly talented professionals;</w:t>
      </w:r>
    </w:p>
    <w:p>
      <w:pPr>
        <w:spacing w:after="0" w:line="1" w:lineRule="exact"/>
        <w:rPr>
          <w:rFonts w:ascii="Arial" w:cs="Arial" w:eastAsia="Arial" w:hAnsi="Arial"/>
          <w:sz w:val="21"/>
          <w:szCs w:val="21"/>
          <w:color w:val="auto"/>
        </w:rPr>
      </w:pPr>
    </w:p>
    <w:p>
      <w:pPr>
        <w:jc w:val="both"/>
        <w:ind w:firstLine="8"/>
        <w:spacing w:after="0" w:line="257" w:lineRule="auto"/>
        <w:tabs>
          <w:tab w:leader="none" w:pos="46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w:t>
      </w:r>
    </w:p>
    <w:p>
      <w:pPr>
        <w:spacing w:after="0" w:line="3" w:lineRule="exact"/>
        <w:rPr>
          <w:rFonts w:ascii="Arial" w:cs="Arial" w:eastAsia="Arial" w:hAnsi="Arial"/>
          <w:sz w:val="21"/>
          <w:szCs w:val="21"/>
          <w:color w:val="auto"/>
        </w:rPr>
      </w:pPr>
    </w:p>
    <w:p>
      <w:pPr>
        <w:jc w:val="both"/>
        <w:ind w:firstLine="8"/>
        <w:spacing w:after="0" w:line="246" w:lineRule="auto"/>
        <w:tabs>
          <w:tab w:leader="none" w:pos="489"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(in each case, as defined below), annual reports on Form 10-K, quarterly reports on Form 10-Q and current reports on Form 8-K.</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communication is not, and under no circumstances is it to be construed as, a prospectus or an advertisement and the communication is not, and under no circumstances is it to be construed as, an offer to sell or a solicitation of an offer to purchase any securities in PTMN, LRFC or in any fund or other investment vehicle managed by BC Partners or any of its affiliates.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154"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This communication relates to the proposed merger of PTMN and LRFC and certain related matters (the “Proposals”). In connection with the Proposals, PTMN has filed a registration statement (Registration No. 333-285230) with the SEC (the “Registration Statement”) that</w:t>
      </w:r>
    </w:p>
    <w:p>
      <w:pPr>
        <w:sectPr>
          <w:pgSz w:w="11900" w:h="16838" w:orient="portrait"/>
          <w:cols w:equalWidth="0" w:num="1">
            <w:col w:w="11240"/>
          </w:cols>
          <w:pgMar w:left="320" w:top="1423"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1"/>
          <w:szCs w:val="21"/>
          <w:color w:val="auto"/>
        </w:rPr>
        <w:t xml:space="preserve">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w:t>
      </w:r>
      <w:r>
        <w:rPr>
          <w:rFonts w:ascii="Arial" w:cs="Arial" w:eastAsia="Arial" w:hAnsi="Arial"/>
          <w:sz w:val="21"/>
          <w:szCs w:val="21"/>
          <w:b w:val="1"/>
          <w:bCs w:val="1"/>
          <w:color w:val="auto"/>
        </w:rPr>
        <w:t>SHAREHOLDERS OF PTMN AND LRFC ARE URGED TO</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w:t>
      </w:r>
      <w:r>
        <w:rPr>
          <w:rFonts w:ascii="Arial" w:cs="Arial" w:eastAsia="Arial" w:hAnsi="Arial"/>
          <w:sz w:val="22"/>
          <w:szCs w:val="22"/>
          <w:color w:val="auto"/>
        </w:rPr>
        <w:t>Investors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security holders will be able to obtain the documents filed with the SEC free of charge at the SEC’s website, http://www.sec.gov or, for documents filed by PTMN, from PTMN’s website at </w:t>
      </w:r>
      <w:r>
        <w:rPr>
          <w:rFonts w:ascii="Arial" w:cs="Arial" w:eastAsia="Arial" w:hAnsi="Arial"/>
          <w:sz w:val="22"/>
          <w:szCs w:val="22"/>
          <w:u w:val="single" w:color="auto"/>
          <w:color w:val="467886"/>
        </w:rPr>
        <w:t>https://www.portmanridge.com</w:t>
      </w:r>
      <w:r>
        <w:rPr>
          <w:rFonts w:ascii="Arial" w:cs="Arial" w:eastAsia="Arial" w:hAnsi="Arial"/>
          <w:sz w:val="22"/>
          <w:szCs w:val="22"/>
          <w:color w:val="auto"/>
        </w:rPr>
        <w:t xml:space="preserve">, and, for documents filed by LRFC, from LRFC’s website at </w:t>
      </w:r>
      <w:r>
        <w:rPr>
          <w:rFonts w:ascii="Arial" w:cs="Arial" w:eastAsia="Arial" w:hAnsi="Arial"/>
          <w:sz w:val="22"/>
          <w:szCs w:val="22"/>
          <w:u w:val="single" w:color="auto"/>
          <w:color w:val="467886"/>
        </w:rPr>
        <w:t>https://www.loganridgefinance.com</w:t>
      </w:r>
      <w:r>
        <w:rPr>
          <w:rFonts w:ascii="Arial" w:cs="Arial" w:eastAsia="Arial" w:hAnsi="Arial"/>
          <w:sz w:val="22"/>
          <w:szCs w:val="22"/>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LRFC, its directors, certain of its executive officers and certain employees and officers of Mount Logan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LRFC shareholders in connection with the Proposal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rPr>
        <w:t>Logan Ridge Finance Corporation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650 Madison Avenue, 3rd floor</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Brandon Satoren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(PTMN and LRFC)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Brandon.Satoren@bcpartners.com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891-2880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Equity Group Inc.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Lena Cati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lcati@equityny.com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836-9611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Val Ferraro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vferraro@equityny.com</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2"/>
    </w:lvl>
    <w:lvl w:ilvl="1">
      <w:lvlJc w:val="left"/>
      <w:lvlText w:val="(%2)"/>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3"/>
    </w:lvl>
  </w:abstractNum>
  <w:abstractNum w:abstractNumId="6">
    <w:nsid w:val="41B71EFB"/>
    <w:multiLevelType w:val="hybridMultilevel"/>
    <w:lvl w:ilvl="0">
      <w:lvlJc w:val="left"/>
      <w:lvlText w:val="(%1)"/>
      <w:numFmt w:val="lowerRoman"/>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2025-06-17T16:05:23Z</dcterms:created>
  <dcterms:modified xsi:type="dcterms:W3CDTF">2025-06-17T16:05:23Z</dcterms:modified>
</cp:coreProperties>
</file>