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306070</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366395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SECURITIES AND EXCHANGE COMMISSION</w:t>
      </w:r>
    </w:p>
    <w:p>
      <w:pPr>
        <w:spacing w:after="0" w:line="13"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Washington, D.C. 20549</w:t>
      </w:r>
    </w:p>
    <w:p>
      <w:pPr>
        <w:spacing w:after="0" w:line="86"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FORM 10-K</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92"/>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Annual Report Pursuant to Section 13 or 15(d)</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80" w:type="dxa"/>
            <w:vAlign w:val="bottom"/>
            <w:gridSpan w:val="5"/>
          </w:tcPr>
          <w:p>
            <w:pPr>
              <w:ind w:left="40"/>
              <w:spacing w:after="0"/>
              <w:rPr>
                <w:sz w:val="20"/>
                <w:szCs w:val="20"/>
                <w:color w:val="auto"/>
              </w:rPr>
            </w:pPr>
            <w:r>
              <w:rPr>
                <w:rFonts w:ascii="Arial" w:cs="Arial" w:eastAsia="Arial" w:hAnsi="Arial"/>
                <w:sz w:val="18"/>
                <w:szCs w:val="18"/>
                <w:b w:val="1"/>
                <w:bCs w:val="1"/>
                <w:color w:val="auto"/>
              </w:rPr>
              <w:t>of the Securities Exchange Act of 1934</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7"/>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88"/>
              </w:rPr>
              <w:t>For the Fiscal Year Ended December 31, 2020</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7"/>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5"/>
          </w:tcPr>
          <w:p>
            <w:pPr>
              <w:ind w:left="40"/>
              <w:spacing w:after="0"/>
              <w:rPr>
                <w:sz w:val="20"/>
                <w:szCs w:val="20"/>
                <w:color w:val="auto"/>
              </w:rPr>
            </w:pPr>
            <w:r>
              <w:rPr>
                <w:rFonts w:ascii="Arial" w:cs="Arial" w:eastAsia="Arial" w:hAnsi="Arial"/>
                <w:sz w:val="18"/>
                <w:szCs w:val="18"/>
                <w:b w:val="1"/>
                <w:bCs w:val="1"/>
                <w:color w:val="auto"/>
                <w:w w:val="90"/>
              </w:rPr>
              <w:t>Transition Report Pursuant to Section 13 or 15(d)</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80" w:type="dxa"/>
            <w:vAlign w:val="bottom"/>
            <w:gridSpan w:val="5"/>
          </w:tcPr>
          <w:p>
            <w:pPr>
              <w:ind w:left="40"/>
              <w:spacing w:after="0"/>
              <w:rPr>
                <w:sz w:val="20"/>
                <w:szCs w:val="20"/>
                <w:color w:val="auto"/>
              </w:rPr>
            </w:pPr>
            <w:r>
              <w:rPr>
                <w:rFonts w:ascii="Arial" w:cs="Arial" w:eastAsia="Arial" w:hAnsi="Arial"/>
                <w:sz w:val="18"/>
                <w:szCs w:val="18"/>
                <w:b w:val="1"/>
                <w:bCs w:val="1"/>
                <w:color w:val="auto"/>
              </w:rPr>
              <w:t>of the Securities Exchange Act of 1934</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Commission</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60" w:type="dxa"/>
            <w:vAlign w:val="bottom"/>
            <w:gridSpan w:val="7"/>
          </w:tcPr>
          <w:p>
            <w:pPr>
              <w:jc w:val="center"/>
              <w:ind w:left="539"/>
              <w:spacing w:after="0"/>
              <w:rPr>
                <w:sz w:val="20"/>
                <w:szCs w:val="20"/>
                <w:color w:val="auto"/>
              </w:rPr>
            </w:pPr>
            <w:r>
              <w:rPr>
                <w:rFonts w:ascii="Arial" w:cs="Arial" w:eastAsia="Arial" w:hAnsi="Arial"/>
                <w:sz w:val="14"/>
                <w:szCs w:val="14"/>
                <w:b w:val="1"/>
                <w:bCs w:val="1"/>
                <w:color w:val="auto"/>
                <w:w w:val="86"/>
              </w:rPr>
              <w:t>Exact name of registrant as specified in its charter, address of principal executive</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5"/>
        </w:trPr>
        <w:tc>
          <w:tcPr>
            <w:tcW w:w="96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91"/>
              </w:rPr>
              <w:t>File Number</w:t>
            </w:r>
          </w:p>
        </w:tc>
        <w:tc>
          <w:tcPr>
            <w:tcW w:w="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60" w:type="dxa"/>
            <w:vAlign w:val="bottom"/>
            <w:tcBorders>
              <w:bottom w:val="single" w:sz="8" w:color="auto"/>
            </w:tcBorders>
            <w:gridSpan w:val="7"/>
          </w:tcPr>
          <w:p>
            <w:pPr>
              <w:jc w:val="center"/>
              <w:ind w:left="579"/>
              <w:spacing w:after="0"/>
              <w:rPr>
                <w:sz w:val="20"/>
                <w:szCs w:val="20"/>
                <w:color w:val="auto"/>
              </w:rPr>
            </w:pPr>
            <w:r>
              <w:rPr>
                <w:rFonts w:ascii="Arial" w:cs="Arial" w:eastAsia="Arial" w:hAnsi="Arial"/>
                <w:sz w:val="14"/>
                <w:szCs w:val="14"/>
                <w:b w:val="1"/>
                <w:bCs w:val="1"/>
                <w:color w:val="auto"/>
                <w:w w:val="88"/>
              </w:rPr>
              <w:t>office, telephone number and state or other jurisdiction of incorporation or organization</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Identification Number</w:t>
            </w:r>
          </w:p>
        </w:tc>
      </w:tr>
      <w:tr>
        <w:trPr>
          <w:trHeight w:val="233"/>
        </w:trPr>
        <w:tc>
          <w:tcPr>
            <w:tcW w:w="960" w:type="dxa"/>
            <w:vAlign w:val="bottom"/>
          </w:tcPr>
          <w:p>
            <w:pPr>
              <w:jc w:val="center"/>
              <w:ind w:left="45"/>
              <w:spacing w:after="0"/>
              <w:rPr>
                <w:sz w:val="20"/>
                <w:szCs w:val="20"/>
                <w:color w:val="auto"/>
              </w:rPr>
            </w:pPr>
            <w:r>
              <w:rPr>
                <w:rFonts w:ascii="Arial" w:cs="Arial" w:eastAsia="Arial" w:hAnsi="Arial"/>
                <w:sz w:val="15"/>
                <w:szCs w:val="15"/>
                <w:b w:val="1"/>
                <w:bCs w:val="1"/>
                <w:color w:val="auto"/>
                <w:w w:val="89"/>
              </w:rPr>
              <w:t>814-01022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4"/>
          </w:tcPr>
          <w:p>
            <w:pPr>
              <w:jc w:val="center"/>
              <w:ind w:right="760"/>
              <w:spacing w:after="0" w:line="232" w:lineRule="exact"/>
              <w:rPr>
                <w:sz w:val="20"/>
                <w:szCs w:val="20"/>
                <w:color w:val="auto"/>
              </w:rPr>
            </w:pPr>
            <w:r>
              <w:rPr>
                <w:rFonts w:ascii="Arial" w:cs="Arial" w:eastAsia="Arial" w:hAnsi="Arial"/>
                <w:sz w:val="26"/>
                <w:szCs w:val="26"/>
                <w:b w:val="1"/>
                <w:bCs w:val="1"/>
                <w:color w:val="auto"/>
                <w:w w:val="92"/>
              </w:rPr>
              <w:t>Capitala Finance Corp.</w:t>
            </w:r>
          </w:p>
        </w:tc>
        <w:tc>
          <w:tcPr>
            <w:tcW w:w="400" w:type="dxa"/>
            <w:vAlign w:val="bottom"/>
          </w:tcPr>
          <w:p>
            <w:pPr>
              <w:spacing w:after="0"/>
              <w:rPr>
                <w:sz w:val="20"/>
                <w:szCs w:val="20"/>
                <w:color w:val="auto"/>
              </w:rPr>
            </w:pPr>
          </w:p>
        </w:tc>
        <w:tc>
          <w:tcPr>
            <w:tcW w:w="2580" w:type="dxa"/>
            <w:vAlign w:val="bottom"/>
            <w:gridSpan w:val="3"/>
          </w:tcPr>
          <w:p>
            <w:pPr>
              <w:jc w:val="center"/>
              <w:ind w:left="784"/>
              <w:spacing w:after="0"/>
              <w:rPr>
                <w:sz w:val="20"/>
                <w:szCs w:val="20"/>
                <w:color w:val="auto"/>
              </w:rPr>
            </w:pPr>
            <w:r>
              <w:rPr>
                <w:rFonts w:ascii="Arial" w:cs="Arial" w:eastAsia="Arial" w:hAnsi="Arial"/>
                <w:sz w:val="15"/>
                <w:szCs w:val="15"/>
                <w:b w:val="1"/>
                <w:bCs w:val="1"/>
                <w:color w:val="auto"/>
                <w:w w:val="89"/>
              </w:rPr>
              <w:t>90-0945675</w:t>
            </w:r>
          </w:p>
        </w:tc>
      </w:tr>
      <w:tr>
        <w:trPr>
          <w:trHeight w:val="152"/>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20" w:type="dxa"/>
            <w:vAlign w:val="bottom"/>
            <w:gridSpan w:val="3"/>
          </w:tcPr>
          <w:p>
            <w:pPr>
              <w:jc w:val="center"/>
              <w:ind w:right="1020"/>
              <w:spacing w:after="0" w:line="152" w:lineRule="exact"/>
              <w:rPr>
                <w:sz w:val="20"/>
                <w:szCs w:val="20"/>
                <w:color w:val="auto"/>
              </w:rPr>
            </w:pPr>
            <w:r>
              <w:rPr>
                <w:rFonts w:ascii="Arial" w:cs="Arial" w:eastAsia="Arial" w:hAnsi="Arial"/>
                <w:sz w:val="15"/>
                <w:szCs w:val="15"/>
                <w:b w:val="1"/>
                <w:bCs w:val="1"/>
                <w:color w:val="auto"/>
                <w:w w:val="86"/>
              </w:rPr>
              <w:t>4201 Congress St., Suite 360</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20" w:type="dxa"/>
            <w:vAlign w:val="bottom"/>
            <w:gridSpan w:val="3"/>
          </w:tcPr>
          <w:p>
            <w:pPr>
              <w:jc w:val="center"/>
              <w:ind w:right="1020"/>
              <w:spacing w:after="0" w:line="149" w:lineRule="exact"/>
              <w:rPr>
                <w:sz w:val="20"/>
                <w:szCs w:val="20"/>
                <w:color w:val="auto"/>
              </w:rPr>
            </w:pPr>
            <w:r>
              <w:rPr>
                <w:rFonts w:ascii="Arial" w:cs="Arial" w:eastAsia="Arial" w:hAnsi="Arial"/>
                <w:sz w:val="15"/>
                <w:szCs w:val="15"/>
                <w:b w:val="1"/>
                <w:bCs w:val="1"/>
                <w:color w:val="auto"/>
                <w:w w:val="91"/>
              </w:rPr>
              <w:t>Charlotte, North Carolina, 28209</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20" w:type="dxa"/>
            <w:vAlign w:val="bottom"/>
            <w:gridSpan w:val="3"/>
          </w:tcPr>
          <w:p>
            <w:pPr>
              <w:jc w:val="center"/>
              <w:ind w:right="1020"/>
              <w:spacing w:after="0" w:line="149" w:lineRule="exact"/>
              <w:rPr>
                <w:sz w:val="20"/>
                <w:szCs w:val="20"/>
                <w:color w:val="auto"/>
              </w:rPr>
            </w:pPr>
            <w:r>
              <w:rPr>
                <w:rFonts w:ascii="Arial" w:cs="Arial" w:eastAsia="Arial" w:hAnsi="Arial"/>
                <w:sz w:val="15"/>
                <w:szCs w:val="15"/>
                <w:b w:val="1"/>
                <w:bCs w:val="1"/>
                <w:color w:val="auto"/>
                <w:w w:val="87"/>
              </w:rPr>
              <w:t>Telephone: (704) 376-5502</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8"/>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3"/>
          </w:tcPr>
          <w:p>
            <w:pPr>
              <w:jc w:val="center"/>
              <w:ind w:right="1000"/>
              <w:spacing w:after="0"/>
              <w:rPr>
                <w:sz w:val="20"/>
                <w:szCs w:val="20"/>
                <w:color w:val="auto"/>
              </w:rPr>
            </w:pPr>
            <w:r>
              <w:rPr>
                <w:rFonts w:ascii="Arial" w:cs="Arial" w:eastAsia="Arial" w:hAnsi="Arial"/>
                <w:sz w:val="15"/>
                <w:szCs w:val="15"/>
                <w:b w:val="1"/>
                <w:bCs w:val="1"/>
                <w:color w:val="auto"/>
                <w:w w:val="90"/>
              </w:rPr>
              <w:t>State of Incorporation: Maryland</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61"/>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80" w:type="dxa"/>
            <w:vAlign w:val="bottom"/>
            <w:gridSpan w:val="5"/>
          </w:tcPr>
          <w:p>
            <w:pPr>
              <w:jc w:val="center"/>
              <w:ind w:left="33"/>
              <w:spacing w:after="0"/>
              <w:rPr>
                <w:sz w:val="20"/>
                <w:szCs w:val="20"/>
                <w:color w:val="auto"/>
              </w:rPr>
            </w:pPr>
            <w:r>
              <w:rPr>
                <w:rFonts w:ascii="Arial" w:cs="Arial" w:eastAsia="Arial" w:hAnsi="Arial"/>
                <w:sz w:val="15"/>
                <w:szCs w:val="15"/>
                <w:b w:val="1"/>
                <w:bCs w:val="1"/>
                <w:color w:val="auto"/>
                <w:w w:val="86"/>
              </w:rPr>
              <w:t>Securities registered pursuant to Section 12(b) of the Act:</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9"/>
        </w:trPr>
        <w:tc>
          <w:tcPr>
            <w:tcW w:w="960" w:type="dxa"/>
            <w:vAlign w:val="bottom"/>
          </w:tcPr>
          <w:p>
            <w:pPr>
              <w:spacing w:after="0"/>
              <w:rPr>
                <w:sz w:val="20"/>
                <w:szCs w:val="20"/>
                <w:color w:val="auto"/>
              </w:rPr>
            </w:pPr>
          </w:p>
        </w:tc>
        <w:tc>
          <w:tcPr>
            <w:tcW w:w="1900" w:type="dxa"/>
            <w:vAlign w:val="bottom"/>
            <w:gridSpan w:val="3"/>
          </w:tcPr>
          <w:p>
            <w:pPr>
              <w:jc w:val="center"/>
              <w:ind w:right="639"/>
              <w:spacing w:after="0"/>
              <w:rPr>
                <w:sz w:val="20"/>
                <w:szCs w:val="20"/>
                <w:color w:val="auto"/>
              </w:rPr>
            </w:pPr>
            <w:r>
              <w:rPr>
                <w:rFonts w:ascii="Arial" w:cs="Arial" w:eastAsia="Arial" w:hAnsi="Arial"/>
                <w:sz w:val="14"/>
                <w:szCs w:val="14"/>
                <w:b w:val="1"/>
                <w:bCs w:val="1"/>
                <w:color w:val="auto"/>
                <w:w w:val="88"/>
              </w:rPr>
              <w:t>Title of Each Class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Trading symbol(s)</w:t>
            </w:r>
          </w:p>
        </w:tc>
        <w:tc>
          <w:tcPr>
            <w:tcW w:w="298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6"/>
        </w:trPr>
        <w:tc>
          <w:tcPr>
            <w:tcW w:w="28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r>
      <w:tr>
        <w:trPr>
          <w:trHeight w:val="169"/>
        </w:trPr>
        <w:tc>
          <w:tcPr>
            <w:tcW w:w="2860" w:type="dxa"/>
            <w:vAlign w:val="bottom"/>
            <w:gridSpan w:val="4"/>
          </w:tcPr>
          <w:p>
            <w:pPr>
              <w:jc w:val="center"/>
              <w:ind w:left="125"/>
              <w:spacing w:after="0" w:line="169" w:lineRule="exact"/>
              <w:rPr>
                <w:sz w:val="20"/>
                <w:szCs w:val="20"/>
                <w:color w:val="auto"/>
              </w:rPr>
            </w:pPr>
            <w:r>
              <w:rPr>
                <w:rFonts w:ascii="Arial" w:cs="Arial" w:eastAsia="Arial" w:hAnsi="Arial"/>
                <w:sz w:val="15"/>
                <w:szCs w:val="15"/>
                <w:b w:val="1"/>
                <w:bCs w:val="1"/>
                <w:color w:val="auto"/>
                <w:w w:val="88"/>
              </w:rPr>
              <w:t>Common Stock, par value $0.01 per share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3"/>
          </w:tcPr>
          <w:p>
            <w:pPr>
              <w:jc w:val="center"/>
              <w:ind w:right="380"/>
              <w:spacing w:after="0" w:line="169" w:lineRule="exact"/>
              <w:rPr>
                <w:sz w:val="20"/>
                <w:szCs w:val="20"/>
                <w:color w:val="auto"/>
              </w:rPr>
            </w:pPr>
            <w:r>
              <w:rPr>
                <w:rFonts w:ascii="Arial" w:cs="Arial" w:eastAsia="Arial" w:hAnsi="Arial"/>
                <w:sz w:val="15"/>
                <w:szCs w:val="15"/>
                <w:b w:val="1"/>
                <w:bCs w:val="1"/>
                <w:color w:val="auto"/>
                <w:w w:val="97"/>
              </w:rPr>
              <w:t>CPTA</w:t>
            </w:r>
          </w:p>
        </w:tc>
        <w:tc>
          <w:tcPr>
            <w:tcW w:w="400" w:type="dxa"/>
            <w:vAlign w:val="bottom"/>
          </w:tcPr>
          <w:p>
            <w:pPr>
              <w:spacing w:after="0"/>
              <w:rPr>
                <w:sz w:val="14"/>
                <w:szCs w:val="14"/>
                <w:color w:val="auto"/>
              </w:rPr>
            </w:pPr>
          </w:p>
        </w:tc>
        <w:tc>
          <w:tcPr>
            <w:tcW w:w="2580" w:type="dxa"/>
            <w:vAlign w:val="bottom"/>
            <w:gridSpan w:val="3"/>
          </w:tcPr>
          <w:p>
            <w:pPr>
              <w:jc w:val="center"/>
              <w:ind w:right="488"/>
              <w:spacing w:after="0" w:line="169" w:lineRule="exact"/>
              <w:rPr>
                <w:sz w:val="20"/>
                <w:szCs w:val="20"/>
                <w:color w:val="auto"/>
              </w:rPr>
            </w:pPr>
            <w:r>
              <w:rPr>
                <w:rFonts w:ascii="Arial" w:cs="Arial" w:eastAsia="Arial" w:hAnsi="Arial"/>
                <w:sz w:val="15"/>
                <w:szCs w:val="15"/>
                <w:b w:val="1"/>
                <w:bCs w:val="1"/>
                <w:color w:val="auto"/>
                <w:w w:val="91"/>
              </w:rPr>
              <w:t>NASDAQ Global Select Market</w:t>
            </w:r>
          </w:p>
        </w:tc>
      </w:tr>
      <w:tr>
        <w:trPr>
          <w:trHeight w:val="149"/>
        </w:trPr>
        <w:tc>
          <w:tcPr>
            <w:tcW w:w="2860" w:type="dxa"/>
            <w:vAlign w:val="bottom"/>
            <w:gridSpan w:val="4"/>
          </w:tcPr>
          <w:p>
            <w:pPr>
              <w:jc w:val="center"/>
              <w:ind w:left="145"/>
              <w:spacing w:after="0" w:line="149" w:lineRule="exact"/>
              <w:rPr>
                <w:sz w:val="20"/>
                <w:szCs w:val="20"/>
                <w:color w:val="auto"/>
              </w:rPr>
            </w:pPr>
            <w:r>
              <w:rPr>
                <w:rFonts w:ascii="Arial" w:cs="Arial" w:eastAsia="Arial" w:hAnsi="Arial"/>
                <w:sz w:val="15"/>
                <w:szCs w:val="15"/>
                <w:b w:val="1"/>
                <w:bCs w:val="1"/>
                <w:color w:val="auto"/>
                <w:w w:val="88"/>
              </w:rPr>
              <w:t>5.75% Convertible Notes due 2022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20" w:type="dxa"/>
            <w:vAlign w:val="bottom"/>
            <w:gridSpan w:val="3"/>
          </w:tcPr>
          <w:p>
            <w:pPr>
              <w:jc w:val="center"/>
              <w:ind w:right="380"/>
              <w:spacing w:after="0" w:line="149" w:lineRule="exact"/>
              <w:rPr>
                <w:sz w:val="20"/>
                <w:szCs w:val="20"/>
                <w:color w:val="auto"/>
              </w:rPr>
            </w:pPr>
            <w:r>
              <w:rPr>
                <w:rFonts w:ascii="Arial" w:cs="Arial" w:eastAsia="Arial" w:hAnsi="Arial"/>
                <w:sz w:val="15"/>
                <w:szCs w:val="15"/>
                <w:b w:val="1"/>
                <w:bCs w:val="1"/>
                <w:color w:val="auto"/>
                <w:w w:val="98"/>
              </w:rPr>
              <w:t>CPTAG</w:t>
            </w:r>
          </w:p>
        </w:tc>
        <w:tc>
          <w:tcPr>
            <w:tcW w:w="400" w:type="dxa"/>
            <w:vAlign w:val="bottom"/>
          </w:tcPr>
          <w:p>
            <w:pPr>
              <w:spacing w:after="0"/>
              <w:rPr>
                <w:sz w:val="12"/>
                <w:szCs w:val="12"/>
                <w:color w:val="auto"/>
              </w:rPr>
            </w:pPr>
          </w:p>
        </w:tc>
        <w:tc>
          <w:tcPr>
            <w:tcW w:w="2580" w:type="dxa"/>
            <w:vAlign w:val="bottom"/>
            <w:gridSpan w:val="3"/>
          </w:tcPr>
          <w:p>
            <w:pPr>
              <w:jc w:val="center"/>
              <w:ind w:right="488"/>
              <w:spacing w:after="0" w:line="149" w:lineRule="exact"/>
              <w:rPr>
                <w:sz w:val="20"/>
                <w:szCs w:val="20"/>
                <w:color w:val="auto"/>
              </w:rPr>
            </w:pPr>
            <w:r>
              <w:rPr>
                <w:rFonts w:ascii="Arial" w:cs="Arial" w:eastAsia="Arial" w:hAnsi="Arial"/>
                <w:sz w:val="15"/>
                <w:szCs w:val="15"/>
                <w:b w:val="1"/>
                <w:bCs w:val="1"/>
                <w:color w:val="auto"/>
                <w:w w:val="94"/>
              </w:rPr>
              <w:t>NASDAQ Capital Market</w:t>
            </w:r>
          </w:p>
        </w:tc>
      </w:tr>
      <w:tr>
        <w:trPr>
          <w:trHeight w:val="198"/>
        </w:trPr>
        <w:tc>
          <w:tcPr>
            <w:tcW w:w="2860" w:type="dxa"/>
            <w:vAlign w:val="bottom"/>
            <w:gridSpan w:val="4"/>
          </w:tcPr>
          <w:p>
            <w:pPr>
              <w:jc w:val="center"/>
              <w:ind w:left="165"/>
              <w:spacing w:after="0"/>
              <w:rPr>
                <w:sz w:val="20"/>
                <w:szCs w:val="20"/>
                <w:color w:val="auto"/>
              </w:rPr>
            </w:pPr>
            <w:r>
              <w:rPr>
                <w:rFonts w:ascii="Arial" w:cs="Arial" w:eastAsia="Arial" w:hAnsi="Arial"/>
                <w:sz w:val="15"/>
                <w:szCs w:val="15"/>
                <w:b w:val="1"/>
                <w:bCs w:val="1"/>
                <w:color w:val="auto"/>
                <w:w w:val="88"/>
              </w:rPr>
              <w:t>6.00% Notes due 2022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3"/>
          </w:tcPr>
          <w:p>
            <w:pPr>
              <w:jc w:val="center"/>
              <w:ind w:right="340"/>
              <w:spacing w:after="0"/>
              <w:rPr>
                <w:sz w:val="20"/>
                <w:szCs w:val="20"/>
                <w:color w:val="auto"/>
              </w:rPr>
            </w:pPr>
            <w:r>
              <w:rPr>
                <w:rFonts w:ascii="Arial" w:cs="Arial" w:eastAsia="Arial" w:hAnsi="Arial"/>
                <w:sz w:val="15"/>
                <w:szCs w:val="15"/>
                <w:b w:val="1"/>
                <w:bCs w:val="1"/>
                <w:color w:val="auto"/>
                <w:w w:val="95"/>
              </w:rPr>
              <w:t>CPTAL</w:t>
            </w:r>
          </w:p>
        </w:tc>
        <w:tc>
          <w:tcPr>
            <w:tcW w:w="400" w:type="dxa"/>
            <w:vAlign w:val="bottom"/>
          </w:tcPr>
          <w:p>
            <w:pPr>
              <w:spacing w:after="0"/>
              <w:rPr>
                <w:sz w:val="17"/>
                <w:szCs w:val="17"/>
                <w:color w:val="auto"/>
              </w:rPr>
            </w:pPr>
          </w:p>
        </w:tc>
        <w:tc>
          <w:tcPr>
            <w:tcW w:w="2580" w:type="dxa"/>
            <w:vAlign w:val="bottom"/>
            <w:gridSpan w:val="3"/>
          </w:tcPr>
          <w:p>
            <w:pPr>
              <w:jc w:val="center"/>
              <w:ind w:right="468"/>
              <w:spacing w:after="0"/>
              <w:rPr>
                <w:sz w:val="20"/>
                <w:szCs w:val="20"/>
                <w:color w:val="auto"/>
              </w:rPr>
            </w:pPr>
            <w:r>
              <w:rPr>
                <w:rFonts w:ascii="Arial" w:cs="Arial" w:eastAsia="Arial" w:hAnsi="Arial"/>
                <w:sz w:val="15"/>
                <w:szCs w:val="15"/>
                <w:b w:val="1"/>
                <w:bCs w:val="1"/>
                <w:color w:val="auto"/>
                <w:w w:val="92"/>
              </w:rPr>
              <w:t>NASDAQ Global Select Market</w:t>
            </w:r>
          </w:p>
        </w:tc>
      </w:tr>
    </w:tbl>
    <w:p>
      <w:pPr>
        <w:spacing w:after="0" w:line="135" w:lineRule="exact"/>
        <w:rPr>
          <w:sz w:val="24"/>
          <w:szCs w:val="24"/>
          <w:color w:val="auto"/>
        </w:rPr>
      </w:pPr>
    </w:p>
    <w:p>
      <w:pPr>
        <w:ind w:left="340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75" w:lineRule="exact"/>
        <w:rPr>
          <w:sz w:val="24"/>
          <w:szCs w:val="24"/>
          <w:color w:val="auto"/>
        </w:rPr>
      </w:pPr>
    </w:p>
    <w:p>
      <w:pPr>
        <w:ind w:left="8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38" w:lineRule="exact"/>
        <w:rPr>
          <w:sz w:val="24"/>
          <w:szCs w:val="24"/>
          <w:color w:val="auto"/>
        </w:rPr>
      </w:pPr>
    </w:p>
    <w:p>
      <w:pPr>
        <w:ind w:left="878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1" w:lineRule="exact"/>
        <w:rPr>
          <w:sz w:val="24"/>
          <w:szCs w:val="24"/>
          <w:color w:val="auto"/>
        </w:rPr>
      </w:pPr>
    </w:p>
    <w:p>
      <w:pPr>
        <w:ind w:left="86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38" w:lineRule="exact"/>
        <w:rPr>
          <w:sz w:val="24"/>
          <w:szCs w:val="24"/>
          <w:color w:val="auto"/>
        </w:rPr>
      </w:pPr>
    </w:p>
    <w:p>
      <w:pPr>
        <w:ind w:left="878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left="500" w:firstLine="360"/>
        <w:spacing w:after="0" w:line="27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78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left="500" w:right="20" w:firstLine="36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4"/>
          <w:szCs w:val="24"/>
          <w:color w:val="auto"/>
        </w:rPr>
      </w:pPr>
    </w:p>
    <w:p>
      <w:pPr>
        <w:ind w:left="878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left="500" w:right="20" w:firstLine="360"/>
        <w:spacing w:after="0" w:line="27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580" w:top="239" w:right="1079" w:bottom="1440" w:gutter="0" w:footer="0" w:header="0"/>
        </w:sectPr>
      </w:pPr>
    </w:p>
    <w:p>
      <w:pPr>
        <w:spacing w:after="0" w:line="5" w:lineRule="exact"/>
        <w:rPr>
          <w:sz w:val="24"/>
          <w:szCs w:val="24"/>
          <w:color w:val="auto"/>
        </w:rPr>
      </w:pPr>
    </w:p>
    <w:p>
      <w:pPr>
        <w:ind w:left="8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3340"/>
        <w:spacing w:after="0" w:line="146"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9" w:lineRule="exact"/>
        <w:rPr>
          <w:sz w:val="24"/>
          <w:szCs w:val="24"/>
          <w:color w:val="auto"/>
        </w:rPr>
      </w:pPr>
    </w:p>
    <w:p>
      <w:pPr>
        <w:sectPr>
          <w:pgSz w:w="11900" w:h="16838" w:orient="portrait"/>
          <w:cols w:equalWidth="0" w:num="2">
            <w:col w:w="4920" w:space="720"/>
            <w:col w:w="4600"/>
          </w:cols>
          <w:pgMar w:left="580" w:top="239" w:right="1079" w:bottom="1440" w:gutter="0" w:footer="0" w:header="0"/>
          <w:type w:val="continuous"/>
        </w:sectPr>
      </w:pPr>
    </w:p>
    <w:p>
      <w:pPr>
        <w:ind w:left="8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4920" w:space="720"/>
            <w:col w:w="4600"/>
          </w:cols>
          <w:pgMar w:left="580" w:top="239" w:right="1079" w:bottom="1440" w:gutter="0" w:footer="0" w:header="0"/>
          <w:type w:val="continuous"/>
        </w:sectPr>
      </w:pPr>
    </w:p>
    <w:p>
      <w:pPr>
        <w:ind w:left="5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240"/>
          </w:cols>
          <w:pgMar w:left="580" w:top="239" w:right="1079" w:bottom="1440" w:gutter="0" w:footer="0" w:header="0"/>
          <w:type w:val="continuous"/>
        </w:sectPr>
      </w:pPr>
    </w:p>
    <w:p>
      <w:pPr>
        <w:spacing w:after="0" w:line="277" w:lineRule="exact"/>
        <w:rPr>
          <w:sz w:val="24"/>
          <w:szCs w:val="24"/>
          <w:color w:val="auto"/>
        </w:rPr>
      </w:pPr>
    </w:p>
    <w:p>
      <w:pPr>
        <w:jc w:val="both"/>
        <w:ind w:left="500" w:right="20" w:firstLine="360"/>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4" w:lineRule="exact"/>
        <w:rPr>
          <w:sz w:val="24"/>
          <w:szCs w:val="24"/>
          <w:color w:val="auto"/>
        </w:rPr>
      </w:pPr>
    </w:p>
    <w:p>
      <w:pPr>
        <w:jc w:val="both"/>
        <w:ind w:left="500" w:firstLine="360"/>
        <w:spacing w:after="0" w:line="272"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ind w:left="878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1" w:lineRule="exact"/>
        <w:rPr>
          <w:sz w:val="24"/>
          <w:szCs w:val="24"/>
          <w:color w:val="auto"/>
        </w:rPr>
      </w:pPr>
    </w:p>
    <w:p>
      <w:pPr>
        <w:ind w:left="8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38" w:lineRule="exact"/>
        <w:rPr>
          <w:sz w:val="24"/>
          <w:szCs w:val="24"/>
          <w:color w:val="auto"/>
        </w:rPr>
      </w:pPr>
    </w:p>
    <w:p>
      <w:pPr>
        <w:ind w:left="878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left="500" w:firstLine="360"/>
        <w:spacing w:after="0" w:line="306"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$39.8 million based on the number of shares held by non-affiliates of the registrant as of June 30, 2020, which was the last business day of the registrant’s most recently completed second fiscal quarter. For the purposes of calculating this amount only, all directors and executive officers of the registrant have been treated as affiliates.</w:t>
      </w:r>
    </w:p>
    <w:p>
      <w:pPr>
        <w:spacing w:after="0" w:line="5" w:lineRule="exact"/>
        <w:rPr>
          <w:sz w:val="24"/>
          <w:szCs w:val="24"/>
          <w:color w:val="auto"/>
        </w:rPr>
      </w:pPr>
    </w:p>
    <w:p>
      <w:pPr>
        <w:ind w:left="860"/>
        <w:spacing w:after="0"/>
        <w:rPr>
          <w:sz w:val="20"/>
          <w:szCs w:val="20"/>
          <w:color w:val="auto"/>
        </w:rPr>
      </w:pPr>
      <w:r>
        <w:rPr>
          <w:rFonts w:ascii="Arial" w:cs="Arial" w:eastAsia="Arial" w:hAnsi="Arial"/>
          <w:sz w:val="15"/>
          <w:szCs w:val="15"/>
          <w:color w:val="auto"/>
        </w:rPr>
        <w:t>The number of shares of Capitala Finance Corp.’s common stock, $0.01 par value, outstanding as of March 5, 2021 was 2,711,068.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78740</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121920</wp:posOffset>
            </wp:positionV>
            <wp:extent cx="61893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610235</wp:posOffset>
            </wp:positionV>
            <wp:extent cx="6806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
        </w:trPr>
        <w:tc>
          <w:tcPr>
            <w:tcW w:w="1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57"/>
        </w:trPr>
        <w:tc>
          <w:tcPr>
            <w:tcW w:w="1100" w:type="dxa"/>
            <w:vAlign w:val="bottom"/>
          </w:tcPr>
          <w:p>
            <w:pPr>
              <w:ind w:left="1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Business</w:t>
              </w:r>
            </w:hyperlink>
          </w:p>
        </w:tc>
        <w:tc>
          <w:tcPr>
            <w:tcW w:w="420" w:type="dxa"/>
            <w:vAlign w:val="bottom"/>
          </w:tcPr>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1</w:t>
              </w:r>
            </w:hyperlink>
          </w:p>
        </w:tc>
      </w:tr>
      <w:tr>
        <w:trPr>
          <w:trHeight w:val="257"/>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w:t>
              </w:r>
            </w:hyperlink>
          </w:p>
        </w:tc>
        <w:tc>
          <w:tcPr>
            <w:tcW w:w="6680" w:type="dxa"/>
            <w:vAlign w:val="bottom"/>
            <w:gridSpan w:val="9"/>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42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w:t>
              </w:r>
            </w:hyperlink>
          </w:p>
        </w:tc>
      </w:tr>
      <w:tr>
        <w:trPr>
          <w:trHeight w:val="270"/>
        </w:trPr>
        <w:tc>
          <w:tcPr>
            <w:tcW w:w="1100" w:type="dxa"/>
            <w:vAlign w:val="bottom"/>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1B.</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Unresolved Staff Comments</w:t>
              </w:r>
            </w:hyperlink>
          </w:p>
        </w:tc>
        <w:tc>
          <w:tcPr>
            <w:tcW w:w="420" w:type="dxa"/>
            <w:vAlign w:val="bottom"/>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69</w:t>
              </w:r>
            </w:hyperlink>
          </w:p>
        </w:tc>
      </w:tr>
      <w:tr>
        <w:trPr>
          <w:trHeight w:val="270"/>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2.</w:t>
              </w:r>
            </w:hyperlink>
          </w:p>
        </w:tc>
        <w:tc>
          <w:tcPr>
            <w:tcW w:w="6680" w:type="dxa"/>
            <w:vAlign w:val="bottom"/>
            <w:gridSpan w:val="9"/>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Properties</w:t>
              </w:r>
            </w:hyperlink>
          </w:p>
        </w:tc>
        <w:tc>
          <w:tcPr>
            <w:tcW w:w="420" w:type="dxa"/>
            <w:vAlign w:val="bottom"/>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69</w:t>
              </w:r>
            </w:hyperlink>
          </w:p>
        </w:tc>
      </w:tr>
      <w:tr>
        <w:trPr>
          <w:trHeight w:val="270"/>
        </w:trPr>
        <w:tc>
          <w:tcPr>
            <w:tcW w:w="1100" w:type="dxa"/>
            <w:vAlign w:val="bottom"/>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3.</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Legal Proceedings</w:t>
              </w:r>
            </w:hyperlink>
          </w:p>
        </w:tc>
        <w:tc>
          <w:tcPr>
            <w:tcW w:w="420" w:type="dxa"/>
            <w:vAlign w:val="bottom"/>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69</w:t>
              </w:r>
            </w:hyperlink>
          </w:p>
        </w:tc>
      </w:tr>
      <w:tr>
        <w:trPr>
          <w:trHeight w:val="270"/>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4.</w:t>
              </w:r>
            </w:hyperlink>
          </w:p>
        </w:tc>
        <w:tc>
          <w:tcPr>
            <w:tcW w:w="6680" w:type="dxa"/>
            <w:vAlign w:val="bottom"/>
            <w:gridSpan w:val="9"/>
            <w:shd w:val="clear" w:color="auto" w:fill="CCEEFF"/>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Mine Safety Disclosures</w:t>
              </w:r>
            </w:hyperlink>
          </w:p>
        </w:tc>
        <w:tc>
          <w:tcPr>
            <w:tcW w:w="420" w:type="dxa"/>
            <w:vAlign w:val="bottom"/>
            <w:shd w:val="clear" w:color="auto" w:fill="CCEEFF"/>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70</w:t>
              </w:r>
            </w:hyperlink>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16"/>
        </w:trPr>
        <w:tc>
          <w:tcPr>
            <w:tcW w:w="110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5.</w:t>
              </w:r>
            </w:hyperlink>
          </w:p>
        </w:tc>
        <w:tc>
          <w:tcPr>
            <w:tcW w:w="61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Market for Registrant’s Common Equity, Related Stockholder Matters and Issuer</w:t>
              </w:r>
            </w:hyperlink>
          </w:p>
        </w:tc>
        <w:tc>
          <w:tcPr>
            <w:tcW w:w="5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230"/>
        </w:trPr>
        <w:tc>
          <w:tcPr>
            <w:tcW w:w="1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Purchases of Equity Securities</w:t>
              </w:r>
            </w:hyperlink>
          </w:p>
        </w:tc>
        <w:tc>
          <w:tcPr>
            <w:tcW w:w="4380" w:type="dxa"/>
            <w:vAlign w:val="bottom"/>
            <w:tcBorders>
              <w:bottom w:val="single" w:sz="8" w:color="CCEEFF"/>
            </w:tcBorders>
            <w:gridSpan w:val="5"/>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71</w:t>
              </w:r>
            </w:hyperlink>
          </w:p>
        </w:tc>
      </w:tr>
      <w:tr>
        <w:trPr>
          <w:trHeight w:val="270"/>
        </w:trPr>
        <w:tc>
          <w:tcPr>
            <w:tcW w:w="1100" w:type="dxa"/>
            <w:vAlign w:val="bottom"/>
          </w:tcPr>
          <w:p>
            <w:pPr>
              <w:ind w:left="1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6.</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Selected Consolidated Financial Data</w:t>
              </w:r>
            </w:hyperlink>
          </w:p>
        </w:tc>
        <w:tc>
          <w:tcPr>
            <w:tcW w:w="420" w:type="dxa"/>
            <w:vAlign w:val="bottom"/>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78</w:t>
              </w:r>
            </w:hyperlink>
          </w:p>
        </w:tc>
      </w:tr>
      <w:tr>
        <w:trPr>
          <w:trHeight w:val="216"/>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 7.</w:t>
              </w:r>
            </w:hyperlink>
          </w:p>
        </w:tc>
        <w:tc>
          <w:tcPr>
            <w:tcW w:w="6680" w:type="dxa"/>
            <w:vAlign w:val="bottom"/>
            <w:gridSpan w:val="9"/>
            <w:shd w:val="clear" w:color="auto" w:fill="CCEEFF"/>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w:t>
              </w:r>
            </w:hyperlink>
          </w:p>
        </w:tc>
        <w:tc>
          <w:tcPr>
            <w:tcW w:w="420" w:type="dxa"/>
            <w:vAlign w:val="bottom"/>
            <w:shd w:val="clear" w:color="auto" w:fill="CCEEFF"/>
          </w:tcPr>
          <w:p>
            <w:pPr>
              <w:spacing w:after="0"/>
              <w:rPr>
                <w:sz w:val="18"/>
                <w:szCs w:val="18"/>
                <w:color w:val="auto"/>
              </w:rPr>
            </w:pPr>
          </w:p>
        </w:tc>
      </w:tr>
      <w:tr>
        <w:trPr>
          <w:trHeight w:val="230"/>
        </w:trPr>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Operations</w:t>
              </w:r>
            </w:hyperlink>
          </w:p>
        </w:tc>
        <w:tc>
          <w:tcPr>
            <w:tcW w:w="5060" w:type="dxa"/>
            <w:vAlign w:val="bottom"/>
            <w:tcBorders>
              <w:top w:val="single" w:sz="8" w:color="0000EE"/>
              <w:bottom w:val="single" w:sz="8" w:color="CCEEFF"/>
            </w:tcBorders>
            <w:gridSpan w:val="3"/>
            <w:shd w:val="clear" w:color="auto" w:fill="CCEEFF"/>
          </w:tcPr>
          <w:p>
            <w:pPr>
              <w:spacing w:after="0"/>
              <w:rPr>
                <w:sz w:val="20"/>
                <w:szCs w:val="20"/>
                <w:color w:val="auto"/>
              </w:rPr>
            </w:pPr>
          </w:p>
        </w:tc>
        <w:tc>
          <w:tcPr>
            <w:tcW w:w="80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79</w:t>
              </w:r>
            </w:hyperlink>
          </w:p>
        </w:tc>
      </w:tr>
      <w:tr>
        <w:trPr>
          <w:trHeight w:val="270"/>
        </w:trPr>
        <w:tc>
          <w:tcPr>
            <w:tcW w:w="1100" w:type="dxa"/>
            <w:vAlign w:val="bottom"/>
          </w:tcPr>
          <w:p>
            <w:pPr>
              <w:ind w:left="18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7A.</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Quantitative and Qualitative Disclosures about Market Risk</w:t>
              </w:r>
            </w:hyperlink>
          </w:p>
        </w:tc>
        <w:tc>
          <w:tcPr>
            <w:tcW w:w="420" w:type="dxa"/>
            <w:vAlign w:val="bottom"/>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103</w:t>
              </w:r>
            </w:hyperlink>
          </w:p>
        </w:tc>
      </w:tr>
      <w:tr>
        <w:trPr>
          <w:trHeight w:val="270"/>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Item 8.</w:t>
              </w:r>
            </w:hyperlink>
          </w:p>
        </w:tc>
        <w:tc>
          <w:tcPr>
            <w:tcW w:w="6680" w:type="dxa"/>
            <w:vAlign w:val="bottom"/>
            <w:gridSpan w:val="9"/>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Consolidated Financial Statements and Supplementary Data</w:t>
              </w:r>
            </w:hyperlink>
          </w:p>
        </w:tc>
        <w:tc>
          <w:tcPr>
            <w:tcW w:w="420" w:type="dxa"/>
            <w:vAlign w:val="bottom"/>
            <w:shd w:val="clear" w:color="auto" w:fill="CCEEFF"/>
          </w:tcPr>
          <w:p>
            <w:pPr>
              <w:jc w:val="right"/>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104</w:t>
              </w:r>
            </w:hyperlink>
          </w:p>
        </w:tc>
      </w:tr>
      <w:tr>
        <w:trPr>
          <w:trHeight w:val="216"/>
        </w:trPr>
        <w:tc>
          <w:tcPr>
            <w:tcW w:w="1100" w:type="dxa"/>
            <w:vAlign w:val="bottom"/>
          </w:tcPr>
          <w:p>
            <w:pPr>
              <w:ind w:left="18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Item 9.</w:t>
              </w:r>
            </w:hyperlink>
          </w:p>
        </w:tc>
        <w:tc>
          <w:tcPr>
            <w:tcW w:w="59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62">
              <w:r>
                <w:rPr>
                  <w:rFonts w:ascii="Arial" w:cs="Arial" w:eastAsia="Arial" w:hAnsi="Arial"/>
                  <w:sz w:val="18"/>
                  <w:szCs w:val="18"/>
                  <w:color w:val="0000EE"/>
                  <w:w w:val="94"/>
                </w:rPr>
                <w:t>Changes in and Disagreements with Accountants on Accounting and Financial</w:t>
              </w:r>
            </w:hyperlink>
          </w:p>
        </w:tc>
        <w:tc>
          <w:tcPr>
            <w:tcW w:w="76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6680" w:type="dxa"/>
            <w:vAlign w:val="bottom"/>
            <w:gridSpan w:val="9"/>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Disclosure</w:t>
              </w:r>
            </w:hyperlink>
          </w:p>
        </w:tc>
        <w:tc>
          <w:tcPr>
            <w:tcW w:w="420" w:type="dxa"/>
            <w:vAlign w:val="bottom"/>
          </w:tcPr>
          <w:p>
            <w:pPr>
              <w:jc w:val="right"/>
              <w:spacing w:after="0" w:line="196" w:lineRule="exact"/>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104</w:t>
              </w:r>
            </w:hyperlink>
          </w:p>
        </w:tc>
      </w:tr>
      <w:tr>
        <w:trPr>
          <w:trHeight w:val="34"/>
        </w:trPr>
        <w:tc>
          <w:tcPr>
            <w:tcW w:w="110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Item 9A.</w:t>
              </w:r>
            </w:hyperlink>
          </w:p>
        </w:tc>
        <w:tc>
          <w:tcPr>
            <w:tcW w:w="6680" w:type="dxa"/>
            <w:vAlign w:val="bottom"/>
            <w:gridSpan w:val="9"/>
            <w:shd w:val="clear" w:color="auto" w:fill="CCEEFF"/>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Controls and Procedures</w:t>
              </w:r>
            </w:hyperlink>
          </w:p>
        </w:tc>
        <w:tc>
          <w:tcPr>
            <w:tcW w:w="420" w:type="dxa"/>
            <w:vAlign w:val="bottom"/>
            <w:shd w:val="clear" w:color="auto" w:fill="CCEEFF"/>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104</w:t>
              </w:r>
            </w:hyperlink>
          </w:p>
        </w:tc>
      </w:tr>
      <w:tr>
        <w:trPr>
          <w:trHeight w:val="270"/>
        </w:trPr>
        <w:tc>
          <w:tcPr>
            <w:tcW w:w="1100" w:type="dxa"/>
            <w:vAlign w:val="bottom"/>
          </w:tcPr>
          <w:p>
            <w:pPr>
              <w:ind w:left="18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Item 9B.</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104</w:t>
              </w:r>
            </w:hyperlink>
          </w:p>
        </w:tc>
      </w:tr>
      <w:tr>
        <w:trPr>
          <w:trHeight w:val="27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270"/>
        </w:trPr>
        <w:tc>
          <w:tcPr>
            <w:tcW w:w="1100" w:type="dxa"/>
            <w:vAlign w:val="bottom"/>
          </w:tcPr>
          <w:p>
            <w:pPr>
              <w:ind w:left="18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Item 10.</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Directors, Executive Officers and Corporate Governance</w:t>
              </w:r>
            </w:hyperlink>
          </w:p>
        </w:tc>
        <w:tc>
          <w:tcPr>
            <w:tcW w:w="420" w:type="dxa"/>
            <w:vAlign w:val="bottom"/>
          </w:tcPr>
          <w:p>
            <w:pPr>
              <w:jc w:val="right"/>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105</w:t>
              </w:r>
            </w:hyperlink>
          </w:p>
        </w:tc>
      </w:tr>
      <w:tr>
        <w:trPr>
          <w:trHeight w:val="270"/>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Item 11.</w:t>
              </w:r>
            </w:hyperlink>
          </w:p>
        </w:tc>
        <w:tc>
          <w:tcPr>
            <w:tcW w:w="6680" w:type="dxa"/>
            <w:vAlign w:val="bottom"/>
            <w:gridSpan w:val="9"/>
            <w:shd w:val="clear" w:color="auto" w:fill="CCEEFF"/>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Executive Compensation</w:t>
              </w:r>
            </w:hyperlink>
          </w:p>
        </w:tc>
        <w:tc>
          <w:tcPr>
            <w:tcW w:w="420" w:type="dxa"/>
            <w:vAlign w:val="bottom"/>
            <w:shd w:val="clear" w:color="auto" w:fill="CCEEFF"/>
          </w:tcPr>
          <w:p>
            <w:pPr>
              <w:jc w:val="right"/>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108</w:t>
              </w:r>
            </w:hyperlink>
          </w:p>
        </w:tc>
      </w:tr>
      <w:tr>
        <w:trPr>
          <w:trHeight w:val="216"/>
        </w:trPr>
        <w:tc>
          <w:tcPr>
            <w:tcW w:w="1100" w:type="dxa"/>
            <w:vAlign w:val="bottom"/>
          </w:tcPr>
          <w:p>
            <w:pPr>
              <w:ind w:left="18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12.</w:t>
              </w:r>
            </w:hyperlink>
          </w:p>
        </w:tc>
        <w:tc>
          <w:tcPr>
            <w:tcW w:w="6680" w:type="dxa"/>
            <w:vAlign w:val="bottom"/>
            <w:gridSpan w:val="9"/>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Security Ownership of Certain Beneficial Owners and Management and Related</w:t>
              </w:r>
            </w:hyperlink>
          </w:p>
        </w:tc>
        <w:tc>
          <w:tcPr>
            <w:tcW w:w="420" w:type="dxa"/>
            <w:vAlign w:val="bottom"/>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6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Stockholder Matters</w:t>
              </w:r>
            </w:hyperlink>
          </w:p>
        </w:tc>
        <w:tc>
          <w:tcPr>
            <w:tcW w:w="640" w:type="dxa"/>
            <w:vAlign w:val="bottom"/>
            <w:gridSpan w:val="2"/>
          </w:tcPr>
          <w:p>
            <w:pPr>
              <w:spacing w:after="0"/>
              <w:rPr>
                <w:sz w:val="17"/>
                <w:szCs w:val="17"/>
                <w:color w:val="auto"/>
              </w:rPr>
            </w:pPr>
          </w:p>
        </w:tc>
        <w:tc>
          <w:tcPr>
            <w:tcW w:w="420" w:type="dxa"/>
            <w:vAlign w:val="bottom"/>
          </w:tcPr>
          <w:p>
            <w:pPr>
              <w:jc w:val="right"/>
              <w:spacing w:after="0" w:line="196" w:lineRule="exact"/>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109</w:t>
              </w:r>
            </w:hyperlink>
          </w:p>
        </w:tc>
      </w:tr>
      <w:tr>
        <w:trPr>
          <w:trHeight w:val="34"/>
        </w:trPr>
        <w:tc>
          <w:tcPr>
            <w:tcW w:w="110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Item 13.</w:t>
              </w:r>
            </w:hyperlink>
          </w:p>
        </w:tc>
        <w:tc>
          <w:tcPr>
            <w:tcW w:w="6680" w:type="dxa"/>
            <w:vAlign w:val="bottom"/>
            <w:gridSpan w:val="9"/>
            <w:shd w:val="clear" w:color="auto" w:fill="CCEEFF"/>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Certain Relationships and Related Transactions, and Director Independence</w:t>
              </w:r>
            </w:hyperlink>
          </w:p>
        </w:tc>
        <w:tc>
          <w:tcPr>
            <w:tcW w:w="420" w:type="dxa"/>
            <w:vAlign w:val="bottom"/>
            <w:shd w:val="clear" w:color="auto" w:fill="CCEEFF"/>
          </w:tcPr>
          <w:p>
            <w:pPr>
              <w:jc w:val="right"/>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111</w:t>
              </w:r>
            </w:hyperlink>
          </w:p>
        </w:tc>
      </w:tr>
      <w:tr>
        <w:trPr>
          <w:trHeight w:val="270"/>
        </w:trPr>
        <w:tc>
          <w:tcPr>
            <w:tcW w:w="1100" w:type="dxa"/>
            <w:vAlign w:val="bottom"/>
          </w:tcPr>
          <w:p>
            <w:pPr>
              <w:ind w:left="180"/>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Item 14.</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Principal Accountant Fees and Services</w:t>
              </w:r>
            </w:hyperlink>
          </w:p>
        </w:tc>
        <w:tc>
          <w:tcPr>
            <w:tcW w:w="420" w:type="dxa"/>
            <w:vAlign w:val="bottom"/>
          </w:tcPr>
          <w:p>
            <w:pPr>
              <w:jc w:val="right"/>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113</w:t>
              </w:r>
            </w:hyperlink>
          </w:p>
        </w:tc>
      </w:tr>
      <w:tr>
        <w:trPr>
          <w:trHeight w:val="27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270"/>
        </w:trPr>
        <w:tc>
          <w:tcPr>
            <w:tcW w:w="1100" w:type="dxa"/>
            <w:vAlign w:val="bottom"/>
          </w:tcPr>
          <w:p>
            <w:pPr>
              <w:ind w:left="18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Item 15.</w:t>
              </w:r>
            </w:hyperlink>
          </w:p>
        </w:tc>
        <w:tc>
          <w:tcPr>
            <w:tcW w:w="6680" w:type="dxa"/>
            <w:vAlign w:val="bottom"/>
            <w:gridSpan w:val="9"/>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Exhibits and Consolidated Financial Statement Schedules</w:t>
              </w:r>
            </w:hyperlink>
          </w:p>
        </w:tc>
        <w:tc>
          <w:tcPr>
            <w:tcW w:w="420" w:type="dxa"/>
            <w:vAlign w:val="bottom"/>
          </w:tcPr>
          <w:p>
            <w:pPr>
              <w:jc w:val="right"/>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115</w:t>
              </w:r>
            </w:hyperlink>
          </w:p>
        </w:tc>
      </w:tr>
      <w:tr>
        <w:trPr>
          <w:trHeight w:val="270"/>
        </w:trPr>
        <w:tc>
          <w:tcPr>
            <w:tcW w:w="1100" w:type="dxa"/>
            <w:vAlign w:val="bottom"/>
            <w:shd w:val="clear" w:color="auto" w:fill="CCEEFF"/>
          </w:tcPr>
          <w:p>
            <w:pPr>
              <w:ind w:left="180"/>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Item 16.</w:t>
              </w:r>
            </w:hyperlink>
          </w:p>
        </w:tc>
        <w:tc>
          <w:tcPr>
            <w:tcW w:w="6680" w:type="dxa"/>
            <w:vAlign w:val="bottom"/>
            <w:gridSpan w:val="9"/>
            <w:shd w:val="clear" w:color="auto" w:fill="CCEEFF"/>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Form 10-K Summary</w:t>
              </w:r>
            </w:hyperlink>
          </w:p>
        </w:tc>
        <w:tc>
          <w:tcPr>
            <w:tcW w:w="420" w:type="dxa"/>
            <w:vAlign w:val="bottom"/>
            <w:shd w:val="clear" w:color="auto" w:fill="CCEEFF"/>
          </w:tcPr>
          <w:p>
            <w:pPr>
              <w:jc w:val="right"/>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117</w:t>
              </w:r>
            </w:hyperlink>
          </w:p>
        </w:tc>
      </w:tr>
      <w:tr>
        <w:trPr>
          <w:trHeight w:val="270"/>
        </w:trPr>
        <w:tc>
          <w:tcPr>
            <w:tcW w:w="110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Signatures</w:t>
              </w:r>
            </w:hyperlink>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jc w:val="right"/>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118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-4988560</wp:posOffset>
            </wp:positionV>
            <wp:extent cx="4946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 this Annual Report on Form 10-K, except as otherwise indicated, the terms:</w:t>
      </w:r>
    </w:p>
    <w:p>
      <w:pPr>
        <w:spacing w:after="0" w:line="117" w:lineRule="exact"/>
        <w:rPr>
          <w:sz w:val="20"/>
          <w:szCs w:val="20"/>
          <w:color w:val="auto"/>
        </w:rPr>
      </w:pPr>
    </w:p>
    <w:p>
      <w:pPr>
        <w:ind w:left="1800" w:right="41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“us,” “our,” “Capitala Finance” and the “Company” refer to Capitala Finance Corp., together with its consolidated subsidiaries;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“Investment Advisor” and “Capitala Investment Advisors” refer to Capitala Investment Advisors, LLC, our investment adviser;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“Administrator” refers to Capitala Advisors Corp., our administrator.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FORMATION OF OUR COMPANY</w:t>
      </w:r>
    </w:p>
    <w:p>
      <w:pPr>
        <w:spacing w:after="0" w:line="162"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We are an externally managed non- diversified closed -end management investment company incorporated in Maryland that has elected to be regulated as a business development company (“BDC”) under the Investment Company Act of 1940, as amended (the “1940 Act”). We commenced operations on May 24, 2013 and completed our initial public offering (“IPO”) on September 30, 2013. We are managed by Capitala Investment Advisors, an investment adviser that is registered as an investment adviser under the Investment Advisers Act of 1940, as amended (the “Advisers Act”), and Capitala Advisors Corp. provides the administrative services necessary for us to operate. For U.S. federal income tax purposes, we have elected to be treated, and intend to comply with the requirements to continue to qualify annually, as a regulated investment company (“RIC”) under subchapter M of the Internal Revenue Code of 1986, as amended (the “Code”).</w:t>
      </w:r>
    </w:p>
    <w:p>
      <w:pPr>
        <w:spacing w:after="0" w:line="107"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Our investment objective is to generate both current income and capital appreciation through debt and equity investments. Both directly and through our subsidiaries that are licensed by the U.S. Small Business Administration (“SBA”) under the Small Business Investment Act of 1958, as amended (the “SBIA”), we offer customized financing to business owners, management teams and financial sponsors for change of ownership transactions, recapitalizations, strategic acquisitions, business expansion and other growth initiatives. We invest in first lien loans, and, to a lesser extent, second lien loans and equity securities issued by lower middle-market and traditional middle-market companies.</w:t>
      </w:r>
    </w:p>
    <w:p>
      <w:pPr>
        <w:spacing w:after="0" w:line="123"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We were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26"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On September 24, 2013, we acquired 100% of the limited partnership interests in Fund II, Fund III and Florida Sidecar and each of their respective general partners, as well as certain assets from Fund I and Fund III Parent, in exchange for an aggregate of 8,974,420 shares of our common stock (the “Formation Transactions”). Fund II, Fund III and Florida Sidecar became our wholly owned subsidiaries. Fund II and Fund III retained their small business investment company (“SBIC”) licenses, continued to hold their existing investments at the time of the IPO and have continued to make new investments. The IPO consisted of the sale of 4,000,000 shares of our common stock at a price of $20.00 per share resulting in net proceeds to us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Capitala Finance Corp. and was legally dissolved as a standalone partnership. On March 1, 2019, Fund II repaid its outstanding debentures guaranteed by the SBA (“SBA-guaranteed debentures”) and relinquished its SBIC license.</w:t>
      </w:r>
    </w:p>
    <w:p>
      <w:pPr>
        <w:spacing w:after="0" w:line="110"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The Company has formed and expects to continue to form certain consolidated taxable subsidiaries (the “Taxable Subsidiaries”), which are taxed as corporations for U.S. federal income tax purposes. These Taxable Subsidiaries allow the Company to make equity investments in companies organized as pass-through entities while continuing to satisfy the requirements of a RIC under the Code.</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The financial statements of CBL are consolidated with thoseof Capitala Finance Corp.</w:t>
      </w:r>
    </w:p>
    <w:p>
      <w:pPr>
        <w:spacing w:after="0" w:line="18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SUMMARY RISK FACTORS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i w:val="1"/>
          <w:iCs w:val="1"/>
          <w:color w:val="auto"/>
        </w:rPr>
        <w:t>The risk factors described below are a summary of the principal risk factors associated with an investment in us. These are not the only risks we face. You should carefully consider these risk factors, together with the risk factors set forth in Item 1A. of this Annual Report on Form 10-K and the other reports and documents filed by us with the SEC.</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35" w:lineRule="exact"/>
        <w:rPr>
          <w:sz w:val="20"/>
          <w:szCs w:val="20"/>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condition and results of operations depend on our ability to effectively manage and deploy capital.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upon Capitala Investment Advisors’ key personnel for our future success.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 which could reduce returns and result in losses.</w:t>
      </w:r>
    </w:p>
    <w:p>
      <w:pPr>
        <w:spacing w:after="0" w:line="62"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inability of Capitala Investment Advisors to maintain or develop strong referral relationships, or the failure of these relationships to generate investment opportunities, could adversely affect our business.</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on our part to maintain our status as a BDC would reduce our operating flexibility.</w:t>
      </w:r>
    </w:p>
    <w:p>
      <w:pPr>
        <w:spacing w:after="0" w:line="117"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75"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7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disruption in the capital markets and the credit markets could impair our ability to raise capital and negatively affect our business.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developments in the credit markets may impair our ability to secure debt financing.</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qualify or maintain our RIC tax treatment under the Code.</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Capitala Investment Advisors is not obligated to reimburse us for any part of the incentive fee it receives that is based on accrued income that we never receive.</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One of our wholly owned subsidiaries is licensed by the U.S. Small Business Administration, and as a result, we are subject to SBA regulations.</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 owned SBIC subsidiary may be unable to make distributions to us that will enable us to meet or maintain RIC tax treatment, which could result in the imposition of a corporate-level U.S. federal income tax.</w:t>
      </w:r>
    </w:p>
    <w:p>
      <w:pPr>
        <w:spacing w:after="0" w:line="75" w:lineRule="exact"/>
        <w:rPr>
          <w:rFonts w:ascii="Arial" w:cs="Arial" w:eastAsia="Arial" w:hAnsi="Arial"/>
          <w:sz w:val="18"/>
          <w:szCs w:val="18"/>
          <w:color w:val="auto"/>
        </w:rPr>
      </w:pPr>
    </w:p>
    <w:p>
      <w:pPr>
        <w:jc w:val="both"/>
        <w:ind w:left="1800" w:right="419" w:hanging="180"/>
        <w:spacing w:after="0" w:line="308"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is subject to increasingly complex corporate governance, public disclosure and accounting requirements that are costly and could adversely affect our business and financial results.</w:t>
      </w:r>
    </w:p>
    <w:p>
      <w:pPr>
        <w:spacing w:after="0" w:line="38" w:lineRule="exact"/>
        <w:rPr>
          <w:rFonts w:ascii="Arial" w:cs="Arial" w:eastAsia="Arial" w:hAnsi="Arial"/>
          <w:sz w:val="17"/>
          <w:szCs w:val="17"/>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and external cyber threats, as well as other disasters, could impair our ability to conduct business effectively.</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sanction laws in the United States and other jurisdictions may prohibit us and our affiliates from transacting with certain countries, individuals and companies.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Events outside of our control, including public health crises, could negatively affect our portfolio companies and our results of our operations.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03"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7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investments in leveraged portfolio companies may be risky, and you could lose all or part of your investment.</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 and performance of our portfolio companies could be adversely affected by political and economic conditions in the countries in which they conduct business.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operating in a period of capital markets disruption and economic uncertainty.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make follow-on investments in our portfolio companies could impair the value of our portfolio.</w:t>
      </w:r>
    </w:p>
    <w:p>
      <w:pPr>
        <w:spacing w:after="0" w:line="62"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portfolio may lack diversification among portfolio companies, which may subject us to a risk of significant loss if one or more of these companies defaults on its obligations under any of its debt instruments.</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non-diversified investment company within the meaning of the 1940 Act, and therefore we are not limited with respect to the proportion of our assets that may be invested in securities of a single issuer.</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Defaults by our portfolio companies will harm our operating results.</w:t>
      </w:r>
    </w:p>
    <w:p>
      <w:pPr>
        <w:spacing w:after="0" w:line="117"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7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unrealized depreciation we experience on our loan portfolio may be an indication of future realized losses, which could reduce our income available for distribution.</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Prepayments of our debt investments by our portfolio companies could adversely impact our results of operations and reduce our return on equity.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realize gains from our equity investments.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relating to the LIBOR calculation process may adversely affect the value of our portfolio of LIBOR-indexed, floating-rate debt securities.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choose to waive or defer enforcement of covenants in the debt securities held in our portfolio, which may cause us to lose all or part of our investment in these companies.</w:t>
      </w:r>
    </w:p>
    <w:p>
      <w:pPr>
        <w:spacing w:after="0" w:line="62"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investments may be in portfolio companies which may have limited operating histories and financial resources.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Our Securities</w:t>
      </w:r>
    </w:p>
    <w:p>
      <w:pPr>
        <w:spacing w:after="0" w:line="121"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103"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in our common stock may involve an above average degree of risk.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cannot assure you that the market price of shares of our common stock will not decline.</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common stockholders will bear the expenses associated with our borrowings, and the holders of our debt securities will have certain rights senior to our common stockholders.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substantial amounts of our common stock in the public market may have an adverse effect on the market price of our common stock.</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of our common stock have traded at a discount from net asset value and may do so in the future.</w:t>
      </w:r>
    </w:p>
    <w:p>
      <w:pPr>
        <w:spacing w:after="0" w:line="62"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6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 receive distributions, or our distributions may decline or may not grow over time, and you will experience dilution in your ownership percentage if you opt out of our dividend reinvestment plan.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have broad discretion over the use of proceeds of any successful offering of securities.</w:t>
      </w:r>
    </w:p>
    <w:p>
      <w:pPr>
        <w:spacing w:after="0" w:line="117"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shares of our common stock in one or more offerings at prices below the then current net asset value per share of our common stock.</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Your interest in Capitala Finance may be diluted if you do not fully exercise your subscription rights in any rights offering.</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issue preferred stock, the net asset value and market value of our common stock will likely become more volatile.</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any preferred stock we might issue would have the right to elect members of our Board and class voting rights on certain matters.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INVESTMENT STRATEGY</w:t>
      </w:r>
    </w:p>
    <w:p>
      <w:pPr>
        <w:spacing w:after="0" w:line="14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Our investment objective is to generate both current income and capital appreciation through debt and equity investments. We expect the companies in which we invest will generally have between $4.5 million and $30.0 million in trailing twelve-month earnings before interest, tax, depreciation and amortization (“EBITDA”). We believe our focus on direct lending to private companies enables us to receive higher interest rates and more substantial equity participation. As part of that strategy, we may invest in first lien loans, which have a first priority security interest in all or some of the borrower’s assets. In addition, our first lien loans may include positions in “stretch” senior secured loans, also referred to as “unitranche” loans, which combine characteristics of traditional first lien senior secured loans and second lien loans, providing us with greater influence and security in the primary collateral of a borrower and potentially mitigating loss of principal should a borrower default. We also may invest in second lien loans, which have a second priority security interest in all or substantially all of the borrower’s assets.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“high yield” or “junk,” have predominantly speculative characteristics with respect to the issuer’s capacity to pay interest and repay principal. We intend to target investments that mature in four to six years from our investment.</w:t>
      </w:r>
    </w:p>
    <w:p>
      <w:pPr>
        <w:spacing w:after="0" w:line="101"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We typically will not limit the size of our loan commitments to a specific percentage of a borrower’s assets that serve as collateral for our loan, although we attempt to protect against risk of loss on our debt investments by structuring, underwriting and pricing loans based on anticipated cash flows of our borrowers. As of December 31, 2020, our Investment Advisor underwrote investments in 171 lower middle-market and traditional middle-market companies totaling over $2.0 billion of invested capital since 2000, and we believe that a continuation of this strategy allows us to make structured investments with more attractive pricing and greater opportunities for meaningful equity participation than traditional asset-based, senior secured loans. Further, we believe that we benefit from our Investment Advisor’s long-standing relationships with many private equity fund sponsors, whose participation in portfolio companies, we believe, makes repayment from refinancing, asset sales and/or sales of the borrowers themselves more likely than a strategy whereby we consider investments only in founder-owned or non-sponsored borrowers.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INVESTMENT ADVISOR</w:t>
      </w:r>
    </w:p>
    <w:p>
      <w:pPr>
        <w:spacing w:after="0" w:line="162"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8"/>
          <w:szCs w:val="18"/>
          <w:color w:val="auto"/>
        </w:rPr>
        <w:t>We are managed by the Investment Advisor, whose investment team members have significant and diverse experience financing, advising, operating and investing in lower middle-market and traditional middle-market companies. Moreover, our Investment Advisor’s investment team has refined its investment strategy by sourcing, reviewing, acquiring and monitoring 171 portfolio companies totaling over $2.0 billion of invested capital from 2000 through December 31, 2020. The Investment Advisor’s investment team also manages CapitalSouth Partners SBIC Fund IV, L.P. (“Fund IV”), a private investment limited partnership providing financing solutions to smaller and lower middle-market companies. Fund IV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staff of the U.S. Securities and Exchange Commission (the “SEC”),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pacing w:after="0" w:line="137"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On June 1, 2016, the SEC issued an exemptive order (the “Order”), which permits the Company to co-invest in portfolio companies with certain funds or entities managed by the Investment Advisor or its affiliates in certain negotiated transactions where co-investing would otherwise be prohibited under the 1940 Act, subject to the conditions of the Order. Pursuant to the Order, the Company is permitted to co-invest with its affiliates if a “required majority” (as defined in Section 57(o) of the 1940 Act) of the Company’s independent directors make certain conclusions in connection with a co-investment transaction, including, but not limited to, that (1) the terms of the potential co-investment transaction, including the consideration to be paid, are reasonable and fair to the Company and its stockholders and do not involve overreaching in respect of the Company or its stockholders on the part of any person concerned, and (2) the potential co-investment transaction is consistent with the interests of the Company’s stockholders and is consistent with its then-current objectives and strategies.</w:t>
      </w:r>
    </w:p>
    <w:p>
      <w:pPr>
        <w:spacing w:after="0" w:line="111"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Our Investment Advisor is led by Joseph B. Alala, III, our chief executive officer, chairman of our Board of Directors (the “Board”), and the managing partner and chief investment officer of our Investment Advisor, M. Hunt Broyhill, a member of the Board and a partner of our Investment Advisor, Stephen A. Arnall, our</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chief financial officer and chief operating officer, and John F. McGlinn, a senior managing director of our Investment Advisor. Messrs. Alala, Broyhill and McGlinn serve as our Investment Advisor’s investment committee. They are assisted by eighteen investment professionals.</w:t>
      </w:r>
    </w:p>
    <w:p>
      <w:pPr>
        <w:spacing w:after="0" w:line="103"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Our Investment Advisor’s investment committee, as well as certain key investment team members that are involved in screening and underwriting portfolio transactions, have worked together for more than 15 years. These investment professionals have an average of over 20 years of experience in various finance-related fields, including operations, corporate finance, investment banking, business law and merchant banking, and have collectively developed a broad network of contacts that can offer us investment opportunities. Much of our Investment Advisor’s investment team has worked together screening opportunities, underwriting new investments and managing a portfolio of investments in lower middle-market and traditional middle-market companies through two recessions, a credit crunch, the dot-com boom and bust and a historic, leverage-fueled asset valuation bubble.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 lien position (subject to limited instances in which we will not obtain security) in the collateral of the portfolio company. The strategy we select will depend upon, among other things, market opportunities, the skills and experience of our Investment Advisor’s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of our debt investments will require the borrower to pay an early termination fee. Collectively, these attributes have been, and are expected to be, important contributors to the returns generated by our Investment Advisor’s investment team.</w:t>
      </w:r>
    </w:p>
    <w:p>
      <w:pPr>
        <w:spacing w:after="0" w:line="132" w:lineRule="exact"/>
        <w:rPr>
          <w:sz w:val="20"/>
          <w:szCs w:val="20"/>
          <w:color w:val="auto"/>
        </w:rPr>
      </w:pPr>
    </w:p>
    <w:p>
      <w:pPr>
        <w:jc w:val="both"/>
        <w:ind w:left="1260" w:right="419" w:firstLine="360"/>
        <w:spacing w:after="0" w:line="273" w:lineRule="auto"/>
        <w:rPr>
          <w:sz w:val="20"/>
          <w:szCs w:val="20"/>
          <w:color w:val="auto"/>
        </w:rPr>
      </w:pPr>
      <w:r>
        <w:rPr>
          <w:rFonts w:ascii="Arial" w:cs="Arial" w:eastAsia="Arial" w:hAnsi="Arial"/>
          <w:sz w:val="17"/>
          <w:szCs w:val="17"/>
          <w:color w:val="auto"/>
        </w:rPr>
        <w:t>The Investment Advisor’s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Types of Investments</w:t>
      </w:r>
    </w:p>
    <w:p>
      <w:pPr>
        <w:spacing w:after="0" w:line="144"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We will target debt investments that yield meaningful current income and, in many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80" w:lineRule="exact"/>
        <w:rPr>
          <w:sz w:val="20"/>
          <w:szCs w:val="20"/>
          <w:color w:val="auto"/>
        </w:rPr>
      </w:pPr>
    </w:p>
    <w:p>
      <w:pPr>
        <w:jc w:val="both"/>
        <w:ind w:left="1800" w:right="419" w:hanging="180"/>
        <w:spacing w:after="0" w:line="25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Companies With Positive Cash Flow. </w:t>
      </w:r>
      <w:r>
        <w:rPr>
          <w:rFonts w:ascii="Arial" w:cs="Arial" w:eastAsia="Arial" w:hAnsi="Arial"/>
          <w:sz w:val="18"/>
          <w:szCs w:val="18"/>
          <w:color w:val="auto"/>
        </w:rPr>
        <w:t>We seek to invest in established companies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history of generating revenues and positive cash flows. We intend to focus on companies with a history of profitability and minimum trailing twelve-month EBITDA of between $4.5 million and $30.0 million. We do not intend to invest in start-up companies, distressed or “turn-around” situations or companies with business plans that we do not understand.</w:t>
      </w:r>
    </w:p>
    <w:p>
      <w:pPr>
        <w:spacing w:after="0" w:line="79" w:lineRule="exact"/>
        <w:rPr>
          <w:rFonts w:ascii="Arial" w:cs="Arial" w:eastAsia="Arial" w:hAnsi="Arial"/>
          <w:sz w:val="18"/>
          <w:szCs w:val="18"/>
          <w:color w:val="auto"/>
        </w:rPr>
      </w:pPr>
    </w:p>
    <w:p>
      <w:pPr>
        <w:jc w:val="both"/>
        <w:ind w:left="1800" w:right="419" w:hanging="180"/>
        <w:spacing w:after="0" w:line="25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Teams with Meaningful Investment. </w:t>
      </w:r>
      <w:r>
        <w:rPr>
          <w:rFonts w:ascii="Arial" w:cs="Arial" w:eastAsia="Arial" w:hAnsi="Arial"/>
          <w:sz w:val="18"/>
          <w:szCs w:val="18"/>
          <w:color w:val="auto"/>
        </w:rPr>
        <w:t>We seek to invest in companies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senior or key managers have significant company or industry-level 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79" w:lineRule="exact"/>
        <w:rPr>
          <w:rFonts w:ascii="Arial" w:cs="Arial" w:eastAsia="Arial" w:hAnsi="Arial"/>
          <w:sz w:val="18"/>
          <w:szCs w:val="18"/>
          <w:color w:val="auto"/>
        </w:rPr>
      </w:pPr>
    </w:p>
    <w:p>
      <w:pPr>
        <w:jc w:val="both"/>
        <w:ind w:left="1800" w:right="419" w:hanging="180"/>
        <w:spacing w:after="0" w:line="311" w:lineRule="auto"/>
        <w:tabs>
          <w:tab w:leader="none" w:pos="18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Significant Invested Capital. </w:t>
      </w:r>
      <w:r>
        <w:rPr>
          <w:rFonts w:ascii="Arial" w:cs="Arial" w:eastAsia="Arial" w:hAnsi="Arial"/>
          <w:sz w:val="16"/>
          <w:szCs w:val="16"/>
          <w:color w:val="auto"/>
        </w:rPr>
        <w:t>We believe that the existence of an appropriate amount of equity beneath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debt capital provides valuable support for our investment. In addition, the degree to which the particular investment is a meaningful one for the portfolio company’s financial sponsor, and the</w:t>
      </w:r>
    </w:p>
    <w:p>
      <w:pPr>
        <w:sectPr>
          <w:pgSz w:w="11900" w:h="16838" w:orient="portrait"/>
          <w:cols w:equalWidth="0" w:num="1">
            <w:col w:w="9879"/>
          </w:cols>
          <w:pgMar w:left="580" w:top="131" w:right="1440" w:bottom="1440" w:gutter="0" w:footer="0" w:header="0"/>
        </w:sectPr>
      </w:pPr>
    </w:p>
    <w:p>
      <w:pPr>
        <w:spacing w:after="0" w:line="33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61" w:lineRule="auto"/>
        <w:rPr>
          <w:sz w:val="20"/>
          <w:szCs w:val="20"/>
          <w:color w:val="auto"/>
        </w:rPr>
      </w:pPr>
      <w:r>
        <w:rPr>
          <w:rFonts w:ascii="Arial" w:cs="Arial" w:eastAsia="Arial" w:hAnsi="Arial"/>
          <w:sz w:val="18"/>
          <w:szCs w:val="18"/>
          <w:color w:val="auto"/>
        </w:rPr>
        <w:t>financial sponsor’s ability and willingness to invest additional equity capital as and to the extent necessary, are also important considerations.</w:t>
      </w:r>
    </w:p>
    <w:p>
      <w:pPr>
        <w:spacing w:after="0" w:line="49" w:lineRule="exact"/>
        <w:rPr>
          <w:sz w:val="20"/>
          <w:szCs w:val="20"/>
          <w:color w:val="auto"/>
        </w:rPr>
      </w:pPr>
    </w:p>
    <w:p>
      <w:pPr>
        <w:jc w:val="both"/>
        <w:ind w:left="1800" w:right="419" w:hanging="180"/>
        <w:spacing w:after="0" w:line="25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Appropriate Capital Structures. </w:t>
      </w:r>
      <w:r>
        <w:rPr>
          <w:rFonts w:ascii="Arial" w:cs="Arial" w:eastAsia="Arial" w:hAnsi="Arial"/>
          <w:sz w:val="18"/>
          <w:szCs w:val="18"/>
          <w:color w:val="auto"/>
        </w:rPr>
        <w:t>We seek to invest in companies that are appropriately capitalized.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we examine the amount of equity that is being invested by the company’s private equity sponsor to determine whether there is a sufficient capital cushion beneath our invested capital. We also analyze the amount of leverage and the characteristics of senior debt with lien priority over our investment.</w:t>
      </w:r>
    </w:p>
    <w:p>
      <w:pPr>
        <w:spacing w:after="0" w:line="79" w:lineRule="exact"/>
        <w:rPr>
          <w:rFonts w:ascii="Arial" w:cs="Arial" w:eastAsia="Arial" w:hAnsi="Arial"/>
          <w:sz w:val="18"/>
          <w:szCs w:val="18"/>
          <w:color w:val="auto"/>
        </w:rPr>
      </w:pPr>
    </w:p>
    <w:p>
      <w:pPr>
        <w:jc w:val="both"/>
        <w:ind w:left="1800" w:right="419" w:hanging="180"/>
        <w:spacing w:after="0" w:line="273" w:lineRule="auto"/>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Competitive Position. </w:t>
      </w:r>
      <w:r>
        <w:rPr>
          <w:rFonts w:ascii="Arial" w:cs="Arial" w:eastAsia="Arial" w:hAnsi="Arial"/>
          <w:sz w:val="17"/>
          <w:szCs w:val="17"/>
          <w:color w:val="auto"/>
        </w:rPr>
        <w:t>We intend to invest in companies that have developed strong, defensible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or service offerings within their respective market segments. These 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respective industries, which may result in superior operating margins or industry-leading growth.</w:t>
      </w:r>
    </w:p>
    <w:p>
      <w:pPr>
        <w:spacing w:after="0" w:line="56" w:lineRule="exact"/>
        <w:rPr>
          <w:rFonts w:ascii="Arial" w:cs="Arial" w:eastAsia="Arial" w:hAnsi="Arial"/>
          <w:sz w:val="17"/>
          <w:szCs w:val="17"/>
          <w:color w:val="auto"/>
        </w:rPr>
      </w:pPr>
    </w:p>
    <w:p>
      <w:pPr>
        <w:jc w:val="both"/>
        <w:ind w:left="1800" w:right="419" w:hanging="180"/>
        <w:spacing w:after="0" w:line="25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and Supplier Diversification. </w:t>
      </w:r>
      <w:r>
        <w:rPr>
          <w:rFonts w:ascii="Arial" w:cs="Arial" w:eastAsia="Arial" w:hAnsi="Arial"/>
          <w:sz w:val="18"/>
          <w:szCs w:val="18"/>
          <w:color w:val="auto"/>
        </w:rPr>
        <w:t>We expect to invest in companies with sufficiently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and supplier bases. We believe these companies will be better able to 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The Investment Advisor’s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We expect our primary source of return to be the cash interest we will collect on our debt investments. We also typically 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debt investments feature call protection to enhance our total return on debt investments that are repaid prior to maturity.</w:t>
      </w:r>
    </w:p>
    <w:p>
      <w:pPr>
        <w:spacing w:after="0" w:line="113"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Most of our debt investments are structured as first lien loans, and as of December 31, 2020, 81.0% of the fair value of our debt investments consisted of such investments.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In some cases, first lien loans may be subordinated, solely with respect to the payment of cash interest, to an asset based revolving credit facility. Unitranche debt, a form of first lien loan, typically involves issuing one debt security that blends the risk and return profiles of both senior secured and subordinated debt in one debt security, bifurcating the loan into a first-out tranche and last-out tranche. As of December 31, 2020, 14.5% of the fair value of our first lien loans consisted of last -out loans. We believe that unitranche debt can be attractive for many lower middle-market and traditional middle-market businesses, given the reduced structural complexity, single lender interface and elimination of intercreditor or potential agency conflicts among lenders.</w:t>
      </w:r>
    </w:p>
    <w:p>
      <w:pPr>
        <w:spacing w:after="0" w:line="110"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We may also invest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 On a fair market value basis, 19.0% of our debt investments consisted of second lien loans as of December 31, 2020.</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Some of our debt investments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interest due to prevailing market conditions that do not support the overall blended interest yield on our debt investments being paid in all-cash interest. As of December 31, 2020, our weighted average PIK yield was 0.5%. As of December 31, 2020, the weighted average annualized cash yield on our debt portfolio was 9.5%. In addition to yield in the form of current cash and PIK interest, some of our debt investments include an equity component, such as a warrant to purchase a common equity interest in the borrower for a nominal price.</w:t>
      </w:r>
    </w:p>
    <w:p>
      <w:pPr>
        <w:spacing w:after="0" w:line="115"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The weighted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58"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The Investment Advisor’s investment team generally seeks to structure our equity investments, such as direct equity co-investments, to provide us with minority rights provisions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PROCESS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Our Investment Advisor’s investment team is led by its investment committee and is responsible for all aspects of our investment process. The current members of the investment committee are Joseph B. Alala, III, our chief executive officer, chairman of our Board and the managing partner and chief investment officer of our Investment Advisor, M. Hunt Broyhill, a member of the Board and a partner of our Investment Advisor, and John F. McGlinn, a senior managing director of our Investment Advisor. They are assisted by a team of eighteen investment professionals. While the investment strategy involves a team approach, whereby potential transactions are screened by various members of the investment team, Mr. Alala and one other member of the investment committee of the Investment Advisor must approve investments in order for them to proceed. Messrs. Alala, McGlinn, and Broyhill meet on an as needed basis, frequently multiple times a week, depending on the nature and volume of investment opportunities. The Investment Advisor’s investment committee has worked together for over fifteen years. The stages of our investment selection process are as follows:</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Deal Generation/Origination</w:t>
      </w:r>
    </w:p>
    <w:p>
      <w:pPr>
        <w:spacing w:after="0" w:line="144"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 Our Investment Advisor’s investment team supplements these lead generators by also utilizing broader marketing efforts, such as attendance at prospective borrower industry conventions, an active calling effort to investment banking boutiques, private equity firms and independent sponsors that are also investing in high quality lower middle-market and traditional middle-market companies, and, most importantly, based on our Investment Advisor’s track record as a responsive, flexible, value-add lender and co-investor, as demonstrated by 171 investments in lower middle-market and traditional middle-market businesses and equity co-investments with reputed private equity firms since 2000. We believe we have developed a reputation as a knowledgeable and reliable source of capital, providing value-added industry advice and financing assistance to borrowers’ businesses and in executing financial sponsors’ growth strategies. Furthermore, with offices throughout the United States, we have the ability to cover a large geographical area and to market to unique groups from each</w:t>
      </w:r>
    </w:p>
    <w:p>
      <w:pPr>
        <w:sectPr>
          <w:pgSz w:w="11900" w:h="16838" w:orient="portrait"/>
          <w:cols w:equalWidth="0" w:num="1">
            <w:col w:w="9879"/>
          </w:cols>
          <w:pgMar w:left="580" w:top="131" w:right="1440" w:bottom="1440" w:gutter="0" w:footer="0" w:header="0"/>
        </w:sectPr>
      </w:pP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office. Specifically, our Charlotte, Raleigh, Atlanta, Los Angeles, and New York offices cover significant territory that is traditionally underserved, allowing us to source a high volume of direct deal flow.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Screening</w:t>
      </w:r>
    </w:p>
    <w:p>
      <w:pPr>
        <w:spacing w:after="0" w:line="144" w:lineRule="exact"/>
        <w:rPr>
          <w:sz w:val="20"/>
          <w:szCs w:val="20"/>
          <w:color w:val="auto"/>
        </w:rPr>
      </w:pPr>
    </w:p>
    <w:p>
      <w:pPr>
        <w:jc w:val="both"/>
        <w:ind w:left="1260" w:right="419" w:firstLine="360"/>
        <w:spacing w:after="0" w:line="273" w:lineRule="auto"/>
        <w:rPr>
          <w:sz w:val="20"/>
          <w:szCs w:val="20"/>
          <w:color w:val="auto"/>
        </w:rPr>
      </w:pPr>
      <w:r>
        <w:rPr>
          <w:rFonts w:ascii="Arial" w:cs="Arial" w:eastAsia="Arial" w:hAnsi="Arial"/>
          <w:sz w:val="17"/>
          <w:szCs w:val="17"/>
          <w:color w:val="auto"/>
        </w:rPr>
        <w:t>All potential investments that are received are screened for suitability and consistency with our investment criteria (see “— Due Diligence and Underwriting,” below). In screening potential investments, our Investment Advisor’s investment team utilizes the same value-oriented investment philosophy they employed in their work with the Legacy Funds and commits resources to managing downside exposure. If a potential investment meets our basic investment criteria, a deal team is assigned to perform preliminary due diligence. In doing so, we consider some or all of the following factors:</w:t>
      </w:r>
    </w:p>
    <w:p>
      <w:pPr>
        <w:spacing w:after="0" w:line="70" w:lineRule="exact"/>
        <w:rPr>
          <w:sz w:val="20"/>
          <w:szCs w:val="20"/>
          <w:color w:val="auto"/>
        </w:rPr>
      </w:pPr>
    </w:p>
    <w:p>
      <w:pPr>
        <w:jc w:val="both"/>
        <w:ind w:left="1800" w:right="419" w:hanging="180"/>
        <w:spacing w:after="0" w:line="275"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comprehensive financial model that we prepare based on quantitative analysis of historical financial performance, financial projections made by management or the financial sponsor,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81" w:lineRule="exact"/>
        <w:rPr>
          <w:rFonts w:ascii="Arial" w:cs="Arial" w:eastAsia="Arial" w:hAnsi="Arial"/>
          <w:sz w:val="17"/>
          <w:szCs w:val="17"/>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competitive landscape and industry dynamics impacting the potential portfolio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Strengths and weaknesses of the potential investment’s business strategy and industry outlook; and</w:t>
      </w:r>
    </w:p>
    <w:p>
      <w:pPr>
        <w:spacing w:after="0" w:line="128" w:lineRule="exact"/>
        <w:rPr>
          <w:rFonts w:ascii="Arial" w:cs="Arial" w:eastAsia="Arial" w:hAnsi="Arial"/>
          <w:sz w:val="17"/>
          <w:szCs w:val="17"/>
          <w:color w:val="auto"/>
        </w:rPr>
      </w:pPr>
    </w:p>
    <w:p>
      <w:pPr>
        <w:ind w:left="1800" w:right="4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a broad qualitative analysis of the company’s products or services, market position and outlook, customers, suppliers and quality of management.</w:t>
      </w:r>
    </w:p>
    <w:p>
      <w:pPr>
        <w:spacing w:after="0" w:line="89" w:lineRule="exact"/>
        <w:rPr>
          <w:sz w:val="20"/>
          <w:szCs w:val="20"/>
          <w:color w:val="auto"/>
        </w:rPr>
      </w:pPr>
    </w:p>
    <w:p>
      <w:pPr>
        <w:jc w:val="both"/>
        <w:ind w:left="1260" w:right="419" w:firstLine="360"/>
        <w:spacing w:after="0" w:line="286" w:lineRule="auto"/>
        <w:rPr>
          <w:sz w:val="20"/>
          <w:szCs w:val="20"/>
          <w:color w:val="auto"/>
        </w:rPr>
      </w:pPr>
      <w:r>
        <w:rPr>
          <w:rFonts w:ascii="Arial" w:cs="Arial" w:eastAsia="Arial" w:hAnsi="Arial"/>
          <w:sz w:val="17"/>
          <w:szCs w:val="17"/>
          <w:color w:val="auto"/>
        </w:rPr>
        <w:t>If the results of this preliminary due diligence are satisfactory, the deal team prepares an executive summary that is presented to our Investment Advisor’s investment committee in a meeting that includes all members of the portfolio and investment teams. This executive summary includes the following areas:</w:t>
      </w:r>
    </w:p>
    <w:p>
      <w:pPr>
        <w:spacing w:after="0" w:line="71"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history and summary of product(s) and/or service(s);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overview of investors, anticipated capital sources and transaction timing;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structure and expected returns, including initial projected financial ratios;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Analysis of historical financial results and key assumptions;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Analysis of the company’s business strategy;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Analysis of the financial sponsor’s relevant experience or expected strategy;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strengths, weaknesses and priority issues to be addressed in due diligence;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capitalization and ownership.</w:t>
      </w:r>
    </w:p>
    <w:p>
      <w:pPr>
        <w:spacing w:after="0" w:line="15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If our investment committee recommends moving forward, we will issue a non-binding term sheet or indication of interest to the potential portfolio company and, when applicable, its financial sponsor. If a term sheet is successfully negotiated, we will begin more formal due diligence and underwriting as we progress towards the ultimate investment approval and closing.</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Due Diligence and Underwriting</w:t>
      </w:r>
    </w:p>
    <w:p>
      <w:pPr>
        <w:spacing w:after="0" w:line="158"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The completion of due diligence deliverables is led by at least two investment professionals. However, all investment and portfolio team members are regularly updated with due diligence progress, especially any issues that emerge. The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consists of some or all of the following:</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On-site visits with management and relevant key employees;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In-depth review of historical and projected financial statements, including covenant calculation work sheets;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Interviews with customers and suppliers;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background checks;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reports by third-party accountants, outside counsel and other industry, operational or financial experts, whether retained by us or the financial sponsor;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material contracts;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financial sponsor’s due diligence package and internal executive summaries.</w:t>
      </w:r>
    </w:p>
    <w:p>
      <w:pPr>
        <w:spacing w:after="0" w:line="158"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97"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During the underwriting process, the executive summary that was completed for the initial investment committee presentation is expanded upon into a full diligence memo and key findings are presented at subsequent, weekly meetings of the investment committee for continued discussion and, to the extent applicable, the investment committee issues new instructions to the underwriting team from the investment committee.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Approval, Documentation and Closing</w:t>
      </w:r>
    </w:p>
    <w:p>
      <w:pPr>
        <w:spacing w:after="0" w:line="15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underwriting team for the proposed investment presents the full diligence memo and key findings from due diligence to the investment committee on an ongoing basis. Prior to the commencement of documentation, approval from the investment committee is sought and, if approved, the underwriting professionals heretofore involved proceed to documentation.</w:t>
      </w:r>
    </w:p>
    <w:p>
      <w:pPr>
        <w:spacing w:after="0" w:line="119"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Monitoring</w:t>
      </w:r>
    </w:p>
    <w:p>
      <w:pPr>
        <w:spacing w:after="0" w:line="144"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Our Investment Advisor monitors our portfolio companies on an ongoing basis. It monitors the financial trends of each portfolio company to determine if it is meeting its business plan and to assess the appropriate course of action for each company. We generally require our portfolio companies to provide annual audited financial statements and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127"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Our Investment Advisor has several methods of evaluating and monitoring the performance and fair value of our investments, including the following:</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Assessment of success in adhering to each portfolio company’s business plan and compliance with covenants;</w:t>
      </w:r>
    </w:p>
    <w:p>
      <w:pPr>
        <w:spacing w:after="0" w:line="21"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21"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Comparisons to our other portfolio companies in the industry, if any;</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Attendance at and participation in the board meetings; and</w:t>
      </w:r>
    </w:p>
    <w:p>
      <w:pPr>
        <w:spacing w:after="0" w:line="76"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76"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In addition to various risk management and monitoring tools, our Investment Advisor also uses an investment rating system to characterize and monitor our expected level of return on each investment in our portfolio.</w:t>
      </w:r>
    </w:p>
    <w:p>
      <w:pPr>
        <w:spacing w:after="0" w:line="101"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17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Investment</w:t>
      </w:r>
    </w:p>
    <w:p>
      <w:pPr>
        <w:spacing w:after="0" w:line="17" w:lineRule="exact"/>
        <w:rPr>
          <w:sz w:val="20"/>
          <w:szCs w:val="20"/>
          <w:color w:val="auto"/>
        </w:rPr>
      </w:pPr>
    </w:p>
    <w:p>
      <w:pPr>
        <w:ind w:left="1860"/>
        <w:spacing w:after="0"/>
        <w:tabs>
          <w:tab w:leader="none" w:pos="5220" w:val="left"/>
        </w:tabs>
        <w:rPr>
          <w:sz w:val="20"/>
          <w:szCs w:val="20"/>
          <w:color w:val="auto"/>
        </w:rPr>
      </w:pPr>
      <w:r>
        <w:rPr>
          <w:rFonts w:ascii="Arial" w:cs="Arial" w:eastAsia="Arial" w:hAnsi="Arial"/>
          <w:sz w:val="14"/>
          <w:szCs w:val="14"/>
          <w:b w:val="1"/>
          <w:bCs w:val="1"/>
          <w:color w:val="auto"/>
        </w:rPr>
        <w:t>Rating</w:t>
      </w:r>
      <w:r>
        <w:rPr>
          <w:sz w:val="20"/>
          <w:szCs w:val="20"/>
          <w:color w:val="auto"/>
        </w:rPr>
        <w:tab/>
      </w:r>
      <w:r>
        <w:rPr>
          <w:rFonts w:ascii="Arial" w:cs="Arial" w:eastAsia="Arial" w:hAnsi="Arial"/>
          <w:sz w:val="14"/>
          <w:szCs w:val="14"/>
          <w:b w:val="1"/>
          <w:bCs w:val="1"/>
          <w:color w:val="auto"/>
        </w:rPr>
        <w:t>Summary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wp:posOffset>
            </wp:positionV>
            <wp:extent cx="4749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41" w:lineRule="exact"/>
        <w:rPr>
          <w:sz w:val="20"/>
          <w:szCs w:val="20"/>
          <w:color w:val="auto"/>
        </w:rPr>
      </w:pPr>
    </w:p>
    <w:p>
      <w:pPr>
        <w:ind w:left="2700" w:right="919" w:hanging="695"/>
        <w:spacing w:after="0" w:line="273" w:lineRule="auto"/>
        <w:tabs>
          <w:tab w:leader="none" w:pos="2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2" w:lineRule="exact"/>
        <w:rPr>
          <w:sz w:val="20"/>
          <w:szCs w:val="20"/>
          <w:color w:val="auto"/>
        </w:rPr>
      </w:pPr>
    </w:p>
    <w:p>
      <w:pPr>
        <w:ind w:left="2700" w:right="839" w:hanging="695"/>
        <w:spacing w:after="0" w:line="259" w:lineRule="auto"/>
        <w:tabs>
          <w:tab w:leader="none" w:pos="2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1" w:lineRule="exact"/>
        <w:rPr>
          <w:sz w:val="20"/>
          <w:szCs w:val="20"/>
          <w:color w:val="auto"/>
        </w:rPr>
      </w:pPr>
    </w:p>
    <w:p>
      <w:pPr>
        <w:ind w:left="2700" w:right="979" w:hanging="695"/>
        <w:spacing w:after="0" w:line="257" w:lineRule="auto"/>
        <w:tabs>
          <w:tab w:leader="none" w:pos="2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2" w:lineRule="exact"/>
        <w:rPr>
          <w:sz w:val="20"/>
          <w:szCs w:val="20"/>
          <w:color w:val="auto"/>
        </w:rPr>
      </w:pPr>
    </w:p>
    <w:p>
      <w:pPr>
        <w:ind w:left="2700" w:right="939" w:hanging="695"/>
        <w:spacing w:after="0" w:line="263" w:lineRule="auto"/>
        <w:tabs>
          <w:tab w:leader="none" w:pos="2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8" w:lineRule="exact"/>
        <w:rPr>
          <w:sz w:val="20"/>
          <w:szCs w:val="20"/>
          <w:color w:val="auto"/>
        </w:rPr>
      </w:pPr>
    </w:p>
    <w:p>
      <w:pPr>
        <w:ind w:left="2700" w:right="799" w:hanging="695"/>
        <w:spacing w:after="0" w:line="286" w:lineRule="auto"/>
        <w:tabs>
          <w:tab w:leader="none" w:pos="2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57"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93"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December 31, 2020 and 2019 (dollars in thousands):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86"/>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December 31, 2020</w:t>
            </w: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December 31, 2019</w:t>
            </w:r>
          </w:p>
        </w:tc>
      </w:tr>
      <w:tr>
        <w:trPr>
          <w:trHeight w:val="25"/>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3"/>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Percentage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at Fair</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 Total</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at Fair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of Total</w:t>
            </w:r>
          </w:p>
        </w:tc>
      </w:tr>
      <w:tr>
        <w:trPr>
          <w:trHeight w:val="186"/>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Investment Rating</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Investments</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Investments</w:t>
            </w:r>
          </w:p>
        </w:tc>
      </w:tr>
      <w:tr>
        <w:trPr>
          <w:trHeight w:val="25"/>
        </w:trPr>
        <w:tc>
          <w:tcPr>
            <w:tcW w:w="4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$ 96,703</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$ 85,688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-170815</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-170815</wp:posOffset>
            </wp:positionV>
            <wp:extent cx="137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-170815</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-170815</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1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w:t>
            </w:r>
          </w:p>
        </w:tc>
      </w:tr>
      <w:tr>
        <w:trPr>
          <w:trHeight w:val="186"/>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8"/>
              </w:rPr>
              <w:t>December 31, 2020</w:t>
            </w: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 2019</w:t>
            </w:r>
          </w:p>
        </w:tc>
      </w:tr>
      <w:tr>
        <w:trPr>
          <w:trHeight w:val="26"/>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r>
      <w:tr>
        <w:trPr>
          <w:trHeight w:val="173"/>
        </w:trPr>
        <w:tc>
          <w:tcPr>
            <w:tcW w:w="4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Investments</w:t>
            </w: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Percentage</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Investments</w:t>
            </w: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Percentage</w:t>
            </w:r>
          </w:p>
        </w:tc>
      </w:tr>
      <w:tr>
        <w:trPr>
          <w:trHeight w:val="162"/>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at Fair</w:t>
            </w: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of Total</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at Fair</w:t>
            </w: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of Total</w:t>
            </w:r>
          </w:p>
        </w:tc>
      </w:tr>
      <w:tr>
        <w:trPr>
          <w:trHeight w:val="186"/>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Investment Rating</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Investments</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Investments</w:t>
            </w:r>
          </w:p>
        </w:tc>
      </w:tr>
      <w:tr>
        <w:trPr>
          <w:trHeight w:val="26"/>
        </w:trPr>
        <w:tc>
          <w:tcPr>
            <w:tcW w:w="4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140,111</w:t>
            </w:r>
          </w:p>
        </w:tc>
        <w:tc>
          <w:tcPr>
            <w:tcW w:w="2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24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219,855</w:t>
            </w:r>
          </w:p>
        </w:tc>
        <w:tc>
          <w:tcPr>
            <w:tcW w:w="2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60.7</w:t>
            </w:r>
          </w:p>
        </w:tc>
      </w:tr>
      <w:tr>
        <w:trPr>
          <w:trHeight w:val="257"/>
        </w:trPr>
        <w:tc>
          <w:tcPr>
            <w:tcW w:w="440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17,111</w:t>
            </w:r>
          </w:p>
        </w:tc>
        <w:tc>
          <w:tcPr>
            <w:tcW w:w="200" w:type="dxa"/>
            <w:vAlign w:val="bottom"/>
          </w:tcPr>
          <w:p>
            <w:pPr>
              <w:spacing w:after="0"/>
              <w:rPr>
                <w:sz w:val="22"/>
                <w:szCs w:val="2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56,989</w:t>
            </w:r>
          </w:p>
        </w:tc>
        <w:tc>
          <w:tcPr>
            <w:tcW w:w="220" w:type="dxa"/>
            <w:vAlign w:val="bottom"/>
          </w:tcPr>
          <w:p>
            <w:pPr>
              <w:spacing w:after="0"/>
              <w:rPr>
                <w:sz w:val="22"/>
                <w:szCs w:val="22"/>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15.7</w:t>
            </w:r>
          </w:p>
        </w:tc>
      </w:tr>
      <w:tr>
        <w:trPr>
          <w:trHeight w:val="257"/>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20,767</w:t>
            </w:r>
          </w:p>
        </w:tc>
        <w:tc>
          <w:tcPr>
            <w:tcW w:w="20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40" w:type="dxa"/>
            <w:vAlign w:val="bottom"/>
            <w:tcBorders>
              <w:right w:val="single" w:sz="8" w:color="CCEEFF"/>
            </w:tcBorders>
            <w:shd w:val="clear" w:color="auto" w:fill="CCEEFF"/>
          </w:tcPr>
          <w:p>
            <w:pPr>
              <w:spacing w:after="0"/>
              <w:rPr>
                <w:sz w:val="22"/>
                <w:szCs w:val="2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63"/>
        </w:trPr>
        <w:tc>
          <w:tcPr>
            <w:tcW w:w="4400" w:type="dxa"/>
            <w:vAlign w:val="bottom"/>
          </w:tcPr>
          <w:p>
            <w:pPr>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3"/>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$ 274,692</w:t>
            </w:r>
          </w:p>
        </w:tc>
        <w:tc>
          <w:tcPr>
            <w:tcW w:w="20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$ 362,532</w:t>
            </w: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-205105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-205105</wp:posOffset>
            </wp:positionV>
            <wp:extent cx="248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-205105</wp:posOffset>
            </wp:positionV>
            <wp:extent cx="4149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49090"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-873760</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-873760</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-873760</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-873760</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AGREEMENTS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Advisory Agreement</w:t>
      </w:r>
    </w:p>
    <w:p>
      <w:pPr>
        <w:spacing w:after="0" w:line="148"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Our Investment Advisor is registered as an investment adviser under the Advisers Act.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81" w:lineRule="exact"/>
        <w:rPr>
          <w:sz w:val="20"/>
          <w:szCs w:val="20"/>
          <w:color w:val="auto"/>
        </w:rPr>
      </w:pPr>
    </w:p>
    <w:p>
      <w:pPr>
        <w:ind w:left="1800" w:right="41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03"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03"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Management Fee</w:t>
      </w:r>
    </w:p>
    <w:p>
      <w:pPr>
        <w:spacing w:after="0" w:line="15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101"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is calculated based on the average value of our gross assets at the end of the two most recently completed calendar quarters, and appropriately adjusted for any share issuances or repurchases during the current calendar quarter.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Incentive Fee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incentive fee consists of the following two parts:</w:t>
      </w:r>
    </w:p>
    <w:p>
      <w:pPr>
        <w:spacing w:after="0" w:line="158"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consulting fees or other fees that we receive from portfolio companies) accrued during the calendar quarter, minus our operating expenses for the quarter (including the base management fee, expenses payable under an administration agreement between us and the administrator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We pay the Investment Advisor an incentive fee with respect to our pre-incentive fee net investment income in each calendar quarter as follows:</w:t>
      </w:r>
    </w:p>
    <w:p>
      <w:pPr>
        <w:spacing w:after="0" w:line="84" w:lineRule="exact"/>
        <w:rPr>
          <w:sz w:val="20"/>
          <w:szCs w:val="20"/>
          <w:color w:val="auto"/>
        </w:rPr>
      </w:pPr>
    </w:p>
    <w:p>
      <w:pPr>
        <w:ind w:left="1800" w:right="4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w:t>
      </w:r>
    </w:p>
    <w:p>
      <w:pPr>
        <w:spacing w:after="0" w:line="89" w:lineRule="exact"/>
        <w:rPr>
          <w:rFonts w:ascii="Arial" w:cs="Arial" w:eastAsia="Arial" w:hAnsi="Arial"/>
          <w:sz w:val="18"/>
          <w:szCs w:val="18"/>
          <w:color w:val="auto"/>
        </w:rPr>
      </w:pPr>
    </w:p>
    <w:p>
      <w:pPr>
        <w:jc w:val="both"/>
        <w:ind w:left="1800" w:right="419" w:hanging="180"/>
        <w:spacing w:after="0" w:line="273"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83" w:lineRule="exact"/>
        <w:rPr>
          <w:rFonts w:ascii="Arial" w:cs="Arial" w:eastAsia="Arial" w:hAnsi="Arial"/>
          <w:sz w:val="17"/>
          <w:szCs w:val="17"/>
          <w:color w:val="auto"/>
        </w:rPr>
      </w:pPr>
    </w:p>
    <w:p>
      <w:pPr>
        <w:jc w:val="both"/>
        <w:ind w:left="1800" w:right="419" w:hanging="180"/>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19"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25"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w:t>
      </w:r>
    </w:p>
    <w:p>
      <w:pPr>
        <w:spacing w:after="0" w:line="2" w:lineRule="exact"/>
        <w:rPr>
          <w:sz w:val="20"/>
          <w:szCs w:val="20"/>
          <w:color w:val="auto"/>
        </w:rPr>
      </w:pPr>
    </w:p>
    <w:p>
      <w:pPr>
        <w:jc w:val="both"/>
        <w:ind w:left="1260" w:right="419"/>
        <w:spacing w:after="0" w:line="277" w:lineRule="auto"/>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w:t>
      </w:r>
    </w:p>
    <w:p>
      <w:pPr>
        <w:spacing w:after="0" w:line="9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Investment Advisor has voluntarily agreed to waive all or such portion of the quarterly incentive fees earned by the Investment Advisor that would otherwise cause our quarterly net investment income to be less than the distribution payments declared by our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24"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6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6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128905</wp:posOffset>
            </wp:positionV>
            <wp:extent cx="3282950" cy="694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8295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Percentage of pre-incentive fee net investment income allocated to the Capitala Investment Advisors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pre-incentive fee net investment income.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Alternative 1:</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Assumptions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Hurdle rate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2.0%</w:t>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Management fee</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 0.50%</w:t>
      </w:r>
    </w:p>
    <w:p>
      <w:pPr>
        <w:spacing w:after="0" w:line="79" w:lineRule="exact"/>
        <w:rPr>
          <w:sz w:val="20"/>
          <w:szCs w:val="20"/>
          <w:color w:val="auto"/>
        </w:rPr>
      </w:pPr>
    </w:p>
    <w:p>
      <w:pPr>
        <w:jc w:val="both"/>
        <w:ind w:left="1260" w:right="419"/>
        <w:spacing w:after="0" w:line="23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 0.20% Pre-incentive fee net investment income</w:t>
      </w:r>
    </w:p>
    <w:p>
      <w:pPr>
        <w:spacing w:after="0" w:line="122" w:lineRule="exact"/>
        <w:rPr>
          <w:sz w:val="20"/>
          <w:szCs w:val="20"/>
          <w:color w:val="auto"/>
        </w:rPr>
      </w:pPr>
    </w:p>
    <w:p>
      <w:pPr>
        <w:ind w:left="1620" w:right="699"/>
        <w:spacing w:after="0" w:line="340" w:lineRule="auto"/>
        <w:rPr>
          <w:sz w:val="20"/>
          <w:szCs w:val="20"/>
          <w:color w:val="auto"/>
        </w:rPr>
      </w:pPr>
      <w:r>
        <w:rPr>
          <w:rFonts w:ascii="Arial" w:cs="Arial" w:eastAsia="Arial" w:hAnsi="Arial"/>
          <w:sz w:val="18"/>
          <w:szCs w:val="18"/>
          <w:color w:val="auto"/>
        </w:rPr>
        <w:t>(investment income − (management fee + other expenses)) = 0.55% Pre-incentive net investment income does not exceed hurdle rate, therefore there is no incentive fee.</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Alternative 2:</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Assumptions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 income (including interest, dividends, fees, etc.) = 2.9%</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Hurdle rate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2.0%</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Management fee</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 0.50%</w:t>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 0.20%</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Pre-incentive fee net investment income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(investment income − (management fee + other expenses)) = 2.2%</w:t>
      </w:r>
    </w:p>
    <w:p>
      <w:pPr>
        <w:spacing w:after="0" w:line="148" w:lineRule="exact"/>
        <w:rPr>
          <w:sz w:val="20"/>
          <w:szCs w:val="20"/>
          <w:color w:val="auto"/>
        </w:rPr>
      </w:pPr>
    </w:p>
    <w:p>
      <w:pPr>
        <w:ind w:left="1260"/>
        <w:spacing w:after="0"/>
        <w:tabs>
          <w:tab w:leader="none" w:pos="246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7"/>
          <w:szCs w:val="17"/>
          <w:color w:val="auto"/>
        </w:rPr>
        <w:t>= 100% × pre-incentive fee net investment income, subject to the “catch-up”</w:t>
      </w:r>
      <w:r>
        <w:rPr>
          <w:rFonts w:ascii="Arial" w:cs="Arial" w:eastAsia="Arial" w:hAnsi="Arial"/>
          <w:sz w:val="25"/>
          <w:szCs w:val="25"/>
          <w:color w:val="auto"/>
          <w:vertAlign w:val="superscript"/>
        </w:rPr>
        <w:t>(4)</w:t>
      </w:r>
    </w:p>
    <w:p>
      <w:pPr>
        <w:spacing w:after="0" w:line="35" w:lineRule="exact"/>
        <w:rPr>
          <w:sz w:val="20"/>
          <w:szCs w:val="20"/>
          <w:color w:val="auto"/>
        </w:rPr>
      </w:pPr>
    </w:p>
    <w:p>
      <w:pPr>
        <w:ind w:left="2620" w:hanging="145"/>
        <w:spacing w:after="0"/>
        <w:tabs>
          <w:tab w:leader="none" w:pos="2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 (2.2% − 2.0%)</w:t>
      </w:r>
    </w:p>
    <w:p>
      <w:pPr>
        <w:spacing w:after="0" w:line="33" w:lineRule="exact"/>
        <w:rPr>
          <w:rFonts w:ascii="Arial" w:cs="Arial" w:eastAsia="Arial" w:hAnsi="Arial"/>
          <w:sz w:val="18"/>
          <w:szCs w:val="18"/>
          <w:color w:val="auto"/>
        </w:rPr>
      </w:pPr>
    </w:p>
    <w:p>
      <w:pPr>
        <w:ind w:left="2620" w:hanging="145"/>
        <w:spacing w:after="0"/>
        <w:tabs>
          <w:tab w:leader="none" w:pos="2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0.20%</w:t>
      </w:r>
    </w:p>
    <w:p>
      <w:pPr>
        <w:spacing w:after="0" w:line="144"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0.20%.</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Alternative 3:</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Assumptions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 income (including interest, dividends, fees, etc.) = 3.50%</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Hurdle rate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2.0%</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Management fee</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 0.50%</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 0.20%</w:t>
      </w:r>
    </w:p>
    <w:p>
      <w:pPr>
        <w:spacing w:after="0" w:line="1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Pre-incentive fee net investment income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(investment income − (management fee + other expenses)) = 2.80%</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307"/>
        </w:trPr>
        <w:tc>
          <w:tcPr>
            <w:tcW w:w="1100" w:type="dxa"/>
            <w:vAlign w:val="bottom"/>
          </w:tcPr>
          <w:p>
            <w:pPr>
              <w:spacing w:after="0"/>
              <w:rPr>
                <w:sz w:val="20"/>
                <w:szCs w:val="20"/>
                <w:color w:val="auto"/>
              </w:rPr>
            </w:pPr>
            <w:r>
              <w:rPr>
                <w:rFonts w:ascii="Arial" w:cs="Arial" w:eastAsia="Arial" w:hAnsi="Arial"/>
                <w:sz w:val="18"/>
                <w:szCs w:val="18"/>
                <w:color w:val="auto"/>
              </w:rPr>
              <w:t>Incentive fee</w:t>
            </w: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rPr>
              <w:t>= 20% × pre-incentive fee net investment income, subject to “catch-up”</w:t>
            </w:r>
            <w:r>
              <w:rPr>
                <w:rFonts w:ascii="Arial" w:cs="Arial" w:eastAsia="Arial" w:hAnsi="Arial"/>
                <w:sz w:val="26"/>
                <w:szCs w:val="26"/>
                <w:color w:val="auto"/>
                <w:vertAlign w:val="superscript"/>
              </w:rPr>
              <w:t>(4)</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Incentive fee</w:t>
            </w: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w w:val="96"/>
              </w:rPr>
              <w:t>= 100% × “catch-up” + (20% × (pre-incentive fee net investment income − 2.5%))</w:t>
            </w:r>
          </w:p>
        </w:tc>
      </w:tr>
      <w:tr>
        <w:trPr>
          <w:trHeight w:val="257"/>
        </w:trPr>
        <w:tc>
          <w:tcPr>
            <w:tcW w:w="1100" w:type="dxa"/>
            <w:vAlign w:val="bottom"/>
          </w:tcPr>
          <w:p>
            <w:pPr>
              <w:spacing w:after="0"/>
              <w:rPr>
                <w:sz w:val="20"/>
                <w:szCs w:val="20"/>
                <w:color w:val="auto"/>
              </w:rPr>
            </w:pPr>
            <w:r>
              <w:rPr>
                <w:rFonts w:ascii="Arial" w:cs="Arial" w:eastAsia="Arial" w:hAnsi="Arial"/>
                <w:sz w:val="18"/>
                <w:szCs w:val="18"/>
                <w:color w:val="auto"/>
              </w:rPr>
              <w:t>Catch-up</w:t>
            </w:r>
          </w:p>
        </w:tc>
        <w:tc>
          <w:tcPr>
            <w:tcW w:w="680" w:type="dxa"/>
            <w:vAlign w:val="bottom"/>
          </w:tcPr>
          <w:p>
            <w:pPr>
              <w:ind w:left="120"/>
              <w:spacing w:after="0"/>
              <w:rPr>
                <w:sz w:val="20"/>
                <w:szCs w:val="20"/>
                <w:color w:val="auto"/>
              </w:rPr>
            </w:pPr>
            <w:r>
              <w:rPr>
                <w:rFonts w:ascii="Arial" w:cs="Arial" w:eastAsia="Arial" w:hAnsi="Arial"/>
                <w:sz w:val="18"/>
                <w:szCs w:val="18"/>
                <w:color w:val="auto"/>
                <w:w w:val="95"/>
              </w:rPr>
              <w:t>= 2.5%</w:t>
            </w:r>
          </w:p>
        </w:tc>
        <w:tc>
          <w:tcPr>
            <w:tcW w:w="566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57"/>
        </w:trPr>
        <w:tc>
          <w:tcPr>
            <w:tcW w:w="110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w w:val="95"/>
              </w:rPr>
              <w:t>= 0.5%</w:t>
            </w:r>
          </w:p>
        </w:tc>
        <w:tc>
          <w:tcPr>
            <w:tcW w:w="5660" w:type="dxa"/>
            <w:vAlign w:val="bottom"/>
          </w:tcPr>
          <w:p>
            <w:pPr>
              <w:spacing w:after="0"/>
              <w:rPr>
                <w:sz w:val="22"/>
                <w:szCs w:val="22"/>
                <w:color w:val="auto"/>
              </w:rPr>
            </w:pPr>
          </w:p>
        </w:tc>
      </w:tr>
      <w:tr>
        <w:trPr>
          <w:trHeight w:val="257"/>
        </w:trPr>
        <w:tc>
          <w:tcPr>
            <w:tcW w:w="1100" w:type="dxa"/>
            <w:vAlign w:val="bottom"/>
          </w:tcPr>
          <w:p>
            <w:pPr>
              <w:spacing w:after="0"/>
              <w:rPr>
                <w:sz w:val="20"/>
                <w:szCs w:val="20"/>
                <w:color w:val="auto"/>
              </w:rPr>
            </w:pPr>
            <w:r>
              <w:rPr>
                <w:rFonts w:ascii="Arial" w:cs="Arial" w:eastAsia="Arial" w:hAnsi="Arial"/>
                <w:sz w:val="18"/>
                <w:szCs w:val="18"/>
                <w:color w:val="auto"/>
              </w:rPr>
              <w:t>Incentive fee</w:t>
            </w: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rPr>
              <w:t>= (100% × 0.5%) + (20% × (2.80% − 2.5%))</w:t>
            </w:r>
          </w:p>
        </w:tc>
      </w:tr>
      <w:tr>
        <w:trPr>
          <w:trHeight w:val="270"/>
        </w:trPr>
        <w:tc>
          <w:tcPr>
            <w:tcW w:w="110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w w:val="95"/>
              </w:rPr>
              <w:t>= 0.5%</w:t>
            </w:r>
          </w:p>
        </w:tc>
        <w:tc>
          <w:tcPr>
            <w:tcW w:w="5660" w:type="dxa"/>
            <w:vAlign w:val="bottom"/>
          </w:tcPr>
          <w:p>
            <w:pPr>
              <w:ind w:left="20"/>
              <w:spacing w:after="0"/>
              <w:rPr>
                <w:sz w:val="20"/>
                <w:szCs w:val="20"/>
                <w:color w:val="auto"/>
              </w:rPr>
            </w:pPr>
            <w:r>
              <w:rPr>
                <w:rFonts w:ascii="Arial" w:cs="Arial" w:eastAsia="Arial" w:hAnsi="Arial"/>
                <w:sz w:val="18"/>
                <w:szCs w:val="18"/>
                <w:color w:val="auto"/>
              </w:rPr>
              <w:t>+ (20%× 0.3%)</w:t>
            </w:r>
          </w:p>
        </w:tc>
      </w:tr>
      <w:tr>
        <w:trPr>
          <w:trHeight w:val="270"/>
        </w:trPr>
        <w:tc>
          <w:tcPr>
            <w:tcW w:w="110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w w:val="95"/>
              </w:rPr>
              <w:t>= 0.5%</w:t>
            </w:r>
          </w:p>
        </w:tc>
        <w:tc>
          <w:tcPr>
            <w:tcW w:w="5660" w:type="dxa"/>
            <w:vAlign w:val="bottom"/>
          </w:tcPr>
          <w:p>
            <w:pPr>
              <w:ind w:left="20"/>
              <w:spacing w:after="0"/>
              <w:rPr>
                <w:sz w:val="20"/>
                <w:szCs w:val="20"/>
                <w:color w:val="auto"/>
              </w:rPr>
            </w:pPr>
            <w:r>
              <w:rPr>
                <w:rFonts w:ascii="Arial" w:cs="Arial" w:eastAsia="Arial" w:hAnsi="Arial"/>
                <w:sz w:val="18"/>
                <w:szCs w:val="18"/>
                <w:color w:val="auto"/>
              </w:rPr>
              <w:t>+ 0.06%</w:t>
            </w:r>
          </w:p>
        </w:tc>
      </w:tr>
    </w:tbl>
    <w:p>
      <w:pPr>
        <w:spacing w:after="0" w:line="4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 0.56%</w:t>
      </w:r>
    </w:p>
    <w:p>
      <w:pPr>
        <w:spacing w:after="0" w:line="15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0"/>
          <w:szCs w:val="20"/>
          <w:color w:val="auto"/>
        </w:rPr>
      </w:pPr>
    </w:p>
    <w:p>
      <w:pPr>
        <w:ind w:left="1620" w:right="419" w:hanging="360"/>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2" w:lineRule="exact"/>
        <w:rPr>
          <w:sz w:val="20"/>
          <w:szCs w:val="20"/>
          <w:color w:val="auto"/>
        </w:rPr>
      </w:pPr>
    </w:p>
    <w:p>
      <w:pPr>
        <w:ind w:left="1620" w:hanging="360"/>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2.00% annualized management fee.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76" w:lineRule="exact"/>
        <w:rPr>
          <w:rFonts w:ascii="Arial" w:cs="Arial" w:eastAsia="Arial" w:hAnsi="Arial"/>
          <w:sz w:val="18"/>
          <w:szCs w:val="18"/>
          <w:color w:val="auto"/>
        </w:rPr>
      </w:pPr>
    </w:p>
    <w:p>
      <w:pPr>
        <w:jc w:val="both"/>
        <w:ind w:left="1620" w:right="419" w:hanging="360"/>
        <w:spacing w:after="0" w:line="263"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“catch-up” provision is intended to provide the Investment Advisor with an incentive fee of 20% on all of Capitala Finance’s pre-incentive fee net investment income as if a hurdle rate did not apply when its net investment income exceeds 2.5% in any calendar quarter.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Alternative 1:</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1800" w:right="4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4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04"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2: Capital gains incentive fee of $6 million ($30 million realized capital gains on sale of Investment A multiplied by 20%)</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3:  None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$5 million (20% multiplied by ($30 million cumulative capital gains less $5 million cumulative capital depreciation)) less $6 million (previous capital gains fee paid in Year 2).</w:t>
      </w:r>
    </w:p>
    <w:p>
      <w:pPr>
        <w:spacing w:after="0" w:line="62" w:lineRule="exact"/>
        <w:rPr>
          <w:sz w:val="20"/>
          <w:szCs w:val="20"/>
          <w:color w:val="auto"/>
        </w:rPr>
      </w:pPr>
    </w:p>
    <w:p>
      <w:pPr>
        <w:ind w:left="1620"/>
        <w:spacing w:after="0"/>
        <w:tabs>
          <w:tab w:leader="none" w:pos="2460" w:val="left"/>
        </w:tabs>
        <w:rPr>
          <w:sz w:val="20"/>
          <w:szCs w:val="20"/>
          <w:color w:val="auto"/>
        </w:rPr>
      </w:pPr>
      <w:r>
        <w:rPr>
          <w:rFonts w:ascii="Arial" w:cs="Arial" w:eastAsia="Arial" w:hAnsi="Arial"/>
          <w:sz w:val="18"/>
          <w:szCs w:val="18"/>
          <w:color w:val="auto"/>
        </w:rPr>
        <w:t>•  Year 4:</w:t>
      </w:r>
      <w:r>
        <w:rPr>
          <w:sz w:val="20"/>
          <w:szCs w:val="20"/>
          <w:color w:val="auto"/>
        </w:rPr>
        <w:tab/>
      </w:r>
      <w:r>
        <w:rPr>
          <w:rFonts w:ascii="Arial" w:cs="Arial" w:eastAsia="Arial" w:hAnsi="Arial"/>
          <w:sz w:val="17"/>
          <w:szCs w:val="17"/>
          <w:color w:val="auto"/>
        </w:rPr>
        <w:t>Capital gains incentive fee of $200,000</w:t>
      </w:r>
    </w:p>
    <w:p>
      <w:pPr>
        <w:spacing w:after="0" w:line="144"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$6.2 million ($31 million cumulative realized capital gains multiplied by 20%) less $6 million (capital gains fee taken in Year 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Alternative 2:</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Assumptions</w:t>
      </w:r>
    </w:p>
    <w:p>
      <w:pPr>
        <w:spacing w:after="0" w:line="131" w:lineRule="exact"/>
        <w:rPr>
          <w:sz w:val="20"/>
          <w:szCs w:val="20"/>
          <w:color w:val="auto"/>
        </w:rPr>
      </w:pPr>
    </w:p>
    <w:p>
      <w:pPr>
        <w:jc w:val="both"/>
        <w:ind w:left="1800" w:right="41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Year 3:  FMV of Investment B determined to be $27 million and Investment C sold for $30 million</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4:  FMV of Investment B determined to be $24 million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capital gains incentive fee, if any, would be:</w:t>
      </w:r>
    </w:p>
    <w:p>
      <w:pPr>
        <w:spacing w:after="0" w:line="117"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15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20% multiplied by $25 million ($30 million realized capital gains on Investment A less unrealized capital depreciation on Investment B).</w:t>
      </w:r>
    </w:p>
    <w:p>
      <w:pPr>
        <w:spacing w:after="0" w:line="25" w:lineRule="exact"/>
        <w:rPr>
          <w:sz w:val="20"/>
          <w:szCs w:val="20"/>
          <w:color w:val="auto"/>
        </w:rPr>
      </w:pPr>
    </w:p>
    <w:p>
      <w:pPr>
        <w:ind w:left="1620"/>
        <w:spacing w:after="0"/>
        <w:tabs>
          <w:tab w:leader="none" w:pos="2460" w:val="left"/>
        </w:tabs>
        <w:rPr>
          <w:sz w:val="20"/>
          <w:szCs w:val="20"/>
          <w:color w:val="auto"/>
        </w:rPr>
      </w:pPr>
      <w:r>
        <w:rPr>
          <w:rFonts w:ascii="Arial" w:cs="Arial" w:eastAsia="Arial" w:hAnsi="Arial"/>
          <w:sz w:val="18"/>
          <w:szCs w:val="18"/>
          <w:color w:val="auto"/>
        </w:rPr>
        <w:t>•  Year 3:</w:t>
      </w:r>
      <w:r>
        <w:rPr>
          <w:sz w:val="20"/>
          <w:szCs w:val="20"/>
          <w:color w:val="auto"/>
        </w:rPr>
        <w:tab/>
      </w:r>
      <w:r>
        <w:rPr>
          <w:rFonts w:ascii="Arial" w:cs="Arial" w:eastAsia="Arial" w:hAnsi="Arial"/>
          <w:sz w:val="17"/>
          <w:szCs w:val="17"/>
          <w:color w:val="auto"/>
        </w:rPr>
        <w:t>$1.4 million capital gains incentive fee</w:t>
      </w:r>
      <w:r>
        <w:rPr>
          <w:rFonts w:ascii="Arial" w:cs="Arial" w:eastAsia="Arial" w:hAnsi="Arial"/>
          <w:sz w:val="25"/>
          <w:szCs w:val="25"/>
          <w:color w:val="auto"/>
          <w:vertAlign w:val="superscript"/>
        </w:rPr>
        <w:t>(1)</w:t>
      </w:r>
    </w:p>
    <w:p>
      <w:pPr>
        <w:spacing w:after="0" w:line="114"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$6.4 million (20% multiplied by $32 million ($35 million cumulative realized capital gains less $3 million unrealized capital depreciation)) less $5 million capital gains fee received in Year 2.</w:t>
      </w:r>
    </w:p>
    <w:p>
      <w:pPr>
        <w:spacing w:after="0" w:line="76"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14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$5 million (20% multiplied by $25 million (cumulative realized capital gains of $35 million less realized capital losses of $10 million)) less $6.4 million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1234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2" w:lineRule="exact"/>
        <w:rPr>
          <w:sz w:val="20"/>
          <w:szCs w:val="20"/>
          <w:color w:val="auto"/>
        </w:rPr>
      </w:pPr>
    </w:p>
    <w:p>
      <w:pPr>
        <w:jc w:val="both"/>
        <w:ind w:left="1620" w:right="419" w:hanging="360"/>
        <w:spacing w:after="0" w:line="259"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illustrated in Year 3 of Alternative 2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Example 3: Application of the Incentive Fee Deferral Mechanism</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jc w:val="both"/>
        <w:ind w:left="1800" w:right="419" w:hanging="180"/>
        <w:spacing w:after="0" w:line="255"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 All income-related incentive fees were paid quarterly in arrears.</w:t>
      </w:r>
    </w:p>
    <w:p>
      <w:pPr>
        <w:spacing w:after="0" w:line="84"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each year preceding Year 1, we did not generate realized or unrealized capital gains or losses, no capital gain-related incentive fee was paid and there was no deferral of incentive fees.</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Year 1:  We did not generate realized or unrealized capital gains or losses.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Year 2: We realized a $30.0 million capital gain and did not otherwise generate realized or unrealized capital gains or losses.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Year 3: We recognized $5.0 million of unrealized capital depreciation and did not otherwise generate realized or unrealized capital gains or losses.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Year 4: We realized a $6.0 million capital gain and did not otherwise generate realized or unrealized capital gains or losses.</w:t>
      </w:r>
    </w:p>
    <w:p>
      <w:pPr>
        <w:sectPr>
          <w:pgSz w:w="11900" w:h="16838" w:orient="portrait"/>
          <w:cols w:equalWidth="0" w:num="1">
            <w:col w:w="9879"/>
          </w:cols>
          <w:pgMar w:left="580" w:top="132" w:right="1440" w:bottom="1440" w:gutter="0" w:footer="0" w:header="0"/>
        </w:sectPr>
      </w:pPr>
    </w:p>
    <w:p>
      <w:pPr>
        <w:spacing w:after="0" w:line="121"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Income Related</w:t>
      </w:r>
    </w:p>
    <w:p>
      <w:pPr>
        <w:spacing w:after="0" w:line="17"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Incentive Fee</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Accrued Before</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Application of</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Deferral</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5080</wp:posOffset>
            </wp:positionV>
            <wp:extent cx="10801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1280"/>
        <w:spacing w:after="0"/>
        <w:tabs>
          <w:tab w:leader="none" w:pos="1980" w:val="left"/>
        </w:tabs>
        <w:rPr>
          <w:sz w:val="20"/>
          <w:szCs w:val="20"/>
          <w:color w:val="auto"/>
        </w:rPr>
      </w:pPr>
      <w:r>
        <w:rPr>
          <w:rFonts w:ascii="Arial" w:cs="Arial" w:eastAsia="Arial" w:hAnsi="Arial"/>
          <w:sz w:val="18"/>
          <w:szCs w:val="18"/>
          <w:color w:val="auto"/>
        </w:rPr>
        <w:t>Year 1</w:t>
      </w:r>
      <w:r>
        <w:rPr>
          <w:sz w:val="20"/>
          <w:szCs w:val="20"/>
          <w:color w:val="auto"/>
        </w:rPr>
        <w:tab/>
      </w:r>
      <w:r>
        <w:rPr>
          <w:rFonts w:ascii="Arial" w:cs="Arial" w:eastAsia="Arial" w:hAnsi="Arial"/>
          <w:sz w:val="17"/>
          <w:szCs w:val="17"/>
          <w:color w:val="auto"/>
        </w:rPr>
        <w:t>$8.0 million</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($40.0 million</w:t>
      </w:r>
    </w:p>
    <w:p>
      <w:pPr>
        <w:ind w:left="2000"/>
        <w:spacing w:after="0"/>
        <w:rPr>
          <w:sz w:val="20"/>
          <w:szCs w:val="20"/>
          <w:color w:val="auto"/>
        </w:rPr>
      </w:pPr>
      <w:r>
        <w:rPr>
          <w:rFonts w:ascii="Arial" w:cs="Arial" w:eastAsia="Arial" w:hAnsi="Arial"/>
          <w:sz w:val="17"/>
          <w:szCs w:val="17"/>
          <w:color w:val="auto"/>
        </w:rPr>
        <w:t>multiplied by 20%)</w:t>
      </w:r>
    </w:p>
    <w:p>
      <w:pPr>
        <w:spacing w:after="0" w:line="101"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Year 2</w:t>
      </w:r>
      <w:r>
        <w:rPr>
          <w:sz w:val="20"/>
          <w:szCs w:val="20"/>
          <w:color w:val="auto"/>
        </w:rPr>
        <w:tab/>
      </w:r>
      <w:r>
        <w:rPr>
          <w:rFonts w:ascii="Arial" w:cs="Arial" w:eastAsia="Arial" w:hAnsi="Arial"/>
          <w:sz w:val="17"/>
          <w:szCs w:val="17"/>
          <w:color w:val="auto"/>
        </w:rPr>
        <w:t>$8.0 million</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($40.0 million</w:t>
      </w:r>
    </w:p>
    <w:p>
      <w:pPr>
        <w:ind w:left="2000"/>
        <w:spacing w:after="0"/>
        <w:rPr>
          <w:sz w:val="20"/>
          <w:szCs w:val="20"/>
          <w:color w:val="auto"/>
        </w:rPr>
      </w:pPr>
      <w:r>
        <w:rPr>
          <w:rFonts w:ascii="Arial" w:cs="Arial" w:eastAsia="Arial" w:hAnsi="Arial"/>
          <w:sz w:val="17"/>
          <w:szCs w:val="17"/>
          <w:color w:val="auto"/>
        </w:rPr>
        <w:t>multiplied by 20%)</w:t>
      </w:r>
    </w:p>
    <w:p>
      <w:pPr>
        <w:spacing w:after="0" w:line="101"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Year 3</w:t>
      </w:r>
      <w:r>
        <w:rPr>
          <w:sz w:val="20"/>
          <w:szCs w:val="20"/>
          <w:color w:val="auto"/>
        </w:rPr>
        <w:tab/>
      </w:r>
      <w:r>
        <w:rPr>
          <w:rFonts w:ascii="Arial" w:cs="Arial" w:eastAsia="Arial" w:hAnsi="Arial"/>
          <w:sz w:val="17"/>
          <w:szCs w:val="17"/>
          <w:color w:val="auto"/>
        </w:rPr>
        <w:t>$8.0 million</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($40.0 million</w:t>
      </w:r>
    </w:p>
    <w:p>
      <w:pPr>
        <w:ind w:left="2000"/>
        <w:spacing w:after="0"/>
        <w:rPr>
          <w:sz w:val="20"/>
          <w:szCs w:val="20"/>
          <w:color w:val="auto"/>
        </w:rPr>
      </w:pPr>
      <w:r>
        <w:rPr>
          <w:rFonts w:ascii="Arial" w:cs="Arial" w:eastAsia="Arial" w:hAnsi="Arial"/>
          <w:sz w:val="17"/>
          <w:szCs w:val="17"/>
          <w:color w:val="auto"/>
        </w:rPr>
        <w:t>multiplied by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Year 4</w:t>
      </w:r>
      <w:r>
        <w:rPr>
          <w:sz w:val="20"/>
          <w:szCs w:val="20"/>
          <w:color w:val="auto"/>
        </w:rPr>
        <w:tab/>
      </w:r>
      <w:r>
        <w:rPr>
          <w:rFonts w:ascii="Arial" w:cs="Arial" w:eastAsia="Arial" w:hAnsi="Arial"/>
          <w:sz w:val="17"/>
          <w:szCs w:val="17"/>
          <w:color w:val="auto"/>
        </w:rPr>
        <w:t>$8.0 million</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($40.0 million</w:t>
      </w:r>
    </w:p>
    <w:p>
      <w:pPr>
        <w:ind w:left="2000"/>
        <w:spacing w:after="0"/>
        <w:rPr>
          <w:sz w:val="20"/>
          <w:szCs w:val="20"/>
          <w:color w:val="auto"/>
        </w:rPr>
      </w:pPr>
      <w:r>
        <w:rPr>
          <w:rFonts w:ascii="Arial" w:cs="Arial" w:eastAsia="Arial" w:hAnsi="Arial"/>
          <w:sz w:val="17"/>
          <w:szCs w:val="17"/>
          <w:color w:val="auto"/>
        </w:rPr>
        <w:t>multiplied by 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 Gains Related</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Incentive Fee Accrued</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Before Application of</w:t>
            </w:r>
          </w:p>
        </w:tc>
        <w:tc>
          <w:tcPr>
            <w:tcW w:w="1920" w:type="dxa"/>
            <w:vAlign w:val="bottom"/>
            <w:gridSpan w:val="2"/>
          </w:tcPr>
          <w:p>
            <w:pPr>
              <w:ind w:left="440"/>
              <w:spacing w:after="0"/>
              <w:rPr>
                <w:sz w:val="20"/>
                <w:szCs w:val="20"/>
                <w:color w:val="auto"/>
              </w:rPr>
            </w:pPr>
            <w:r>
              <w:rPr>
                <w:rFonts w:ascii="Arial" w:cs="Arial" w:eastAsia="Arial" w:hAnsi="Arial"/>
                <w:sz w:val="14"/>
                <w:szCs w:val="14"/>
                <w:b w:val="1"/>
                <w:bCs w:val="1"/>
                <w:color w:val="auto"/>
              </w:rPr>
              <w:t>Incentive Fee</w:t>
            </w:r>
          </w:p>
        </w:tc>
        <w:tc>
          <w:tcPr>
            <w:tcW w:w="1700" w:type="dxa"/>
            <w:vAlign w:val="bottom"/>
          </w:tcPr>
          <w:p>
            <w:pPr>
              <w:ind w:left="260"/>
              <w:spacing w:after="0"/>
              <w:rPr>
                <w:sz w:val="20"/>
                <w:szCs w:val="20"/>
                <w:color w:val="auto"/>
              </w:rPr>
            </w:pPr>
            <w:r>
              <w:rPr>
                <w:rFonts w:ascii="Arial" w:cs="Arial" w:eastAsia="Arial" w:hAnsi="Arial"/>
                <w:sz w:val="14"/>
                <w:szCs w:val="14"/>
                <w:b w:val="1"/>
                <w:bCs w:val="1"/>
                <w:color w:val="auto"/>
              </w:rPr>
              <w:t>Incentive Fees Paid</w:t>
            </w:r>
          </w:p>
        </w:tc>
      </w:tr>
      <w:tr>
        <w:trPr>
          <w:trHeight w:val="185"/>
        </w:trPr>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Deferral Mechanism</w:t>
            </w:r>
          </w:p>
        </w:tc>
        <w:tc>
          <w:tcPr>
            <w:tcW w:w="1920" w:type="dxa"/>
            <w:vAlign w:val="bottom"/>
            <w:gridSpan w:val="2"/>
          </w:tcPr>
          <w:p>
            <w:pPr>
              <w:ind w:left="480"/>
              <w:spacing w:after="0"/>
              <w:rPr>
                <w:sz w:val="20"/>
                <w:szCs w:val="20"/>
                <w:color w:val="auto"/>
              </w:rPr>
            </w:pPr>
            <w:r>
              <w:rPr>
                <w:rFonts w:ascii="Arial" w:cs="Arial" w:eastAsia="Arial" w:hAnsi="Arial"/>
                <w:sz w:val="14"/>
                <w:szCs w:val="14"/>
                <w:b w:val="1"/>
                <w:bCs w:val="1"/>
                <w:color w:val="auto"/>
              </w:rPr>
              <w:t>Calculations</w:t>
            </w:r>
          </w:p>
        </w:tc>
        <w:tc>
          <w:tcPr>
            <w:tcW w:w="1700" w:type="dxa"/>
            <w:vAlign w:val="bottom"/>
          </w:tcPr>
          <w:p>
            <w:pPr>
              <w:ind w:left="460"/>
              <w:spacing w:after="0"/>
              <w:rPr>
                <w:sz w:val="20"/>
                <w:szCs w:val="20"/>
                <w:color w:val="auto"/>
              </w:rPr>
            </w:pPr>
            <w:r>
              <w:rPr>
                <w:rFonts w:ascii="Arial" w:cs="Arial" w:eastAsia="Arial" w:hAnsi="Arial"/>
                <w:sz w:val="14"/>
                <w:szCs w:val="14"/>
                <w:b w:val="1"/>
                <w:bCs w:val="1"/>
                <w:color w:val="auto"/>
              </w:rPr>
              <w:t>and Deferred</w:t>
            </w:r>
          </w:p>
        </w:tc>
      </w:tr>
      <w:tr>
        <w:trPr>
          <w:trHeight w:val="187"/>
        </w:trPr>
        <w:tc>
          <w:tcPr>
            <w:tcW w:w="170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None</w:t>
            </w: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$8.0 million</w:t>
            </w: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Incentive fees of</w:t>
            </w:r>
          </w:p>
        </w:tc>
      </w:tr>
      <w:tr>
        <w:trPr>
          <w:trHeight w:val="203"/>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$8.0 million paid; no</w:t>
            </w:r>
          </w:p>
        </w:tc>
      </w:tr>
      <w:tr>
        <w:trPr>
          <w:trHeight w:val="223"/>
        </w:trPr>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2"/>
              </w:rPr>
              <w:t>incentive fees deferred</w:t>
            </w:r>
          </w:p>
        </w:tc>
      </w:tr>
      <w:tr>
        <w:trPr>
          <w:trHeight w:val="290"/>
        </w:trPr>
        <w:tc>
          <w:tcPr>
            <w:tcW w:w="1920" w:type="dxa"/>
            <w:vAlign w:val="bottom"/>
            <w:gridSpan w:val="2"/>
          </w:tcPr>
          <w:p>
            <w:pPr>
              <w:spacing w:after="0"/>
              <w:rPr>
                <w:sz w:val="20"/>
                <w:szCs w:val="20"/>
                <w:color w:val="auto"/>
              </w:rPr>
            </w:pPr>
            <w:r>
              <w:rPr>
                <w:rFonts w:ascii="Arial" w:cs="Arial" w:eastAsia="Arial" w:hAnsi="Arial"/>
                <w:sz w:val="18"/>
                <w:szCs w:val="18"/>
                <w:color w:val="auto"/>
              </w:rPr>
              <w:t>$6.0 million (20% of</w:t>
            </w:r>
          </w:p>
        </w:tc>
        <w:tc>
          <w:tcPr>
            <w:tcW w:w="1920" w:type="dxa"/>
            <w:vAlign w:val="bottom"/>
            <w:gridSpan w:val="2"/>
          </w:tcPr>
          <w:p>
            <w:pPr>
              <w:spacing w:after="0"/>
              <w:rPr>
                <w:sz w:val="20"/>
                <w:szCs w:val="20"/>
                <w:color w:val="auto"/>
              </w:rPr>
            </w:pPr>
            <w:r>
              <w:rPr>
                <w:rFonts w:ascii="Arial" w:cs="Arial" w:eastAsia="Arial" w:hAnsi="Arial"/>
                <w:sz w:val="18"/>
                <w:szCs w:val="18"/>
                <w:color w:val="auto"/>
              </w:rPr>
              <w:t>$14.0 million</w:t>
            </w:r>
          </w:p>
        </w:tc>
        <w:tc>
          <w:tcPr>
            <w:tcW w:w="1700" w:type="dxa"/>
            <w:vAlign w:val="bottom"/>
          </w:tcPr>
          <w:p>
            <w:pPr>
              <w:spacing w:after="0"/>
              <w:rPr>
                <w:sz w:val="20"/>
                <w:szCs w:val="20"/>
                <w:color w:val="auto"/>
              </w:rPr>
            </w:pPr>
            <w:r>
              <w:rPr>
                <w:rFonts w:ascii="Arial" w:cs="Arial" w:eastAsia="Arial" w:hAnsi="Arial"/>
                <w:sz w:val="18"/>
                <w:szCs w:val="18"/>
                <w:color w:val="auto"/>
              </w:rPr>
              <w:t>Incentive fees of</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$30.0 million)</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w w:val="98"/>
              </w:rPr>
              <w:t>$14.0 million paid; no</w:t>
            </w:r>
          </w:p>
        </w:tc>
      </w:tr>
      <w:tr>
        <w:trPr>
          <w:trHeight w:val="223"/>
        </w:trPr>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2"/>
              </w:rPr>
              <w:t>incentive fees deferred</w:t>
            </w:r>
          </w:p>
        </w:tc>
      </w:tr>
      <w:tr>
        <w:trPr>
          <w:trHeight w:val="290"/>
        </w:trPr>
        <w:tc>
          <w:tcPr>
            <w:tcW w:w="1920" w:type="dxa"/>
            <w:vAlign w:val="bottom"/>
            <w:gridSpan w:val="2"/>
          </w:tcPr>
          <w:p>
            <w:pPr>
              <w:spacing w:after="0"/>
              <w:rPr>
                <w:sz w:val="20"/>
                <w:szCs w:val="20"/>
                <w:color w:val="auto"/>
              </w:rPr>
            </w:pPr>
            <w:r>
              <w:rPr>
                <w:rFonts w:ascii="Arial" w:cs="Arial" w:eastAsia="Arial" w:hAnsi="Arial"/>
                <w:sz w:val="18"/>
                <w:szCs w:val="18"/>
                <w:color w:val="auto"/>
              </w:rPr>
              <w:t>None (20% of</w:t>
            </w:r>
          </w:p>
        </w:tc>
        <w:tc>
          <w:tcPr>
            <w:tcW w:w="1920" w:type="dxa"/>
            <w:vAlign w:val="bottom"/>
            <w:gridSpan w:val="2"/>
          </w:tcPr>
          <w:p>
            <w:pPr>
              <w:spacing w:after="0"/>
              <w:rPr>
                <w:sz w:val="20"/>
                <w:szCs w:val="20"/>
                <w:color w:val="auto"/>
              </w:rPr>
            </w:pPr>
            <w:r>
              <w:rPr>
                <w:rFonts w:ascii="Arial" w:cs="Arial" w:eastAsia="Arial" w:hAnsi="Arial"/>
                <w:sz w:val="18"/>
                <w:szCs w:val="18"/>
                <w:color w:val="auto"/>
              </w:rPr>
              <w:t>$7.0 million (20% of</w:t>
            </w:r>
          </w:p>
        </w:tc>
        <w:tc>
          <w:tcPr>
            <w:tcW w:w="1700" w:type="dxa"/>
            <w:vAlign w:val="bottom"/>
          </w:tcPr>
          <w:p>
            <w:pPr>
              <w:spacing w:after="0"/>
              <w:rPr>
                <w:sz w:val="20"/>
                <w:szCs w:val="20"/>
                <w:color w:val="auto"/>
              </w:rPr>
            </w:pPr>
            <w:r>
              <w:rPr>
                <w:rFonts w:ascii="Arial" w:cs="Arial" w:eastAsia="Arial" w:hAnsi="Arial"/>
                <w:sz w:val="18"/>
                <w:szCs w:val="18"/>
                <w:color w:val="auto"/>
              </w:rPr>
              <w:t>Incentive fees of</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cumulative net capital</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sum of (a) our pre-</w:t>
            </w: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$7.0 million paid;</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gains of $25.0 million</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incentive fee net</w:t>
            </w: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$8.0 million of</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($30.0 million in</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investment income,</w:t>
            </w:r>
          </w:p>
        </w:tc>
        <w:tc>
          <w:tcPr>
            <w:tcW w:w="1700" w:type="dxa"/>
            <w:vAlign w:val="bottom"/>
          </w:tcPr>
          <w:p>
            <w:pPr>
              <w:spacing w:after="0" w:line="202" w:lineRule="exact"/>
              <w:rPr>
                <w:sz w:val="20"/>
                <w:szCs w:val="20"/>
                <w:color w:val="auto"/>
              </w:rPr>
            </w:pPr>
            <w:r>
              <w:rPr>
                <w:rFonts w:ascii="Arial" w:cs="Arial" w:eastAsia="Arial" w:hAnsi="Arial"/>
                <w:sz w:val="18"/>
                <w:szCs w:val="18"/>
                <w:color w:val="auto"/>
                <w:w w:val="93"/>
              </w:rPr>
              <w:t>incentive fees accrued</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cumulative realized</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(b) our net unrealized</w:t>
            </w:r>
          </w:p>
        </w:tc>
        <w:tc>
          <w:tcPr>
            <w:tcW w:w="1700" w:type="dxa"/>
            <w:vAlign w:val="bottom"/>
          </w:tcPr>
          <w:p>
            <w:pPr>
              <w:spacing w:after="0" w:line="202" w:lineRule="exact"/>
              <w:rPr>
                <w:sz w:val="20"/>
                <w:szCs w:val="20"/>
                <w:color w:val="auto"/>
              </w:rPr>
            </w:pPr>
            <w:r>
              <w:rPr>
                <w:rFonts w:ascii="Arial" w:cs="Arial" w:eastAsia="Arial" w:hAnsi="Arial"/>
                <w:sz w:val="18"/>
                <w:szCs w:val="18"/>
                <w:color w:val="auto"/>
                <w:w w:val="94"/>
              </w:rPr>
              <w:t>but payment restricted</w:t>
            </w:r>
          </w:p>
        </w:tc>
      </w:tr>
      <w:tr>
        <w:trPr>
          <w:trHeight w:val="202"/>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gains less $5.0 million</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appreciation or</w:t>
            </w: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to $7.0 million;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 cumulative</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during</w:t>
            </w: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$1.0 million of</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unrealized capital</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such period and</w:t>
            </w:r>
          </w:p>
        </w:tc>
        <w:tc>
          <w:tcPr>
            <w:tcW w:w="1700" w:type="dxa"/>
            <w:vAlign w:val="bottom"/>
          </w:tcPr>
          <w:p>
            <w:pPr>
              <w:spacing w:after="0" w:line="202" w:lineRule="exact"/>
              <w:rPr>
                <w:sz w:val="20"/>
                <w:szCs w:val="20"/>
                <w:color w:val="auto"/>
              </w:rPr>
            </w:pPr>
            <w:r>
              <w:rPr>
                <w:rFonts w:ascii="Arial" w:cs="Arial" w:eastAsia="Arial" w:hAnsi="Arial"/>
                <w:sz w:val="18"/>
                <w:szCs w:val="18"/>
                <w:color w:val="auto"/>
                <w:w w:val="92"/>
              </w:rPr>
              <w:t>incentive fees deferred</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less</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 our net realized</w:t>
            </w:r>
          </w:p>
        </w:tc>
        <w:tc>
          <w:tcPr>
            <w:tcW w:w="170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$6.0 million of capital</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capital gains or losses</w:t>
            </w:r>
          </w:p>
        </w:tc>
        <w:tc>
          <w:tcPr>
            <w:tcW w:w="170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gains fee paid in</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during Year 3)</w:t>
            </w:r>
          </w:p>
        </w:tc>
        <w:tc>
          <w:tcPr>
            <w:tcW w:w="1700" w:type="dxa"/>
            <w:vAlign w:val="bottom"/>
          </w:tcPr>
          <w:p>
            <w:pPr>
              <w:spacing w:after="0"/>
              <w:rPr>
                <w:sz w:val="17"/>
                <w:szCs w:val="17"/>
                <w:color w:val="auto"/>
              </w:rPr>
            </w:pPr>
          </w:p>
        </w:tc>
      </w:tr>
      <w:tr>
        <w:trPr>
          <w:trHeight w:val="223"/>
        </w:trPr>
        <w:tc>
          <w:tcPr>
            <w:tcW w:w="192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90"/>
        </w:trPr>
        <w:tc>
          <w:tcPr>
            <w:tcW w:w="1920" w:type="dxa"/>
            <w:vAlign w:val="bottom"/>
            <w:gridSpan w:val="2"/>
          </w:tcPr>
          <w:p>
            <w:pPr>
              <w:spacing w:after="0"/>
              <w:rPr>
                <w:sz w:val="20"/>
                <w:szCs w:val="20"/>
                <w:color w:val="auto"/>
              </w:rPr>
            </w:pPr>
            <w:r>
              <w:rPr>
                <w:rFonts w:ascii="Arial" w:cs="Arial" w:eastAsia="Arial" w:hAnsi="Arial"/>
                <w:sz w:val="18"/>
                <w:szCs w:val="18"/>
                <w:color w:val="auto"/>
              </w:rPr>
              <w:t>$0.2 million (20% of</w:t>
            </w:r>
          </w:p>
        </w:tc>
        <w:tc>
          <w:tcPr>
            <w:tcW w:w="1920" w:type="dxa"/>
            <w:vAlign w:val="bottom"/>
            <w:gridSpan w:val="2"/>
          </w:tcPr>
          <w:p>
            <w:pPr>
              <w:spacing w:after="0"/>
              <w:rPr>
                <w:sz w:val="20"/>
                <w:szCs w:val="20"/>
                <w:color w:val="auto"/>
              </w:rPr>
            </w:pPr>
            <w:r>
              <w:rPr>
                <w:rFonts w:ascii="Arial" w:cs="Arial" w:eastAsia="Arial" w:hAnsi="Arial"/>
                <w:sz w:val="18"/>
                <w:szCs w:val="18"/>
                <w:color w:val="auto"/>
              </w:rPr>
              <w:t>$8.2 million</w:t>
            </w:r>
          </w:p>
        </w:tc>
        <w:tc>
          <w:tcPr>
            <w:tcW w:w="1700" w:type="dxa"/>
            <w:vAlign w:val="bottom"/>
          </w:tcPr>
          <w:p>
            <w:pPr>
              <w:spacing w:after="0"/>
              <w:rPr>
                <w:sz w:val="20"/>
                <w:szCs w:val="20"/>
                <w:color w:val="auto"/>
              </w:rPr>
            </w:pPr>
            <w:r>
              <w:rPr>
                <w:rFonts w:ascii="Arial" w:cs="Arial" w:eastAsia="Arial" w:hAnsi="Arial"/>
                <w:sz w:val="18"/>
                <w:szCs w:val="18"/>
                <w:color w:val="auto"/>
              </w:rPr>
              <w:t>Incentive fees of</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cumulative net capital</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$9.2 million paid</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gains of $31.0 million</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($8.2 million of</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($36.0 million</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w w:val="93"/>
              </w:rPr>
              <w:t>incentive fees accrued</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cumulative realized</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in Year 4 plus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capital gains less</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$1.0 million of</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$5.0 million</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deferred incentive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cumulative unrealized</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fees); no incentive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capital depreciation)</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fees deferred</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less $6.0 million of</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capital gains fee paid</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3"/>
        </w:trPr>
        <w:tc>
          <w:tcPr>
            <w:tcW w:w="1920" w:type="dxa"/>
            <w:vAlign w:val="bottom"/>
            <w:gridSpan w:val="2"/>
          </w:tcPr>
          <w:p>
            <w:pPr>
              <w:spacing w:after="0"/>
              <w:rPr>
                <w:sz w:val="20"/>
                <w:szCs w:val="20"/>
                <w:color w:val="auto"/>
              </w:rPr>
            </w:pPr>
            <w:r>
              <w:rPr>
                <w:rFonts w:ascii="Arial" w:cs="Arial" w:eastAsia="Arial" w:hAnsi="Arial"/>
                <w:sz w:val="18"/>
                <w:szCs w:val="18"/>
                <w:color w:val="auto"/>
              </w:rPr>
              <w:t>in Year 2)</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3440" w:space="480"/>
            <w:col w:w="595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44"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The investment team of our Investment Advisor and their respective staffs, when and to the extent engaged in providing investment advisory and management services, and the compensation and routine overhead expenses of such personnel allocable to such services, are provided and paid for by the Investment Advisor. We bear all other costs and expenses of our operations and transactions, including (without limitation):</w:t>
      </w:r>
    </w:p>
    <w:p>
      <w:pPr>
        <w:spacing w:after="0" w:line="81"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cost of calculating our net asset value, including the cost of any third-party valuation services;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03"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03"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and other applicable federal and state securities laws, and ongoing stock exchange listing fees;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03"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jc w:val="both"/>
        <w:ind w:left="1800" w:right="419" w:hanging="180"/>
        <w:spacing w:after="0" w:line="254"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44"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The Investment Advisory Agreement was most recently re-approved by the Board, including by a majority of our directors who are not “interested persons” of any such party, as such term is defined in Section 2(a)(19) of the 1940 Act (the “independent directors”), at a meeting on July 30, 2020. The Board’s consideration for re-approval of the Investment Advisory Agreement will be included in our definitive proxy statement filed for our 2021 meeting of stockholders. Unless earlier terminated as described below, the Investment Advisory Agreement will remain in effect from year to year if approved annually by our Board or by the affirmative vote of the holders of a majority of our outstanding voting securities, including, in either case, approval by a majority of our independent directors. The Investment Advisory Agreement will automatically terminate in the event of its assignment. The Investment Advisory Agreement may also be terminated by either party without penalty upon not less than 60 days’ written notice to the other party. See “Risk Factors — Risks Relating to Our Business and Structure — Capitala Investment Advisors has the right to resign on 60 days’</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308" w:lineRule="auto"/>
        <w:rPr>
          <w:sz w:val="20"/>
          <w:szCs w:val="20"/>
          <w:color w:val="auto"/>
        </w:rPr>
      </w:pPr>
      <w:r>
        <w:rPr>
          <w:rFonts w:ascii="Arial" w:cs="Arial" w:eastAsia="Arial" w:hAnsi="Arial"/>
          <w:sz w:val="17"/>
          <w:szCs w:val="17"/>
          <w:color w:val="auto"/>
        </w:rPr>
        <w:t>notice and we may not be able to find a suitable replacement within such time, resulting in a disruption in our operations that could adversely affect our financial condition, business and results of operations.”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44"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The Investment Advisory Agreement provides that, absent willful misfeasance, bad faith or gross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the Investment Advisor’s services under the Investment Advisory Agreement or otherwise as an investment adviser of Capitala Finance.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Organization of the Investment Advisor</w:t>
      </w:r>
    </w:p>
    <w:p>
      <w:pPr>
        <w:spacing w:after="0" w:line="158" w:lineRule="exact"/>
        <w:rPr>
          <w:sz w:val="20"/>
          <w:szCs w:val="20"/>
          <w:color w:val="auto"/>
        </w:rPr>
      </w:pPr>
    </w:p>
    <w:p>
      <w:pPr>
        <w:jc w:val="both"/>
        <w:ind w:left="1260" w:right="419" w:firstLine="360"/>
        <w:spacing w:after="0" w:line="308" w:lineRule="auto"/>
        <w:rPr>
          <w:sz w:val="20"/>
          <w:szCs w:val="20"/>
          <w:color w:val="auto"/>
        </w:rPr>
      </w:pPr>
      <w:r>
        <w:rPr>
          <w:rFonts w:ascii="Arial" w:cs="Arial" w:eastAsia="Arial" w:hAnsi="Arial"/>
          <w:sz w:val="17"/>
          <w:szCs w:val="17"/>
          <w:color w:val="auto"/>
        </w:rPr>
        <w:t>The Investment Advisor is a Delaware limited liability company. The principal executive offices of the Investment Advisor are located at 4201 Congress Street, Suite 360, Charlotte, North Carolina 28209.</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Administration Agreement</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Arial" w:cs="Arial" w:eastAsia="Arial" w:hAnsi="Arial"/>
          <w:sz w:val="17"/>
          <w:szCs w:val="17"/>
          <w:color w:val="auto"/>
        </w:rPr>
        <w:t>The Administration Agreement was initially approved by the Board on June 10, 2013 (the “Administration Agreement”), and signed on September 24, 2013. The principal executive offices of our Administrator are located at 4201 Congress Street, Suite 360, Charlotte, North Carolina 28209. The Administrator, pursuant to a sub-administration agreement, has engaged U.S. Bank Global Fund Services to act on behalf of the Administrator in its performance of certain administrative services for us. The principal office of U.S. Bank Global Fund Services is 777 East Wisconsin Avenue, Milwaukee, Wisconsin 53202.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July 30, 2020, the Board approved the renewal of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334"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Our Administrator also provides administrative services to our Investment Advisor. As a result, the Investment Advisor will also reimburse our Administrator for its allocable portion of our Administrator’s overhead, including rent, the fees and expenses associated with performing compliance functions for the Investment Advisor, and its allocable portion of the compensation of any administrative support staff.</w:t>
      </w:r>
    </w:p>
    <w:p>
      <w:pPr>
        <w:spacing w:after="0" w:line="104"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the rendering of our Administrator’s services under the Administration Agreement or otherwise as administrator for Capitala Finance.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License Agreement</w:t>
      </w:r>
    </w:p>
    <w:p>
      <w:pPr>
        <w:spacing w:after="0" w:line="14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 Under this agreement, we have a right to use the Capitala name for so long as the Investment Advisory Agreement with the Investment Advisor is in effect. Other than with respect to this limited license, we will have no legal right to the “Capitala” name.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Staffing</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Capitala Finance has no employees. Mr. Alala, through his financial interests in the Investment Advisor, will be entitled to a portion of any investment advisory fees paid by Capitala Finance to the Investment Advisor. Our other executive officers are employees of our Administrator and perform their functions under the terms of our Administration Agreement.</w:t>
      </w:r>
    </w:p>
    <w:p>
      <w:pPr>
        <w:spacing w:after="0" w:line="119"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Our day-to-day investment operations are managed by the Investment Advisor. The Investment Advisor’s investment team currently consists of the members of its investment committee, Messrs. Alala, McGlinn and Broyhill, and a team of eighteen additional investment professionals. The Investment Advisor may hire additional investment professionals, based upon its needs, in the future. See “— Investment Advisory Agreement.”</w:t>
      </w:r>
    </w:p>
    <w:p>
      <w:pPr>
        <w:spacing w:after="0" w:line="107"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addition, we reimburse our Administrator for our allocable portion of overhead and other expenses incurred by it in performing its obligations under the Administration Agreement, including rent, the fees and expenses associated with performing compliance functions, and the compensation of our chief financial officer, chief compliance officer, and their respective administrative support staff. See “— Administration Agreement.”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VALUATION PROCESS AND DETERMINATION OF NET ASSET VALUE</w:t>
      </w:r>
    </w:p>
    <w:p>
      <w:pPr>
        <w:spacing w:after="0" w:line="162"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We determine the net asset value of our investment portfolio each quarter by subtracting our total liabilities from the fair value of our gross assets.</w:t>
      </w:r>
    </w:p>
    <w:p>
      <w:pPr>
        <w:spacing w:after="0" w:line="103"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We conduct the valuation of our assets, pursuant to which our net asset value shall be determined, at all times consistent with U.S. generally accepted accounting principles (“U.S. GAAP”) and the 1940 Act. Our valuation procedures are set forth in more detail below:</w:t>
      </w:r>
    </w:p>
    <w:p>
      <w:pPr>
        <w:spacing w:after="0" w:line="103"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determine whether the quote obtained is sufficient according to U.S. GAAP to determine the fair value of the security. If determined adequate, we use the quote obtained.</w:t>
      </w:r>
    </w:p>
    <w:p>
      <w:pPr>
        <w:spacing w:after="0" w:line="120" w:lineRule="exact"/>
        <w:rPr>
          <w:sz w:val="20"/>
          <w:szCs w:val="20"/>
          <w:color w:val="auto"/>
        </w:rPr>
      </w:pPr>
    </w:p>
    <w:p>
      <w:pPr>
        <w:jc w:val="both"/>
        <w:ind w:left="1260" w:right="419" w:firstLine="360"/>
        <w:spacing w:after="0" w:line="26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our Investment Advisor or the Board, does not represent fair value, which we expect will represent a substantial majority of the investments in our portfolio, shall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w:t>
      </w:r>
    </w:p>
    <w:p>
      <w:pPr>
        <w:spacing w:after="0" w:line="8" w:lineRule="exact"/>
        <w:rPr>
          <w:sz w:val="20"/>
          <w:szCs w:val="20"/>
          <w:color w:val="auto"/>
        </w:rPr>
      </w:pPr>
    </w:p>
    <w:p>
      <w:pPr>
        <w:ind w:left="1520" w:hanging="260"/>
        <w:spacing w:after="0"/>
        <w:tabs>
          <w:tab w:leader="none" w:pos="1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have a value as of the previous quarter of less than 1.0% of our gross assets as of the previous quarter, or</w:t>
      </w:r>
    </w:p>
    <w:p>
      <w:pPr>
        <w:spacing w:after="0" w:line="32" w:lineRule="exact"/>
        <w:rPr>
          <w:rFonts w:ascii="Arial" w:cs="Arial" w:eastAsia="Arial" w:hAnsi="Arial"/>
          <w:sz w:val="16"/>
          <w:szCs w:val="16"/>
          <w:color w:val="auto"/>
        </w:rPr>
      </w:pPr>
    </w:p>
    <w:p>
      <w:pPr>
        <w:jc w:val="both"/>
        <w:ind w:left="1260" w:right="419"/>
        <w:spacing w:after="0" w:line="255" w:lineRule="auto"/>
        <w:tabs>
          <w:tab w:leader="none" w:pos="15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a value as of the current quarter of less than 1.0% of our gross assets as of the previous quarter, after taking into account any repayment of principal during the current quarter); and (iv) the Board will discuss valuations and determine</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the fair value of each investment in our portfolio in good faith based on the input of the Investment Advisor and, where appropriate, the respective third-party valuation firms.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recommendation of fair value will generally be based on the following factors, as relevant:</w:t>
      </w:r>
    </w:p>
    <w:p>
      <w:pPr>
        <w:spacing w:after="0" w:line="131"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portfolio company’s ability to make payments;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portfolio company’s earnings and discounted cash flow;</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markets in which the issuer does business;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comparisons to publicly traded securities.</w:t>
      </w:r>
    </w:p>
    <w:p>
      <w:pPr>
        <w:spacing w:after="0" w:line="15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Securities for which market quotations are not readily available or for which a pricing source is not sufficient may include, but are not limited to, the following:</w:t>
      </w:r>
    </w:p>
    <w:p>
      <w:pPr>
        <w:spacing w:after="0" w:line="62"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private placements and restricted securities that do not have an active trading market;</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securities whose trading has been suspended or for which market quotes are no longer available;</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securities that have recently gone into default and for which there is no current market;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whose prices are stale;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affected by significant events;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that the Investment Advisor believes were priced incorrectly.</w:t>
      </w:r>
    </w:p>
    <w:p>
      <w:pPr>
        <w:spacing w:after="0" w:line="15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Determination of fair value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 In addition, the SBA has established certain valuation guidelines for SBICs to follow when valuing portfolio investments.</w:t>
      </w:r>
    </w:p>
    <w:p>
      <w:pPr>
        <w:spacing w:after="0" w:line="120"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In making the good faith determination of the value of these securities, we start with the cost basis of the security, which includes the amortized original issue discount and PIK interest or dividends, if any. We prepare the valuations of our investments in portfolio companies using the most recent portfolio company financial statements and forecasts. We also consult updates that we receive from senior management members at portfolio companies, whether solicited for valuation purposes, or received in the ordinary course of our portfolio monitoring or due diligence process. These updates include information such as industry trends, new product development or service offerings and other operational or strategic issues.</w:t>
      </w:r>
    </w:p>
    <w:p>
      <w:pPr>
        <w:spacing w:after="0" w:line="96"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For debt securities that are not publicly traded or for which there is no market, we begin with our investment rating of the security as described above. Using this investment rating, we seek to determine the value of the security as if we intended to sell the security in a current sale. The factors that may be taken into account in arriving at fair value include the following, as applicable: the portfolio company’s ability to service its interest and principal payment obligations, its estimated earnings and projected discounted cash flows, the nature and realizable value of any collateral, the financial environment in which the portfolio company operates, comparisons to securities of similar publicly traded companies, statistical ratios compared to lending standards and to other similarly situated securities, and other relevant factors.</w:t>
      </w:r>
    </w:p>
    <w:p>
      <w:pPr>
        <w:spacing w:after="0" w:line="111"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As part of the valuation process, the audit committee reviews the preliminary evaluations prepared by the independent valuation firm engaged by the Board, as well as management’s valuation recommendations. Management and the independent valuation firm respond to the preliminary evaluation to reflect comments provided by the audit committee. The audit committee reviews the final valuation report and management’s valuation recommendations and makes a recommendation to the Board based on its analysis of the methodologies employed and the various weights that should be accorded to each portion of the valuation as well as factors that the independent valuation firm and management may not have considered in their evaluation process. The Board then evaluates the audit committee recommendations and undertakes a similar analysis to determine the fair value of each investment in the portfolio in good faith.</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 Additionally, changes in the market environment and other events that may occur over the life of the investments may cause the gains or losses ultimately realized on these investments to differ from the valuations assigned at any time. For a discussion of the risks inherent in determining the fair value of securities for which readily available market values do not exist, see “Risk Factors.”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48"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shares of our common stock at the time at which the sale is made. Our Board, or an authorized committee thereof, will consider the following factors, among others, in making such a determination:</w:t>
      </w:r>
    </w:p>
    <w:p>
      <w:pPr>
        <w:spacing w:after="0" w:line="81" w:lineRule="exact"/>
        <w:rPr>
          <w:sz w:val="20"/>
          <w:szCs w:val="20"/>
          <w:color w:val="auto"/>
        </w:rPr>
      </w:pPr>
    </w:p>
    <w:p>
      <w:pPr>
        <w:ind w:left="1800" w:right="41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net asset value of shares of our common stock disclosed in the most recent periodic report that we filed with the SEC;</w:t>
      </w:r>
    </w:p>
    <w:p>
      <w:pPr>
        <w:spacing w:after="0" w:line="62" w:lineRule="exact"/>
        <w:rPr>
          <w:rFonts w:ascii="Arial" w:cs="Arial" w:eastAsia="Arial" w:hAnsi="Arial"/>
          <w:sz w:val="18"/>
          <w:szCs w:val="18"/>
          <w:color w:val="auto"/>
        </w:rPr>
      </w:pPr>
    </w:p>
    <w:p>
      <w:pPr>
        <w:jc w:val="both"/>
        <w:ind w:left="1800" w:right="419" w:hanging="180"/>
        <w:spacing w:after="0" w:line="25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shares of our common stock has occurred (including through the realization of gains on the sale of our portfolio securities) during the period beginning on the date of the most recently disclosed net asset value of shares of our common stock and ending as of a time within 48 hours (excluding Sundays and holidays) of the sale of shares of our common stock; and</w:t>
      </w:r>
    </w:p>
    <w:p>
      <w:pPr>
        <w:spacing w:after="0" w:line="66" w:lineRule="exact"/>
        <w:rPr>
          <w:rFonts w:ascii="Arial" w:cs="Arial" w:eastAsia="Arial" w:hAnsi="Arial"/>
          <w:sz w:val="18"/>
          <w:szCs w:val="18"/>
          <w:color w:val="auto"/>
        </w:rPr>
      </w:pPr>
    </w:p>
    <w:p>
      <w:pPr>
        <w:jc w:val="both"/>
        <w:ind w:left="1800" w:right="419" w:hanging="180"/>
        <w:spacing w:after="0" w:line="254"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(as of a time within 48 hours, excluding Sundays and holidays) net asset value of shares of our common stock, which is based upon the net asset value of shares of our common stock disclosed in the most recent periodic report that we filed with the SEC, as adjusted to reflect our management’s assessment of any material change in the net asset value of shares of our common stock since the date of the most recently disclosed net asset value of shares of our common stock, and (ii) the offering price of the shares of our common stock in the proposed offering.</w:t>
      </w:r>
    </w:p>
    <w:p>
      <w:pPr>
        <w:spacing w:after="0" w:line="124" w:lineRule="exact"/>
        <w:rPr>
          <w:sz w:val="20"/>
          <w:szCs w:val="20"/>
          <w:color w:val="auto"/>
        </w:rPr>
      </w:pPr>
    </w:p>
    <w:p>
      <w:pPr>
        <w:jc w:val="both"/>
        <w:ind w:left="1260" w:right="419" w:firstLine="360"/>
        <w:spacing w:after="0" w:line="250" w:lineRule="auto"/>
        <w:rPr>
          <w:sz w:val="20"/>
          <w:szCs w:val="20"/>
          <w:color w:val="auto"/>
        </w:rPr>
      </w:pPr>
      <w:r>
        <w:rPr>
          <w:rFonts w:ascii="Arial" w:cs="Arial" w:eastAsia="Arial" w:hAnsi="Arial"/>
          <w:sz w:val="17"/>
          <w:szCs w:val="17"/>
          <w:color w:val="auto"/>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w:t>
      </w:r>
    </w:p>
    <w:p>
      <w:pPr>
        <w:spacing w:after="0" w:line="6" w:lineRule="exact"/>
        <w:rPr>
          <w:sz w:val="20"/>
          <w:szCs w:val="20"/>
          <w:color w:val="auto"/>
        </w:rPr>
      </w:pPr>
    </w:p>
    <w:p>
      <w:pPr>
        <w:ind w:left="1260" w:right="419"/>
        <w:spacing w:after="0" w:line="243" w:lineRule="auto"/>
        <w:tabs>
          <w:tab w:leader="none" w:pos="15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above, to comply with such undertaking or to undertake to determine the net asset value per share of our common stock to ensure that such undertaking has not been triggered.</w:t>
      </w:r>
    </w:p>
    <w:p>
      <w:pPr>
        <w:spacing w:after="0" w:line="11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We compete for investments with other BDCs and investment funds (including private equity funds, private credit funds, mezzanine funds and other SBICs), as well as traditional financial services companies such as commercial banks and other sources of funding. Additionally, competition for investment opportunities has emerged among alternative investment vehicles, such as collateralized loan obligations (“CLOs”) and other BDCs, some of which are sponsored by other alternative asset investors, as these entities have begun to focus on making investments in lower middle-market and traditional middle-market companies. As a result of these new entrants, competition for our investment opportunities may intensify. Many of these entities have greater financial and managerial resources than we do. We believe we will be able to compete with</w:t>
      </w:r>
    </w:p>
    <w:p>
      <w:pPr>
        <w:sectPr>
          <w:pgSz w:w="11900" w:h="16838" w:orient="portrait"/>
          <w:cols w:equalWidth="0" w:num="1">
            <w:col w:w="9879"/>
          </w:cols>
          <w:pgMar w:left="580" w:top="131" w:right="1440" w:bottom="1440" w:gutter="0" w:footer="0" w:header="0"/>
        </w:sect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these entities primarily on the basis of our experience and reputation, our willingness to make smaller investments than other specialty finance companies, the contacts and relationships of our Investment Advisor, our responsive and efficient investment analysis and decision-making processes, and the investment terms we offer.</w:t>
      </w:r>
    </w:p>
    <w:p>
      <w:pPr>
        <w:spacing w:after="0" w:line="107"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We believe that certain of our competitors may make first lien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ELECTION TO BE TAXED AS A RIC</w:t>
      </w:r>
    </w:p>
    <w:p>
      <w:pPr>
        <w:spacing w:after="0" w:line="162"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As a BDC, the Company has elected to be treated, and intends to comply with the requirements to continue to qualify annually, as a RIC under subchapter M of the Code. As a RIC, we generally will not have to pay corporate-level U.S. federal income taxes on any income that we timely distribute to our stockholders as dividends.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AS A RIC</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any taxable year in which we:</w:t>
      </w:r>
    </w:p>
    <w:p>
      <w:pPr>
        <w:spacing w:after="0" w:line="117"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4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we generally will not be subject to U.S. federal income tax on the portion of our income we timely distribute to stockholders. We will be subject to U.S. federal income tax at the regular corporate rates on any income or capital gains not distributed to our stockholders.</w:t>
      </w:r>
    </w:p>
    <w:p>
      <w:pPr>
        <w:spacing w:after="0" w:line="116"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ordinary and capital gain net income that we recognized in preceding years, but were not distributed during such years, and on which we paid no corporate-level U.S. federal income tax (the “Excise Tax Distribution Requirement”).</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117" w:lineRule="exact"/>
        <w:rPr>
          <w:sz w:val="20"/>
          <w:szCs w:val="20"/>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to qualify as a BDC under the 1940 Act at all times during each taxable year;</w:t>
      </w:r>
    </w:p>
    <w:p>
      <w:pPr>
        <w:spacing w:after="0" w:line="117" w:lineRule="exact"/>
        <w:rPr>
          <w:rFonts w:ascii="Arial" w:cs="Arial" w:eastAsia="Arial" w:hAnsi="Arial"/>
          <w:sz w:val="18"/>
          <w:szCs w:val="18"/>
          <w:color w:val="auto"/>
        </w:rPr>
      </w:pPr>
    </w:p>
    <w:p>
      <w:pPr>
        <w:jc w:val="both"/>
        <w:ind w:left="1800" w:right="419" w:hanging="180"/>
        <w:spacing w:after="0" w:line="25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or other disposition of stock, securities or foreign currencies, net income from certain “qualified publicly traded partnerships,” or other income derived with respect to our business of investing in such stock or securities (the “90% Income Test”); and</w:t>
      </w:r>
    </w:p>
    <w:p>
      <w:pPr>
        <w:spacing w:after="0" w:line="79"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jc w:val="both"/>
        <w:ind w:left="2160" w:right="419" w:hanging="180"/>
        <w:spacing w:after="0" w:line="259" w:lineRule="auto"/>
        <w:tabs>
          <w:tab w:leader="none" w:pos="2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78" w:lineRule="exact"/>
        <w:rPr>
          <w:rFonts w:ascii="Arial" w:cs="Arial" w:eastAsia="Arial" w:hAnsi="Arial"/>
          <w:sz w:val="18"/>
          <w:szCs w:val="18"/>
          <w:color w:val="auto"/>
        </w:rPr>
      </w:pPr>
    </w:p>
    <w:p>
      <w:pPr>
        <w:ind w:left="2160" w:right="419" w:hanging="180"/>
        <w:spacing w:after="0" w:line="308" w:lineRule="auto"/>
        <w:tabs>
          <w:tab w:leader="none" w:pos="21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of two or more issuers that are</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160" w:right="419"/>
        <w:spacing w:after="0" w:line="263" w:lineRule="auto"/>
        <w:rPr>
          <w:sz w:val="20"/>
          <w:szCs w:val="20"/>
          <w:color w:val="auto"/>
        </w:rPr>
      </w:pPr>
      <w:r>
        <w:rPr>
          <w:rFonts w:ascii="Arial" w:cs="Arial" w:eastAsia="Arial" w:hAnsi="Arial"/>
          <w:sz w:val="18"/>
          <w:szCs w:val="18"/>
          <w:color w:val="auto"/>
        </w:rPr>
        <w:t>controlled, as determined under applicable Code rules, by us and that are engaged in the same or similar or related trades or businesses or of certain “qualified publicly traded partnerships” (the “Diversification Tests”).</w:t>
      </w:r>
    </w:p>
    <w:p>
      <w:pPr>
        <w:spacing w:after="0" w:line="103"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Qualified earnings may exclude such income as management fees received in connection with Fund III or other potential outside managed funds and certain other fees.</w:t>
      </w:r>
    </w:p>
    <w:p>
      <w:pPr>
        <w:spacing w:after="0" w:line="103"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In accordance with certain applicable Treasury regulations and other guidance issued by the Internal Revenue Service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other applicable IRS guidance.</w:t>
      </w:r>
    </w:p>
    <w:p>
      <w:pPr>
        <w:spacing w:after="0" w:line="114"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98" w:lineRule="exact"/>
        <w:rPr>
          <w:sz w:val="20"/>
          <w:szCs w:val="20"/>
          <w:color w:val="auto"/>
        </w:rPr>
      </w:pPr>
    </w:p>
    <w:p>
      <w:pPr>
        <w:jc w:val="both"/>
        <w:ind w:left="1260" w:right="419" w:firstLine="360"/>
        <w:spacing w:after="0" w:line="286" w:lineRule="auto"/>
        <w:rPr>
          <w:sz w:val="20"/>
          <w:szCs w:val="20"/>
          <w:color w:val="auto"/>
        </w:rPr>
      </w:pPr>
      <w:r>
        <w:rPr>
          <w:rFonts w:ascii="Arial" w:cs="Arial" w:eastAsia="Arial" w:hAnsi="Arial"/>
          <w:sz w:val="17"/>
          <w:szCs w:val="17"/>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98"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124"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In addition, we will be partially dependent on Fund III for cash distributions to enable us to meet the RIC distribution requirements. Fund III may be limited by the SBIA, and SBA regulations governing SBICs, from making certain distributions to us that may be necessary to maintain our tax treatment as a RIC. We may have to request a waiver of the SBA’s restrictions for Fund III to make certain distributions to maintain our RIC tax treatment. We cannot assure you that the SBA will grant such waiver. If Fund III is unable to obtain a waiver, compliance with the SBA regulations may cause us to fail to qualify for tax treatment as a RIC, which would result in us becoming subject to corporate-level U.S. federal income tax.</w:t>
      </w:r>
    </w:p>
    <w:p>
      <w:pPr>
        <w:spacing w:after="0" w:line="96"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remainder of this discussion assumes that we will qualify as a RIC and have satisfied the Annual Distribution Requirement.</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94"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A RIC is limited in its ability to deduct expenses in excess of its “investment company taxable income” (which is, generally, ordinary income plus net realized short-term capital gains in excess of net realized long- 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U.S. federal income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124"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The U.S.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126"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 In addition, under recently proposed regulations, income required to be included as a result of such an election would not be qualifying income for purposes of the 90% Income Test unless we receive a distribution of such income from the passive foreign investment company in the same taxable year to which the inclusion relates.</w:t>
      </w:r>
    </w:p>
    <w:p>
      <w:pPr>
        <w:spacing w:after="0" w:line="99"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FAILURE TO QUALIFY AS A RIC</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If we were unable to qualify for treatment as a RIC and the foregoing relief provisions are not applicable, we would be subject to U.S. federal income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and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 -received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w:t>
      </w:r>
    </w:p>
    <w:p>
      <w:pPr>
        <w:spacing w:after="0" w:line="148"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A BDC is regulated under the 1940 Act. A BDC must be organized in the U.S. for the purpose of investing in or lending to primarily private companies and making significant managerial assistance available to them. A BDC may use capital provided by public stockholders and from other sources to make long -term, private investments in businesses. A BDC provides stockholders the ability to retain the liquidity of a publicly traded stock while sharing in the possible benefits, if any, of investing in primarily privately owned companies.</w:t>
      </w:r>
    </w:p>
    <w:p>
      <w:pPr>
        <w:spacing w:after="0" w:line="122"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7"/>
          <w:szCs w:val="17"/>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jc w:val="both"/>
        <w:ind w:left="1260" w:right="419"/>
        <w:spacing w:after="0" w:line="238" w:lineRule="auto"/>
        <w:tabs>
          <w:tab w:leader="none" w:pos="15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21"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independent directors.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8"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As a BDC, we are generally required to meet an asset coverage ratio, defined under the 1940 Act as the ratio of our gross assets (less all liabilities and indebtedness not represented by senior securities) to our outstanding senior securities, of at least 150%, if certain conditions are met, after each issuance of senior securities.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were changed from 200% to 150%, effective November 1, 2019.</w:t>
      </w:r>
    </w:p>
    <w:p>
      <w:pPr>
        <w:spacing w:after="0" w:line="12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directors who are not interested persons and, in some cases, prior approval by the SEC. On June 1, 2016, the SEC issued the Order, which permits us and certain of our affiliates to co-invest with one or more other affiliated investment funds, including future affiliated investment funds, where co-investing would otherwise be prohibited under the 1940 Act. Pursuant to the Order, the Company is permitted to co- invest with its affiliates if a “required majority” (as defined in Section 57(o) of the 1940 Act) of the Company’s independent directors make certain conclusions in connection with a</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5" w:lineRule="auto"/>
        <w:rPr>
          <w:sz w:val="20"/>
          <w:szCs w:val="20"/>
          <w:color w:val="auto"/>
        </w:rPr>
      </w:pPr>
      <w:r>
        <w:rPr>
          <w:rFonts w:ascii="Arial" w:cs="Arial" w:eastAsia="Arial" w:hAnsi="Arial"/>
          <w:sz w:val="17"/>
          <w:szCs w:val="17"/>
          <w:color w:val="auto"/>
        </w:rPr>
        <w:t>co-investment transaction, including, but not limited to, that (1) the terms of the potential co-investment transaction, including the consideration to be paid, are reasonable and fair to the Company and its stockholders and do not involve overreaching in respect of the Company or its stockholders on the part of any person concerned, and (2) the potential co-investment transaction is consistent with the interests of the Company’s stockholders and is consistent with its then-current investment objectives and strategies.</w:t>
      </w:r>
    </w:p>
    <w:p>
      <w:pPr>
        <w:spacing w:after="0" w:line="95"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We are generally not permitted to issue and sell shares of our common stock at a price below net asset value per share.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We may, however, sell shares of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shares of our common stock is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58"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Relating to Our Business and Structure.”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QUALIFYING ASSETS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immediately after such acquisition is made, qualifying assets represent at least 70% of the BDC’s gross assets. The principal categories of qualifying assets relevant to our proposed business are the following:</w:t>
      </w:r>
    </w:p>
    <w:p>
      <w:pPr>
        <w:spacing w:after="0" w:line="92" w:lineRule="exact"/>
        <w:rPr>
          <w:sz w:val="20"/>
          <w:szCs w:val="20"/>
          <w:color w:val="auto"/>
        </w:rPr>
      </w:pPr>
    </w:p>
    <w:p>
      <w:pPr>
        <w:ind w:left="1800" w:right="4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the issuer of which is an eligible portfolio company;</w:t>
      </w:r>
    </w:p>
    <w:p>
      <w:pPr>
        <w:spacing w:after="0" w:line="62"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Securities received in exchange for or distributed with respect to securities described in the bullet above or pursuant to the exercise of options, warrants or rights relating to such securities; and</w:t>
      </w:r>
    </w:p>
    <w:p>
      <w:pPr>
        <w:spacing w:after="0" w:line="38" w:lineRule="exact"/>
        <w:rPr>
          <w:rFonts w:ascii="Arial" w:cs="Arial" w:eastAsia="Arial" w:hAnsi="Arial"/>
          <w:sz w:val="17"/>
          <w:szCs w:val="17"/>
          <w:color w:val="auto"/>
        </w:rPr>
      </w:pPr>
    </w:p>
    <w:p>
      <w:pPr>
        <w:ind w:left="1800" w:right="4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cash items, government securities or high quality debt securities (within the meaning of the 1940 Act), maturing in one year or less from the time of investment.</w:t>
      </w:r>
    </w:p>
    <w:p>
      <w:pPr>
        <w:spacing w:after="0" w:line="103"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An eligible portfolio company is generally a domestic company that is not an investment company (other than a SBIC wholly owned by a BDC) and that:</w:t>
      </w:r>
    </w:p>
    <w:p>
      <w:pPr>
        <w:spacing w:after="0" w:line="62" w:lineRule="exact"/>
        <w:rPr>
          <w:sz w:val="20"/>
          <w:szCs w:val="20"/>
          <w:color w:val="auto"/>
        </w:rPr>
      </w:pPr>
    </w:p>
    <w:p>
      <w:pPr>
        <w:ind w:left="1800" w:right="41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have a class of securities with respect to which a broker may extend margin credit at the time the acquisition is made;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controlled by the BDC and has an affiliate of the BDC on its board;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a public company that lists its securities on a national securities exchange with a market capitalization of less than $250 million;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meets such other criteria as may be established by the SEC.</w:t>
      </w:r>
    </w:p>
    <w:p>
      <w:pPr>
        <w:spacing w:after="0" w:line="15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Control, as defined by the 1940 Act, is presumed to exist where a BDC beneficially owns more than 25% of the outstanding voting securities of the portfolio company.</w:t>
      </w:r>
    </w:p>
    <w:p>
      <w:pPr>
        <w:spacing w:after="0" w:line="89"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In addition, a BDC must have been organized and have its principal place of business in the U.S. and must be operated for the purpose of making investments in eligible portfolio companies, or in other securities that are consistent with its purpose as a BDC.</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SIGNIFICANT MANAGERIAL ASSISTANCE TO PORTFOLIO COMPANIES</w:t>
      </w:r>
    </w:p>
    <w:p>
      <w:pPr>
        <w:spacing w:after="0" w:line="148"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BDCs generally must offer to make available to the issuer of the securities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TEMPORARY INVESTMENTS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REPURCHASE AGREEMENTS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Advisor will monitor the creditworthiness of the counterparties with which we enter into repurchase agreement transactions.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SENIOR SECURITIES</w:t>
      </w:r>
    </w:p>
    <w:p>
      <w:pPr>
        <w:spacing w:after="0" w:line="148"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at least equal to 150%, if certain requirements are met,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 xml:space="preserve">We and our Investment Advisor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Our code of ethics is also available on our website at </w:t>
      </w:r>
      <w:r>
        <w:rPr>
          <w:rFonts w:ascii="Arial" w:cs="Arial" w:eastAsia="Arial" w:hAnsi="Arial"/>
          <w:sz w:val="18"/>
          <w:szCs w:val="18"/>
          <w:i w:val="1"/>
          <w:iCs w:val="1"/>
          <w:color w:val="auto"/>
        </w:rPr>
        <w:t>www.Capitalagroup.com</w:t>
      </w:r>
      <w:r>
        <w:rPr>
          <w:rFonts w:ascii="Arial" w:cs="Arial" w:eastAsia="Arial" w:hAnsi="Arial"/>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COMPLIANCE POLICIES AND PROCEDURES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We and our Investment Advisor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Kevin A. Koonts currently serves as our chief compliance officer.</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SARBANES-OXLEY ACT OF 2002</w:t>
      </w:r>
    </w:p>
    <w:p>
      <w:pPr>
        <w:spacing w:after="0" w:line="14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The Sarbanes-Oxley Act of 2002 (the “Sarbanes-Oxley Act”) imposes a wide variety of regulatory requirements on publicly-held companies and their insiders. Many of these requirements affect us. For example:</w:t>
      </w:r>
    </w:p>
    <w:p>
      <w:pPr>
        <w:spacing w:after="0" w:line="89" w:lineRule="exact"/>
        <w:rPr>
          <w:sz w:val="20"/>
          <w:szCs w:val="20"/>
          <w:color w:val="auto"/>
        </w:rPr>
      </w:pPr>
    </w:p>
    <w:p>
      <w:pPr>
        <w:ind w:left="1800" w:right="4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pursuant to Rule 13a-14 of the 1934 Act, our chief executive officer and chief financial officer must certify the accuracy of the financial statements contained in our periodic reports;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pursuant to Rule 13a-15 of the 1934 Act, our management is required to prepare an annual report regarding its assessment of our internal control over financial reporting. As a non-accelerated filer, we are not currently required to obtain an audit of the effectiveness of internal control over financial reporting from our independent registered public accounting firm.</w:t>
      </w:r>
    </w:p>
    <w:p>
      <w:pPr>
        <w:spacing w:after="0" w:line="78" w:lineRule="exact"/>
        <w:rPr>
          <w:rFonts w:ascii="Arial" w:cs="Arial" w:eastAsia="Arial" w:hAnsi="Arial"/>
          <w:sz w:val="18"/>
          <w:szCs w:val="18"/>
          <w:color w:val="auto"/>
        </w:rPr>
      </w:pPr>
    </w:p>
    <w:p>
      <w:pPr>
        <w:jc w:val="both"/>
        <w:ind w:left="1800" w:right="419" w:hanging="180"/>
        <w:spacing w:after="0" w:line="279"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4"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We have delegated our proxy voting responsibility to the Investment Advisor. The proxy voting policies and procedures of the Investment Advisor are set forth below. The guidelines will be reviewed periodically by the Investment Advisor and our non-interested directors, and, accordingly, are subject to change. For purposes of the proxy voting policies and procedures described below, “we,” “our” and “us” refers to the Investment Advisor.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16"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Proxy Policies</w:t>
      </w:r>
    </w:p>
    <w:p>
      <w:pPr>
        <w:spacing w:after="0" w:line="15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07"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44"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Capitala Investment Advisors, LLC, 4201 Congress Street, Suite 360, Charlotte, North Carolina 28209.</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PRIVACY PRINCIPLES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20"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and its affiliates with a legitimate business need for the information. We maintain physical, electronic and procedural safeguards designed to protect the non-public personal information of our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SMALL BUSINESS INVESTMENT COMPANY REGULATIONS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Fund III, which is our wholly owned subsidiary, is licensed to act as an SBIC and is regulated by the SBA. On March 1, 2019, Fund II repaid its outstanding SBA-guaranteed debentures and relinquished its SBIC license. As of December 31, 2020, investments in Fund III accounted for approximately 62.5% of the fair value of our portfolio. As of December 31, 2020, Fund III had $91.0 million of SBA-guaranteed debentures outstanding. Fund III is fully drawn and may not make borrowings in excess of its aggregate $91.0 million of SBA-guaranteed debentures outstanding as of December 31, 2020.</w:t>
      </w:r>
    </w:p>
    <w:p>
      <w:pPr>
        <w:spacing w:after="0" w:line="108"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SBA regulations require, among other things, that a licensed SBIC be examined periodically and audited by an independent auditor to determine the SBIC’s compliance with the relevant SBA regulations. SBA-guaranteed debentures are non-recourse, interest-only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110"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SBICs are designed to stimulate the flow of private equity capital to eligible “small businesses,” as defined by the SBA. Under current SBA regulations, a licensed SBIC may provide capital to those entities that have a tangible net worth not exceeding $19.5 million and an average net income after U.S. federal income taxes not exceeding $6.5 million (average net income to be computed without benefit of any carryover loss) for the two most recent fiscal years. In addition, a licensed SBIC must devote 25.0% of its investment activity to “smaller enterprises” as defined by the SBA. The definition of smaller enterprise generally includes businesses that (together with their affiliates) have a tangible net worth not exceeding $6.0 million and an average annual net income after U.S. federal income taxes not exceeding $2.0 million (average net income to be computed without benefit of any carryover loss) for the two most recent fiscal years. SBA regulations also provide alternative industry size standard criteria to determine eligibility for designation as an eligible small business or smaller enterprise, which depend on the industry in which the business is engaged and are based on the number of employees or gross revenue of the business and its affiliates. SBA regulations permit licensed SBICs to make long-term loans to small businesses, invest in the equity securities of such businesses and provide them with consulting and advisory services.</w:t>
      </w:r>
    </w:p>
    <w:p>
      <w:pPr>
        <w:spacing w:after="0" w:line="121"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The SBA prohibits an SBIC from providing financing to small businesses with certain characteristics, such as relending or businesses with the majority of their employees located outside the United States, and business engaged in certain prohibited industries, such as project finance, real estate, farmland, financial</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intermediaries, or “passive” (i.e. non-operating) businesses. Without prior SBA approval, an SBIC may not invest an amount equal to more than approximately 30.0% of the SBIC’s regulatory capital in any one company and its affiliates. Compliance with SBA requirements may cause Fund III to forego attractive investment opportunities that are not permitted under SBA regulations.</w:t>
      </w:r>
    </w:p>
    <w:p>
      <w:pPr>
        <w:spacing w:after="0" w:line="106"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Further, the SBA regulations require that a licensed SBIC be periodically examined and audited by the SBA to determine its compliance with the relevant SBA regulations. The SBA restricts the ability of an SBIC to provide financing to an “associate” as defined in the SBA regulations, without prior written approval from the SBA. The SBA prohibits, without prior SBA approval, a “change of control” of an SBIC or transfers that would result in any person (or a group of persons acting in concert) owning 10.0% or more of a class of capital stock of a licensed SBIC. If Fund III fails to comply with applicable SBA regulations, the SBA could, depending on the severity of the violation, limit or prohibit Fund III’s use of SBA-guaranteed debentures, declare outstanding SBA-guaranteed debentures immediately due and payable, and/or limit Fund III from making new investments. Such actions by the SBA would, in turn, negatively affect us because Fund III is our wholly owned subsidiary. Fund III was in compliance with the terms of the SBA’s leverage as of December 31, 2020 as a result of having sufficient capital as defined under the SBA regulations.</w:t>
      </w:r>
    </w:p>
    <w:p>
      <w:pPr>
        <w:spacing w:after="0" w:line="133"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maximum leverage available to a “family” of affiliated SBIC funds is $350.0 million, subject to SBA approval. SBA regulations currently limit the amount that a SBIC subsidiary may borrow to a maximum of $175.0 million when it has at least $87.5 million in regulatory capital. Affiliated SBICs are permitted to issue up to a combined maximum amount of $350.0 million when they have at least $175.0 million in regulatory capital. As of December 31, 2020, Fund III had $75.0 million in regulatory capital and $91.0 million in SBA-guaranteed debentures outstanding.</w:t>
      </w:r>
    </w:p>
    <w:p>
      <w:pPr>
        <w:spacing w:after="0" w:line="125"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On June 10, 2014, we received exemptive relief from the SEC to permit us to exclude the SBA-guaranteed debentures from the definition of senior securities in the 150% asset coverage test under the 1940 Act, if certain conditions are met. This provides us with increased flexibility under the 150% asset coverage test, if certain conditions are met, by permitting us to borrow up to $91.0 million more than we would otherwise be able to absent the receipt of this exemptive relief.</w:t>
      </w:r>
    </w:p>
    <w:p>
      <w:pPr>
        <w:spacing w:after="0" w:line="107"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Fund III is subject to regulation and oversight by the SBA, including requirements with respect to maintaining certain minimum financial ratios and other covenants. The SBA, as a creditor, will have a superior claim to Fund III’s assets over our stockholders in the event we liquidate Fund III or the SBA exercises its remedies under the SBA-guaranteed debentures issued by Fund III upon an event of default.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NASDAQ GLOBAL SELECT MARKET REQUIREMENTS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 xml:space="preserve">Our executive offices are located at 4201 Congress Street, Suite 360, Charlotte, NC 28209. We maintain a website located at </w:t>
      </w:r>
      <w:r>
        <w:rPr>
          <w:rFonts w:ascii="Arial" w:cs="Arial" w:eastAsia="Arial" w:hAnsi="Arial"/>
          <w:sz w:val="18"/>
          <w:szCs w:val="18"/>
          <w:i w:val="1"/>
          <w:iCs w:val="1"/>
          <w:color w:val="auto"/>
        </w:rPr>
        <w:t>www.Capitalagroup.com</w:t>
      </w:r>
      <w:r>
        <w:rPr>
          <w:rFonts w:ascii="Arial" w:cs="Arial" w:eastAsia="Arial" w:hAnsi="Arial"/>
          <w:sz w:val="18"/>
          <w:szCs w:val="18"/>
          <w:color w:val="auto"/>
        </w:rPr>
        <w:t xml:space="preserve"> and our phone number is (704) 376-5502. We make available free of charge on our website our proxy statement, annual report on Form 10-K, quarterly reports on Form 10-Q, current reports on Form 8-K, and amendments to those reports as soon as reasonably practical after we file such material with, or furnish to, the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11"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 xml:space="preserve">The SEC also maintains a website that contains reports, proxy and information statements and other information we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i w:val="1"/>
          <w:iCs w:val="1"/>
          <w:color w:val="auto"/>
        </w:rPr>
        <w:t>Investing in our securities involves a number of significant risks. Before you invest in our securities, you should be aware of various risks, including those described below and elsewhere in this Annual Report on Form 10 -K. You should carefully consider these risk factors, together with all of the other information included in this Annual Report on Form 10-K,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securities could decline, and you may lose all or part of your investment. The risk factors described below are the principal risk factors associated with an investment in us as well as those factors generally associated with an investment company with investment objectives, investment policies, capital structure, or trading markets similar to ours.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229" w:lineRule="exact"/>
        <w:rPr>
          <w:sz w:val="20"/>
          <w:szCs w:val="20"/>
          <w:color w:val="auto"/>
        </w:rPr>
      </w:pPr>
    </w:p>
    <w:p>
      <w:pPr>
        <w:jc w:val="both"/>
        <w:ind w:left="1260" w:right="399"/>
        <w:spacing w:after="0" w:line="248" w:lineRule="auto"/>
        <w:rPr>
          <w:sz w:val="20"/>
          <w:szCs w:val="20"/>
          <w:color w:val="auto"/>
        </w:rPr>
      </w:pPr>
      <w:r>
        <w:rPr>
          <w:rFonts w:ascii="Arial" w:cs="Arial" w:eastAsia="Arial" w:hAnsi="Arial"/>
          <w:sz w:val="18"/>
          <w:szCs w:val="18"/>
          <w:b w:val="1"/>
          <w:bCs w:val="1"/>
          <w:i w:val="1"/>
          <w:iCs w:val="1"/>
          <w:color w:val="auto"/>
        </w:rPr>
        <w:t>Our investment portfolio is recorded at fair value, with our Board having final responsibility for overseeing, reviewing and approving, in good faith, its estimate of fair value and, as a result, there may be uncertainty as to the value of our portfolio investments.</w:t>
      </w:r>
    </w:p>
    <w:p>
      <w:pPr>
        <w:spacing w:after="0" w:line="114"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Under the 1940 Act, we are required to carry our portfolio investments at market value or, if there is no readily available market value, at fair value as determined by us, with our Board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our audit committee, and with the oversight, review and approval of our Board.</w:t>
      </w:r>
    </w:p>
    <w:p>
      <w:pPr>
        <w:spacing w:after="0" w:line="108"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The determination of fair value and, consequently, the amount of unrealized gains and losses in our portfolio, are to a certain degree, subjective and dependent on a valuation process approved by our Board.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fair value determinations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financial condition and results of operations depend on our ability to effectively manage and deploy capital.</w:t>
      </w:r>
    </w:p>
    <w:p>
      <w:pPr>
        <w:spacing w:after="0" w:line="179"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our Investment Advisor’s ability to identify, evaluate and monitor, and our ability to finance and invest in, companies that meet our investment criteria.</w:t>
      </w:r>
    </w:p>
    <w:p>
      <w:pPr>
        <w:spacing w:after="0" w:line="114"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Accomplishing our investment objective on a cost -effective basis is largely a function of our Investment Advisor’s handling of the investment process, its ability to provide competent, attentive and efficient services and our access to investments offering acceptable terms. In addition to monitoring the performance of our existing investments, our Investment Advisor’s investment team may also be called upon, from time to time, to provide managerial assistance to some of our portfolio companies as well as other funds that they manage. These demands on their time may distract them or slow our rate of investment. See also “— There are significant potential conflicts of interest that could negatively affect our investment returns.”</w:t>
      </w:r>
    </w:p>
    <w:p>
      <w:pPr>
        <w:spacing w:after="0" w:line="126"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Even if we are able to grow and build upon our investment operations, any failure to manage our growth effectively could have a material adverse effect on our business, financial condition, results of operations and</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7"/>
          <w:szCs w:val="17"/>
          <w:color w:val="auto"/>
        </w:rPr>
        <w:t>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it could negatively impact our ability to make distributions.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depend upon Capitala Investment Advisors’ key personnel for our future success.</w:t>
      </w:r>
    </w:p>
    <w:p>
      <w:pPr>
        <w:spacing w:after="0" w:line="144"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We depend on the diligence, skill and network of business contacts of Joseph B. Alala, III, M. Hunt Broyhill and John F. McGlinn, who serve as the members of the investment committee of the Investment Advisor and lead the Investment Advisor’s investment team. Our success depends on the continued service of these individuals and the other senior investment professionals available to the Investment Advisor. We cannot assure you that unforeseen business, medical, personal or other circumstances would not lead Messrs. Alala, Broyhill or McGlinn or any other such individual to terminate his relationship with us. Additionally, we cannot assure you that a reduction in revenue to the Investment Advisor, including as a result of fee waivers or a decrease in our assets, would not lead to a loss of investment professionals in the future. Such loss of members of the Investment Advisor’s investment committee and other investment professionals could have a material adverse effect on our ability to achieve our investment objective as well as on our financial condition and results of operations. In addition, we can offer no assurance that the Investment Advisor will continue indefinitely as our investment adviser.</w:t>
      </w:r>
    </w:p>
    <w:p>
      <w:pPr>
        <w:spacing w:after="0" w:line="116"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The members of the Investment Advisor’s investment team are and may in the future become affiliated with entities engaged in business activities similar to those intended to be conducted by us and may have conflicts of interest in allocating their time. For example, an affiliate of the Investment Advisor also manages Fund IV and Fund V, which are private investment limited partnerships and CSLC, a private investment vehicle, all of which provide financing solutions to lower middle- market and traditional middle-market companies. Mr. Alala dedicates a significant portion of his time to the activities of Capitala Finance; however, he may become engaged in other business activities that could divert his time and attention in the future.</w:t>
      </w:r>
    </w:p>
    <w:p>
      <w:pPr>
        <w:spacing w:after="0" w:line="194"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We operate in a highly competitive market for investment opportunities, which could reduce returns and result in losses.</w:t>
      </w:r>
    </w:p>
    <w:p>
      <w:pPr>
        <w:spacing w:after="0" w:line="103"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We compete for investments with other BDCs with similar investment strategies, private equity funds with similar investment strategies, venture lending funds, finance companies with venture lending units and banks focused on venture lending. Many of our potential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lower and traditional middle-market companies is underserved by traditional commercial banks and other financing sources. A significant increase in the number and/or the size of our competitors in this target market could force us to accept less attractive investment terms. Furthermore, many of our potential competitors have greater experience operating under, or will not be subject to, the regulatory restrictions that the 1940 Act impose on us as a BDC.</w:t>
      </w:r>
    </w:p>
    <w:p>
      <w:pPr>
        <w:spacing w:after="0" w:line="193" w:lineRule="exact"/>
        <w:rPr>
          <w:sz w:val="20"/>
          <w:szCs w:val="20"/>
          <w:color w:val="auto"/>
        </w:rPr>
      </w:pPr>
    </w:p>
    <w:p>
      <w:pPr>
        <w:jc w:val="both"/>
        <w:ind w:left="1260" w:right="419"/>
        <w:spacing w:after="0" w:line="342" w:lineRule="auto"/>
        <w:rPr>
          <w:sz w:val="20"/>
          <w:szCs w:val="20"/>
          <w:color w:val="auto"/>
        </w:rPr>
      </w:pPr>
      <w:r>
        <w:rPr>
          <w:rFonts w:ascii="Arial" w:cs="Arial" w:eastAsia="Arial" w:hAnsi="Arial"/>
          <w:sz w:val="16"/>
          <w:szCs w:val="16"/>
          <w:b w:val="1"/>
          <w:bCs w:val="1"/>
          <w:i w:val="1"/>
          <w:iCs w:val="1"/>
          <w:color w:val="auto"/>
        </w:rPr>
        <w:t>Any inability of Capitala Investment Advisors to maintain or develop strong referral relationships, or the failure of these relationships to generate investment opportunities, could adversely affect our business.</w:t>
      </w:r>
    </w:p>
    <w:p>
      <w:pPr>
        <w:spacing w:after="0" w:line="43"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We depend upon our Investment Advisor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Advisor fails to maintain such relationships, or to develop new relationships with other sources of investment opportunities, we will not be able to grow our investment portfolio. In addition, individuals with whom our Investment Advisor has relationships are not obligated to provide us</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with investment opportunities, and we can offer no assurance that these relationships will generate investment opportunities for us in the future.</w:t>
      </w:r>
    </w:p>
    <w:p>
      <w:pPr>
        <w:spacing w:after="0" w:line="170"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b w:val="1"/>
          <w:bCs w:val="1"/>
          <w:i w:val="1"/>
          <w:iCs w:val="1"/>
          <w:color w:val="auto"/>
        </w:rPr>
        <w:t>Our success depends on the ability of Capitala Investment Advisors to attract and retain qualified personnel in a competitive environment.</w:t>
      </w:r>
    </w:p>
    <w:p>
      <w:pPr>
        <w:spacing w:after="0" w:line="89"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Our growth requires that the Investment Advisor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the Investment Advisor competes for experienced personnel, including investment funds (such as private equity funds, credit funds and mezzanine funds) and traditional financial services companies, have greater resources than the Investment Advisor has. We cannot assure you that a reduction in revenue to the Investment Advisor, including as a result of fee waivers or a decrease in our assets, would not lead to a loss of investment professionals in the future.</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There are significant potential conflicts of interest that could negatively affect our investment returns.</w:t>
      </w:r>
    </w:p>
    <w:p>
      <w:pPr>
        <w:spacing w:after="0" w:line="181"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members of the Investment Advisor’s investment team also monitor and service other affiliated investment funds. In addition, our executive officers and directors, as well as the current and future members of our Investment Advisor’s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p>
    <w:p>
      <w:pPr>
        <w:spacing w:after="0" w:line="125"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In the course of our investing activities, we pay management and incentive fees to the Investment Advisor and reimburse the Investment Advisor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Advisor will have interests that differ from those of our stockholders, giving rise to a conflict. The Investment Advisor will not be reimbursed for any performance-related compensation for its employees. We have entered into a royalty-free license agreement with our Investment Advisor, pursuant to which the Investment Advisor grants us a non-exclusive royalty-free license to use the name “Capitala.” Under the license agreement, we have the right to use the “Capitala” name for so long as the Investment Advisor or one of its affiliates remains our Investment Advisor. In addition,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chief compliance officer and their respective administrative support staff. These arrangements create conflicts of interest that our Board must monitor.</w:t>
      </w:r>
    </w:p>
    <w:p>
      <w:pPr>
        <w:spacing w:after="0" w:line="101"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In addition, an affiliate of the Investment Advisor also manages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Fund V, a private investment limited partnership, and CSLC, both of which provide financing solutions to lower middle-market and traditional middle-market companies. The Investment Advisor and its affiliates may also manage other funds in the future that may have investment mandates that are similar, in whole or in part to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As a BDC, we are substantially limited in our ability to co-invest in privately negotiated transactions with affiliated funds unless we obtain an exemptive order from the SEC. On June 1, 2016, the SEC issued the Order. Subject to satisfaction of certain conditions to the Order, we and certain of our affiliates are now permitted, together with any future BDCs, registered closed-end funds and certain private funds, each of whose investment adviser is our investment adviser or an investment adviser controlling, controlled by, or under common control with our investment adviser, to co-invest in negotiated investment opportunities where doing so would otherwise be prohibited under the 1940 Act, providing our stockholders with access to a broader array of investment opportunities.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06"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6"/>
          <w:szCs w:val="16"/>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or exemptive relief for such transaction. Our Board will review these procedures on an annual basis.</w:t>
      </w:r>
    </w:p>
    <w:p>
      <w:pPr>
        <w:spacing w:after="0" w:line="16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b w:val="1"/>
          <w:bCs w:val="1"/>
          <w:i w:val="1"/>
          <w:iCs w:val="1"/>
          <w:color w:val="auto"/>
        </w:rPr>
        <w:t>The investment committee and other investment professionals of Capitala Investment Advisors may, from time to time, possess material non-public information about or related to our portfolio companies, limiting our investment discretion.</w:t>
      </w:r>
    </w:p>
    <w:p>
      <w:pPr>
        <w:spacing w:after="0" w:line="101"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Members of our Investment Advisor’s investment committee and other investment professionals of the Investment Advisor may serve as directors of, or in a similar capacity to,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involvement of our interested directors in the valuation process may create conflicts of interest.</w:t>
      </w:r>
    </w:p>
    <w:p>
      <w:pPr>
        <w:spacing w:after="0" w:line="156"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We make many of our portfolio investments in the form of loans and securities that are not publicly traded and for which no market-based price quotation is available. As a result, our Board determines the fair value of these loans and securities in good faith as described in the section titled “Valuation of Investments” in Note 2 to our consolidated financial statements. In connection with that determination, investment professionals from the Investment Advisor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 the ultimate determination of fair value is made by our Board, including our interested directors, and not by such third-party valuation firm. The participation of the Investment Advisor’s investment professionals in our valuation process could result in conflicts of interest as the Investment Advisor’s management fee is based, in part, on the value of our gross assets, and its incentive fees will be based, in part, on realized and unrealized gains and depreciation.</w:t>
      </w:r>
    </w:p>
    <w:p>
      <w:pPr>
        <w:spacing w:after="0" w:line="193" w:lineRule="exact"/>
        <w:rPr>
          <w:sz w:val="20"/>
          <w:szCs w:val="20"/>
          <w:color w:val="auto"/>
        </w:rPr>
      </w:pPr>
    </w:p>
    <w:p>
      <w:pPr>
        <w:jc w:val="both"/>
        <w:ind w:left="1260" w:right="419"/>
        <w:spacing w:after="0" w:line="368" w:lineRule="auto"/>
        <w:rPr>
          <w:sz w:val="20"/>
          <w:szCs w:val="20"/>
          <w:color w:val="auto"/>
        </w:rPr>
      </w:pPr>
      <w:r>
        <w:rPr>
          <w:rFonts w:ascii="Arial" w:cs="Arial" w:eastAsia="Arial" w:hAnsi="Arial"/>
          <w:sz w:val="13"/>
          <w:szCs w:val="13"/>
          <w:b w:val="1"/>
          <w:bCs w:val="1"/>
          <w:i w:val="1"/>
          <w:iCs w:val="1"/>
          <w:color w:val="auto"/>
        </w:rPr>
        <w:t>The terms of the Investment Advisory Agreement with Capitala Investment Advisors and the Administration Agreement with our Administrator were not negotiated on an arm’s length basis and may not be as favorable to us as if they had been negotiated with an unaffiliated third-party, including an incentive fee structure that may induce Capitala Investment Advisors to pursue speculative investments, and to use leverage when it may be unwise to do so.</w:t>
      </w:r>
    </w:p>
    <w:p>
      <w:pPr>
        <w:spacing w:after="0" w:line="15"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The Investment Advisory Agreement and the Administration Agreement were negotiated between related parties. Consequently, their terms, including fees payable to the Investment Advisor and the Administrator, may not be as favorable to us as if they had been negotiated with an unaffiliated third-party.</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The incentive fee payable by us to the Investment Advisor may create an incentive for the Investment Advisor to pursue investments on our behalf that are riskier or more speculative than would be the case in the absence of such compensation arrangement. The incentive fee payable to our Investment Advisor is calculated based on a percentage of our return on invested capital. This may encourage our Investment Advisor to use leverage to increase the return on our investments. Under certain circumstances, the use of leverage may increase the likelihood of default, which would impair the value of our common stock. In addition, our Investment Advisor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Advisor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118"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Although we currently do not anticipate doing so,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Advisor with respect to the assets invested in the securities and instruments of other investment companies. With respect to each of these investments, each of our stockholders will bear his or her share of the management and our Investment Advisor’s incentive fee as well as indirectly bearing the management and performance fees and other expenses of any investment companies in which we invest.</w:t>
      </w:r>
    </w:p>
    <w:p>
      <w:pPr>
        <w:spacing w:after="0" w:line="178" w:lineRule="exact"/>
        <w:rPr>
          <w:sz w:val="20"/>
          <w:szCs w:val="20"/>
          <w:color w:val="auto"/>
        </w:rPr>
      </w:pPr>
    </w:p>
    <w:p>
      <w:pPr>
        <w:jc w:val="both"/>
        <w:ind w:left="1260" w:right="419"/>
        <w:spacing w:after="0" w:line="311" w:lineRule="auto"/>
        <w:rPr>
          <w:sz w:val="20"/>
          <w:szCs w:val="20"/>
          <w:color w:val="auto"/>
        </w:rPr>
      </w:pPr>
      <w:r>
        <w:rPr>
          <w:rFonts w:ascii="Arial" w:cs="Arial" w:eastAsia="Arial" w:hAnsi="Arial"/>
          <w:sz w:val="16"/>
          <w:szCs w:val="16"/>
          <w:b w:val="1"/>
          <w:bCs w:val="1"/>
          <w:i w:val="1"/>
          <w:iCs w:val="1"/>
          <w:color w:val="auto"/>
        </w:rPr>
        <w:t>Capitala Investment Advisors’ liability is limited under the Investment Advisory Agreement, and we have agreed to indemnify Capitala Investment Advisors against certain liabilities, which may lead Capitala Investment Advisors to act in a riskier manner on our behalf than it would when acting for its own account.</w:t>
      </w:r>
    </w:p>
    <w:p>
      <w:pPr>
        <w:spacing w:after="0" w:line="81" w:lineRule="exact"/>
        <w:rPr>
          <w:sz w:val="20"/>
          <w:szCs w:val="20"/>
          <w:color w:val="auto"/>
        </w:rPr>
      </w:pPr>
    </w:p>
    <w:p>
      <w:pPr>
        <w:jc w:val="both"/>
        <w:ind w:left="1260" w:right="419" w:firstLine="360"/>
        <w:spacing w:after="0" w:line="267" w:lineRule="auto"/>
        <w:rPr>
          <w:sz w:val="20"/>
          <w:szCs w:val="20"/>
          <w:color w:val="auto"/>
        </w:rPr>
      </w:pPr>
      <w:r>
        <w:rPr>
          <w:rFonts w:ascii="Arial" w:cs="Arial" w:eastAsia="Arial" w:hAnsi="Arial"/>
          <w:sz w:val="17"/>
          <w:szCs w:val="17"/>
          <w:color w:val="auto"/>
        </w:rPr>
        <w:t>Under the Investment Advisory Agreement, the Investment Advisor has not assumed any responsibility to us other than to render the services called for under that agreement. It is not responsible for any action of our Board in following or declining to follow the Investment Advisor’s advice or recommendations. Under the Investment Advisory Agreement, the Investment Advisor, its officers, members and personnel, and any person controlling or controlled by the Investment Advisor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Advisor owes to us under the Investment Advisory Agreement. In addition, as part of the Investment Advisory Agreement, we have agreed to indemnify the Investment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the Investment Advisor to act in a riskier manner when acting on our behalf than it would when acting for its own account.</w:t>
      </w:r>
    </w:p>
    <w:p>
      <w:pPr>
        <w:spacing w:after="0" w:line="191" w:lineRule="exact"/>
        <w:rPr>
          <w:sz w:val="20"/>
          <w:szCs w:val="20"/>
          <w:color w:val="auto"/>
        </w:rPr>
      </w:pPr>
    </w:p>
    <w:p>
      <w:pPr>
        <w:jc w:val="both"/>
        <w:ind w:left="1260" w:right="419"/>
        <w:spacing w:after="0" w:line="308" w:lineRule="auto"/>
        <w:rPr>
          <w:sz w:val="20"/>
          <w:szCs w:val="20"/>
          <w:color w:val="auto"/>
        </w:rPr>
      </w:pPr>
      <w:r>
        <w:rPr>
          <w:rFonts w:ascii="Arial" w:cs="Arial" w:eastAsia="Arial" w:hAnsi="Arial"/>
          <w:sz w:val="17"/>
          <w:szCs w:val="17"/>
          <w:b w:val="1"/>
          <w:bCs w:val="1"/>
          <w:i w:val="1"/>
          <w:iCs w:val="1"/>
          <w:color w:val="auto"/>
        </w:rPr>
        <w:t>A general increase in interest rates will likely have the effect of making it easier for our Investment Advisor to receive incentive fees, without necessarily resulting in an increase in our net earnings.</w:t>
      </w:r>
    </w:p>
    <w:p>
      <w:pPr>
        <w:spacing w:after="0" w:line="79"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Under the structure of our Investment Advisory Agreement with our Investment Advisor, any general increase in interest rates will likely have the effect of making it easier for our Investment Advisor to meet the quarterly hurdle rate for payment of income incentive fees under the Investment Advisory Agreement without any additional increase in relative performance on the part of our Investment Advisor. In addition, in view of the catch-up provision applicable to income incentive fees under the Investment Advisory Agreement, our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Advisor’s income incentive fee resulting from such a general increase in interest rates.</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399"/>
        <w:spacing w:after="0" w:line="324" w:lineRule="auto"/>
        <w:rPr>
          <w:sz w:val="20"/>
          <w:szCs w:val="20"/>
          <w:color w:val="auto"/>
        </w:rPr>
      </w:pPr>
      <w:r>
        <w:rPr>
          <w:rFonts w:ascii="Arial" w:cs="Arial" w:eastAsia="Arial" w:hAnsi="Arial"/>
          <w:sz w:val="16"/>
          <w:szCs w:val="16"/>
          <w:b w:val="1"/>
          <w:bCs w:val="1"/>
          <w:i w:val="1"/>
          <w:iCs w:val="1"/>
          <w:color w:val="auto"/>
        </w:rPr>
        <w:t>PIK interest payments we receive will increase our assets under management and, as a result, will increase the amount of base management fees and incentive fees payable by us to Capitala Investment Advisors.</w:t>
      </w:r>
    </w:p>
    <w:p>
      <w:pPr>
        <w:spacing w:after="0" w:line="30"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the Investment Advisor is based on the value of our gross assets, the receipt by us of PIK interest will result in an increase in the amount of the base management fee payable by us. In addition, any such increase in a loan balance due to the receipt of PIK interest will cause such loan to accrue interest on the higher loan balance, which will result in an increase in our pre -incentive fee net investment income and, as a result, an increase in incentive fees that are payable by us to the Investment Advisor.</w:t>
      </w:r>
    </w:p>
    <w:p>
      <w:pPr>
        <w:spacing w:after="0" w:line="17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b w:val="1"/>
          <w:bCs w:val="1"/>
          <w:i w:val="1"/>
          <w:iCs w:val="1"/>
          <w:color w:val="auto"/>
        </w:rPr>
        <w:t>Capitala Investment Advisors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87"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Our Investment Advisor has the right, under the Investment Advisory Agreement, to resign at any time on 60 days’ written notice, whether we have found a replacement or not. If our Investment Advisor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78" w:lineRule="exact"/>
        <w:rPr>
          <w:sz w:val="20"/>
          <w:szCs w:val="20"/>
          <w:color w:val="auto"/>
        </w:rPr>
      </w:pPr>
    </w:p>
    <w:p>
      <w:pPr>
        <w:jc w:val="both"/>
        <w:ind w:left="1260" w:right="419"/>
        <w:spacing w:after="0" w:line="324" w:lineRule="auto"/>
        <w:rPr>
          <w:sz w:val="20"/>
          <w:szCs w:val="20"/>
          <w:color w:val="auto"/>
        </w:rPr>
      </w:pPr>
      <w:r>
        <w:rPr>
          <w:rFonts w:ascii="Arial" w:cs="Arial" w:eastAsia="Arial" w:hAnsi="Arial"/>
          <w:sz w:val="16"/>
          <w:szCs w:val="16"/>
          <w:b w:val="1"/>
          <w:bCs w:val="1"/>
          <w:i w:val="1"/>
          <w:iCs w:val="1"/>
          <w:color w:val="auto"/>
        </w:rPr>
        <w:t>Capitala Investment Advisors may not be able to achieve the same or similar returns as those achieved for other funds it currently manages or by its investment team while they were employed at prior positions.</w:t>
      </w:r>
    </w:p>
    <w:p>
      <w:pPr>
        <w:spacing w:after="0" w:line="43"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The Investment Advisor manages other funds and may manage other entities in the future. The track record and achievements of these other entities are not necessarily indicative of future results that will be achieved by the Investment Advisor because these other entities may have investment objectives and strategies that differ from ours. Additionally, although in the past Mr. Alala and other members of our Investment Advisor’s investment team have held senior positions at a number of investment firms, including the Legacy Funds, their track record and achievements are not necessarily indicative of future results that will be achieved by our Investment Advisor. We cannot assure you that we will be able to achieve the results realized by prior vehicles managed by our Investment Advisor’s investment team, including the Legacy Funds.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31"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We have elected to be regulated as a BDC under the 1940 Act. 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72"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87"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We may issue debt securities or preferred stock and/or borrow money from banks or other financial institutions, which we refer to collectively as “senior securities,” up to the maximum amount permitted by the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7"/>
          <w:szCs w:val="17"/>
          <w:color w:val="auto"/>
        </w:rPr>
        <w:t>1940 Act. Under the provisions of the 1940 Act, we are permitted, as a BDC, to issue senior securities in amounts such that our asset coverage ratio, as defined in the 1940 Act, equals at least 150%, if certain conditions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103"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As of December 31, 2020, we had $91.0 million of outstanding SBA-guaranteed debentures, $72.8 million of 6.0% fixed rate notes due May 31, 2022 (the “2022 Notes”) outstanding, $52.1 million of 5.75% fixed rate convertible notes due May 31, 2022 (the “2022 Convertible Notes”) outstanding, and $0.0 outstanding under the KeyBank Credit Facility that provides for borrowings of up to $25.0 million on a revolving basis and may be increased up to $100.0 million in accordance with the terms and in the manner described in the KeyBank Credit Facility. The Order received from the SEC grants us relief from the asset coverage requirements for certain indebtedness issued by Fund II and Fund III as SBICs.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116"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16"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At our 2020 Annual Stockholders Meeting, subject to certain required determinations made by our Board, we asked our stockholders to approve our ability to sell or otherwise issue shares of our common stock, not exceeding 25% of our then outstanding common stock immediately prior to each such offering, at a price below the then current net asset value per share during a period beginning on April 30, 2020 and expiring on April 29, 2021.</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7"/>
          <w:szCs w:val="17"/>
          <w:color w:val="auto"/>
        </w:rPr>
        <w:t>In certain limited circumstances, pursuant to an SEC staff interpretation, we may also issue shares at a price below net asset value in connection with a transferable rights offering so long as: (1) the offer does not discriminate among stockholders; (2) we use our best efforts to ensure an adequate trading market exists for 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181" w:lineRule="exact"/>
        <w:rPr>
          <w:sz w:val="20"/>
          <w:szCs w:val="20"/>
          <w:color w:val="auto"/>
        </w:rPr>
      </w:pPr>
    </w:p>
    <w:p>
      <w:pPr>
        <w:jc w:val="both"/>
        <w:ind w:left="1260" w:right="419"/>
        <w:spacing w:after="0" w:line="322" w:lineRule="auto"/>
        <w:rPr>
          <w:sz w:val="20"/>
          <w:szCs w:val="20"/>
          <w:color w:val="auto"/>
        </w:rPr>
      </w:pPr>
      <w:r>
        <w:rPr>
          <w:rFonts w:ascii="Arial" w:cs="Arial" w:eastAsia="Arial" w:hAnsi="Arial"/>
          <w:sz w:val="15"/>
          <w:szCs w:val="15"/>
          <w:b w:val="1"/>
          <w:bCs w:val="1"/>
          <w:i w:val="1"/>
          <w:iCs w:val="1"/>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62"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use of leverage magnifies the potential for gain or loss on amounts invested and, therefore, increases the risks associated with investing in our securities. In addition to the existing SBA-guaranteed debentures, the 2022 Notes, the 2022 Convertible Notes and the KeyBank Credit Facility,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7"/>
          <w:szCs w:val="17"/>
          <w:color w:val="auto"/>
        </w:rPr>
        <w:t>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Advisor will be payable based on our gross assets, including those assets acquired through the use of leverage, our Investment Advisor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Advisor.</w:t>
      </w:r>
    </w:p>
    <w:p>
      <w:pPr>
        <w:spacing w:after="0" w:line="105"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The KeyBank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tax treatment as a RIC under the Code. Even though our Board has approved a resolution permitting the Company to be subject to a 150% asset coverage ratio, contractual leverage limitations under our existing KeyBank Credit Facility or future borrowings may limit our ability to incur additional indebtedness.</w:t>
      </w:r>
    </w:p>
    <w:p>
      <w:pPr>
        <w:spacing w:after="0" w:line="10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below.</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5180" w:type="dxa"/>
            <w:vAlign w:val="bottom"/>
          </w:tcPr>
          <w:p>
            <w:pPr>
              <w:spacing w:after="0"/>
              <w:rPr>
                <w:sz w:val="20"/>
                <w:szCs w:val="20"/>
                <w:color w:val="auto"/>
              </w:rPr>
            </w:pPr>
            <w:r>
              <w:rPr>
                <w:rFonts w:ascii="Arial" w:cs="Arial" w:eastAsia="Arial" w:hAnsi="Arial"/>
                <w:sz w:val="14"/>
                <w:szCs w:val="14"/>
                <w:b w:val="1"/>
                <w:bCs w:val="1"/>
                <w:color w:val="auto"/>
              </w:rPr>
              <w:t>Assumed Return on Our Portfolio</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 xml:space="preserve"> (net of expenses)</w:t>
            </w:r>
          </w:p>
        </w:tc>
        <w:tc>
          <w:tcPr>
            <w:tcW w:w="220" w:type="dxa"/>
            <w:vAlign w:val="bottom"/>
          </w:tcPr>
          <w:p>
            <w:pPr>
              <w:spacing w:after="0"/>
              <w:rPr>
                <w:sz w:val="21"/>
                <w:szCs w:val="21"/>
                <w:color w:val="auto"/>
              </w:rPr>
            </w:pPr>
          </w:p>
        </w:tc>
        <w:tc>
          <w:tcPr>
            <w:tcW w:w="2180" w:type="dxa"/>
            <w:vAlign w:val="bottom"/>
            <w:gridSpan w:val="7"/>
          </w:tcPr>
          <w:p>
            <w:pPr>
              <w:jc w:val="right"/>
              <w:spacing w:after="0"/>
              <w:rPr>
                <w:sz w:val="20"/>
                <w:szCs w:val="20"/>
                <w:color w:val="auto"/>
              </w:rPr>
            </w:pPr>
            <w:r>
              <w:rPr>
                <w:rFonts w:ascii="Arial" w:cs="Arial" w:eastAsia="Arial" w:hAnsi="Arial"/>
                <w:sz w:val="14"/>
                <w:szCs w:val="14"/>
                <w:b w:val="1"/>
                <w:bCs w:val="1"/>
                <w:color w:val="auto"/>
              </w:rPr>
              <w:t>(10.0)%   (5.0)%   0.0%   5.0%</w:t>
            </w:r>
          </w:p>
        </w:tc>
        <w:tc>
          <w:tcPr>
            <w:tcW w:w="2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10.0%</w:t>
            </w:r>
          </w:p>
        </w:tc>
        <w:tc>
          <w:tcPr>
            <w:tcW w:w="120" w:type="dxa"/>
            <w:vAlign w:val="bottom"/>
          </w:tcPr>
          <w:p>
            <w:pPr>
              <w:spacing w:after="0"/>
              <w:rPr>
                <w:sz w:val="21"/>
                <w:szCs w:val="21"/>
                <w:color w:val="auto"/>
              </w:rPr>
            </w:pPr>
          </w:p>
        </w:tc>
      </w:tr>
      <w:tr>
        <w:trPr>
          <w:trHeight w:val="20"/>
        </w:trPr>
        <w:tc>
          <w:tcPr>
            <w:tcW w:w="5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180" w:type="dxa"/>
            <w:vAlign w:val="bottom"/>
          </w:tcPr>
          <w:p>
            <w:pPr>
              <w:spacing w:after="0"/>
              <w:rPr>
                <w:sz w:val="20"/>
                <w:szCs w:val="20"/>
                <w:color w:val="auto"/>
              </w:rPr>
            </w:pPr>
            <w:r>
              <w:rPr>
                <w:rFonts w:ascii="Arial" w:cs="Arial" w:eastAsia="Arial" w:hAnsi="Arial"/>
                <w:sz w:val="18"/>
                <w:szCs w:val="18"/>
                <w:color w:val="auto"/>
              </w:rPr>
              <w:t>Corresponding net return to common stockholder</w:t>
            </w:r>
          </w:p>
        </w:tc>
        <w:tc>
          <w:tcPr>
            <w:tcW w:w="220" w:type="dxa"/>
            <w:vAlign w:val="bottom"/>
          </w:tcPr>
          <w:p>
            <w:pPr>
              <w:spacing w:after="0"/>
              <w:rPr>
                <w:sz w:val="21"/>
                <w:szCs w:val="21"/>
                <w:color w:val="auto"/>
              </w:rPr>
            </w:pPr>
          </w:p>
        </w:tc>
        <w:tc>
          <w:tcPr>
            <w:tcW w:w="2400" w:type="dxa"/>
            <w:vAlign w:val="bottom"/>
            <w:gridSpan w:val="8"/>
          </w:tcPr>
          <w:p>
            <w:pPr>
              <w:jc w:val="right"/>
              <w:ind w:right="120"/>
              <w:spacing w:after="0"/>
              <w:rPr>
                <w:sz w:val="20"/>
                <w:szCs w:val="20"/>
                <w:color w:val="auto"/>
              </w:rPr>
            </w:pPr>
            <w:r>
              <w:rPr>
                <w:rFonts w:ascii="Arial" w:cs="Arial" w:eastAsia="Arial" w:hAnsi="Arial"/>
                <w:sz w:val="18"/>
                <w:szCs w:val="18"/>
                <w:color w:val="auto"/>
                <w:w w:val="96"/>
              </w:rPr>
              <w:t>(39.5)% (24.5)% (9.4)% 5.6%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jc w:val="both"/>
        <w:ind w:left="1620" w:right="419" w:hanging="360"/>
        <w:spacing w:after="0" w:line="263"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Assumes $328.0 million in total assets, $215.9 million in debt outstanding and $108.9 million in net assets as of December 31, 2020. Assumes an average cost of funds of 4.76% which includes the stated interest rate and the SBA annual charge. Actual interest payments may be different.</w:t>
      </w:r>
    </w:p>
    <w:p>
      <w:pPr>
        <w:spacing w:after="0" w:line="184"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To the extent we borrow money to finance our investments, changes in interest rates will affect our cost of capital and net investment income.</w:t>
      </w:r>
    </w:p>
    <w:p>
      <w:pPr>
        <w:spacing w:after="0" w:line="90"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 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Advisor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193"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b w:val="1"/>
          <w:bCs w:val="1"/>
          <w:i w:val="1"/>
          <w:iCs w:val="1"/>
          <w:color w:val="auto"/>
        </w:rPr>
        <w:t>A disruption in the capital markets and the credit markets could impair our ability to raise capital and negatively affect our business.</w:t>
      </w:r>
    </w:p>
    <w:p>
      <w:pPr>
        <w:spacing w:after="0" w:line="103"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16"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the past, the capital markets and the credit markets have experienced periods of extreme volatility and disruption, including the disruption caused by the COVID-19 pandemic, and accordingly, there has been and may continue to be uncertainty in the financial markets in general. Continuing U.S. debt ceiling and budget deficit concerns, including automatic spending cuts stemming from sequestration, together with signs of</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deteriorating sovereign debt conditions in Europe, have increased the possibility of additional credit-rating downgrades and economic slowdowns, or a recession in the U.S. The impact of this or any further downgrades to the U.S. 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107"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23"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We have fully drawn on our SBA- guaranteed debentures and, absent changes to legislation or regulation, may not make borrowings in excess of their aggregate $91.0 million of SBA-guaranteed debentures outstanding as of December 31, 2020. We also had $72.8 million and $52.1 million, respectively, of the 2022 Notes and 2022 Convertible Notes outstanding as of December 31, 2020. In addition, as of December 31, 2020, we had $0.0 outstanding under the KeyBank Credit Facility that provides for borrowings of up to $25.0 million on a revolving basis and may be increased up to $100.0 million in accordance with the terms and in the manner described in the KeyBank Credit Facility.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122"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our pre-incentive fee net investment income.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Adverse developments in the credit markets may impair our ability to secure debt financing.</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7"/>
          <w:szCs w:val="17"/>
          <w:color w:val="auto"/>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for example as a result of the COVID-19 pandemic, it may be difficult for us to obtain desired financing to finance the growth of our investments on acceptable economic terms, or at all.</w:t>
      </w:r>
    </w:p>
    <w:p>
      <w:pPr>
        <w:spacing w:after="0" w:line="113"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So far, the COVID -19 pandemic has resulted in, and until fully resolved is likely to continue to result in, among other things, increased draws by borrowers on revolving lines of credit and increased requests by borrowers for amendments, modifications and waivers of their credit agreements to avoid default or change payment terms, increased defaults by such borrowers and/or increased difficulty in obtaining refinancing at the maturity dates of their loans. In addition, the duration and effectiveness of responsive measures implemented by governments and central banks cannot be predicted. The commencement, continuation, or cessation of government and central bank policies and economic stimulus programs,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If we are unable to consummate credit facilities on commercially reasonable terms, our liquidity may be reduced significantly. If we are unable to repay amounts outstanding under the KeyBank Credit Facility or any facility we may enter into and are declared in default or are unable to renew or refinance any such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p>
    <w:p>
      <w:pPr>
        <w:spacing w:after="0" w:line="188" w:lineRule="exact"/>
        <w:rPr>
          <w:sz w:val="20"/>
          <w:szCs w:val="20"/>
          <w:color w:val="auto"/>
        </w:rPr>
      </w:pPr>
    </w:p>
    <w:p>
      <w:pPr>
        <w:jc w:val="both"/>
        <w:ind w:left="1260" w:right="399"/>
        <w:spacing w:after="0" w:line="248" w:lineRule="auto"/>
        <w:rPr>
          <w:sz w:val="20"/>
          <w:szCs w:val="20"/>
          <w:color w:val="auto"/>
        </w:rPr>
      </w:pPr>
      <w:r>
        <w:rPr>
          <w:rFonts w:ascii="Arial" w:cs="Arial" w:eastAsia="Arial" w:hAnsi="Arial"/>
          <w:sz w:val="18"/>
          <w:szCs w:val="18"/>
          <w:b w:val="1"/>
          <w:bCs w:val="1"/>
          <w:i w:val="1"/>
          <w:iCs w:val="1"/>
          <w:color w:val="auto"/>
        </w:rPr>
        <w:t>Certain historical data regarding our business, results of operations, financial condition and liquidity does not reflect the impact of the COVID-19 pandemic and related containment measures and therefore does not purport to be representative of our future performance.</w:t>
      </w:r>
    </w:p>
    <w:p>
      <w:pPr>
        <w:spacing w:after="0" w:line="101"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The information included in this Annual Report on Form 10-K and our other reports filed with the SEC includes information regarding our business, results of operations, financial condition and liquidity as of dates and for periods before and during the impact of the COVID-19 pandemic and related containment measures (including quarantines and governmental orders requiring the closure of certain businesses, limiting travel, requiring that individuals stay at home or shelter in place and closing borders). Therefore certain historical information does not reflect the adverse impacts of the COVID-19 pandemic and the related containment measures. Accordingly, investors are cautioned not to unduly rely on such historical information regarding our business, results of operations, financial condition or liquidity, as that data does not reflect the adverse impact of the COVID-19 pandemic and therefore does not purport to be representative of the future results of operations, financial condition, liquidity or other financial or operating results of us, or our business.</w:t>
      </w:r>
    </w:p>
    <w:p>
      <w:pPr>
        <w:spacing w:after="0" w:line="195"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103"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Any such new or changed laws or regulations could have a material adverse effect on our business, and political uncertainty could increase regulatory uncertainty in the near term.</w:t>
      </w:r>
    </w:p>
    <w:p>
      <w:pPr>
        <w:spacing w:after="0" w:line="122"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spacing w:after="0" w:line="110"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123"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On May 24, 2018, the Economic Growth, Regulatory Relief, and Consumer Protection Act was signed into law, which increased from $50 billion to $250 billion the asset threshold for designation of “systemically important financial institutions” or “SIFIs” subject to enhanced prudential standards set by the Federal Reserve Board, staggering application of this change based on the size and risk of the covered bank holding company. On May 30, 2018, the Federal Reserve Board voted to consider changes to the Volcker Rule that would loosen compliance requirements for all banks. The effect of this change and any further rules or regulations are and could be complex and far-reaching, and the change and any future laws or regulations or</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01"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Although we cannot predict the impact, if any, of these changes to our business, they could adversely affect our business, financial condition, operating results and cash flows. Until we know what policy changes are made and how those changes impact business and the business of our competitors over the long term, we will not know if, overall, it will benefit from them or be negatively affected by them.</w:t>
      </w:r>
    </w:p>
    <w:p>
      <w:pPr>
        <w:spacing w:after="0" w:line="105" w:lineRule="exact"/>
        <w:rPr>
          <w:sz w:val="20"/>
          <w:szCs w:val="20"/>
          <w:color w:val="auto"/>
        </w:rPr>
      </w:pPr>
    </w:p>
    <w:p>
      <w:pPr>
        <w:jc w:val="both"/>
        <w:ind w:left="1260" w:right="419" w:firstLine="360"/>
        <w:spacing w:after="0" w:line="250" w:lineRule="auto"/>
        <w:rPr>
          <w:sz w:val="20"/>
          <w:szCs w:val="20"/>
          <w:color w:val="auto"/>
        </w:rPr>
      </w:pPr>
      <w:r>
        <w:rPr>
          <w:rFonts w:ascii="Arial" w:cs="Arial" w:eastAsia="Arial" w:hAnsi="Arial"/>
          <w:sz w:val="17"/>
          <w:szCs w:val="17"/>
          <w:color w:val="auto"/>
        </w:rPr>
        <w:t>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 sovereign debt in certain countries and the financial condition of financial institutions generally. On January 31, 2020, the United Kingdom (the “UK”) ended its membership in the European Union (“Brexit”) . Under the terms of the withdrawal agreement negotiated and agreed between the UK and the European Union, the UK’s departure from the European Union was followed by a transition period (the “Transition Period”), which ran until December 31, 2020 and during which the UK continued to apply European Union law and was treated for all material purposes as if it were still a member of the European Union. On December 24, 2020, the European Union and UK governments signed a trade deal that became provisionally effective on January 1, 2021 and that now governs the relationship between the UK and European Union (the “Trade Agreement”). The Trade Agreement implements significant regulation around trade, transport of goods and travel restrictions between the UK and the European Union. Notwithstanding the foregoing, the longer term economic, legal, political and social implications of Brexit are unclear at this stage and are likely to continue to lead to ongoing political and economic uncertainty and periods of increased volatility in both the UK and in wider European markets for some time. In particular, Brexit could lead to calls for similar referendums in other European jurisdictions, which could cause increased economic volatility in the European and global markets. This mid- to long-term uncertainty could have adverse effects on the economy generally and on our ability to earn attractive returns. In particular, currency volatility could mean that our returns are adversely affected by market movements and could make it more difficult, or more expensive, for us to execute prudent currency hedging policies. Potential decline in the value of the British Pound and/or the Euro against other currencies, along with the potential further downgrading of the UK’s sovereign credit rating, could also have an impact on the performance of certain investments made in the UK or Europe.</w:t>
      </w:r>
    </w:p>
    <w:p>
      <w:pPr>
        <w:spacing w:after="0" w:line="391" w:lineRule="exact"/>
        <w:rPr>
          <w:sz w:val="20"/>
          <w:szCs w:val="20"/>
          <w:color w:val="auto"/>
        </w:rPr>
      </w:pPr>
    </w:p>
    <w:p>
      <w:pPr>
        <w:jc w:val="both"/>
        <w:ind w:left="1260" w:right="419"/>
        <w:spacing w:after="0" w:line="342" w:lineRule="auto"/>
        <w:rPr>
          <w:sz w:val="20"/>
          <w:szCs w:val="20"/>
          <w:color w:val="auto"/>
        </w:rPr>
      </w:pPr>
      <w:r>
        <w:rPr>
          <w:rFonts w:ascii="Arial" w:cs="Arial" w:eastAsia="Arial" w:hAnsi="Arial"/>
          <w:sz w:val="16"/>
          <w:szCs w:val="16"/>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56"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As a result of the November 2020 elections in the United States, the Democratic Party gained control of both the Presidency and the Senate from the Republican Party. Therefore, 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pacing w:after="0" w:line="17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b w:val="1"/>
          <w:bCs w:val="1"/>
          <w:i w:val="1"/>
          <w:iCs w:val="1"/>
          <w:color w:val="auto"/>
        </w:rPr>
        <w:t>Further downgrades of the U.S. credit rating, impending automatic spending cuts, another government shutdown or a failure to raise the statutory debt limit of the United States could negatively impact our liquidity, financial condition and earnings.</w:t>
      </w:r>
    </w:p>
    <w:p>
      <w:pPr>
        <w:spacing w:after="0" w:line="103" w:lineRule="exact"/>
        <w:rPr>
          <w:sz w:val="20"/>
          <w:szCs w:val="20"/>
          <w:color w:val="auto"/>
        </w:rPr>
      </w:pPr>
    </w:p>
    <w:p>
      <w:pPr>
        <w:jc w:val="both"/>
        <w:ind w:left="1260" w:right="419" w:firstLine="360"/>
        <w:spacing w:after="0" w:line="273" w:lineRule="auto"/>
        <w:rPr>
          <w:sz w:val="20"/>
          <w:szCs w:val="20"/>
          <w:color w:val="auto"/>
        </w:rPr>
      </w:pPr>
      <w:r>
        <w:rPr>
          <w:rFonts w:ascii="Arial" w:cs="Arial" w:eastAsia="Arial" w:hAnsi="Arial"/>
          <w:sz w:val="17"/>
          <w:szCs w:val="17"/>
          <w:color w:val="auto"/>
        </w:rPr>
        <w:t>The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a suspension of the federal debt ceiling in August 2019, ratings agencies have lowered or threatened to lower the longterm sovereign credit rating on the United States. Further, the federal debt ceiling is scheduled to come back into effect on August 1, 2021, unless Congress takes legislative action to further extend or defer it.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The impact of this or any further downgrades to the U.S. government’s sovereign credit rating or its perceived credit 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44"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194"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 the effects of which may be adverse.</w:t>
      </w:r>
    </w:p>
    <w:p>
      <w:pPr>
        <w:spacing w:after="0" w:line="103"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Our Board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192"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qualify or maintain our RIC tax treatment under the Code.</w:t>
      </w:r>
    </w:p>
    <w:p>
      <w:pPr>
        <w:spacing w:after="0" w:line="103"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Although we have elected to be treated as a RIC beginning with our taxable year ended August 31, 2014, no assurance can be given that we will be able to continue to qualify for and maintain our RIC tax treatment under the Code. To continue to maintain our RIC tax treatment under the Code, we must meet the following source-of-asset diversification, and distribution requirements.</w:t>
      </w:r>
    </w:p>
    <w:p>
      <w:pPr>
        <w:spacing w:after="0" w:line="106"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The income source requirement will be satisfied if we obtain at least 90% of our income for each year from dividends, interest, gains from the sale or other disposition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RIC tax treatment under the Code. Because most of our investments will be in private companies, and therefore will be relatively illiquid, any such dispositions could be made at disadvantageous prices and could result in substantial losses.</w:t>
      </w:r>
    </w:p>
    <w:p>
      <w:pPr>
        <w:spacing w:after="0" w:line="110"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annual distribution requirement for a RIC will be satisfied if we distribute to our stockholders on an annual basis at least 90% of our net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 under the Code.</w:t>
      </w:r>
    </w:p>
    <w:p>
      <w:pPr>
        <w:spacing w:after="0" w:line="127"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If we fail to qualify for tax treatment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Legislative or other actions relating to taxes could have a negative effect on us.</w:t>
      </w:r>
    </w:p>
    <w:p>
      <w:pPr>
        <w:spacing w:after="0" w:line="144"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7"/>
          <w:szCs w:val="17"/>
          <w:color w:val="auto"/>
        </w:rPr>
        <w:t>The rules dealing with U.S. federal income taxation are constantly under review by persons involved in the legislative process and by the IRS and the U.S. Treasury Department.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developmentsand proposals and their potential effect on an investment in our securities.</w:t>
      </w:r>
    </w:p>
    <w:p>
      <w:pPr>
        <w:spacing w:after="0" w:line="180"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14"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Due to the COVID -19 pandemic or other disruptions in the economy, we may not be able to increase our dividends and may reduce or defer our dividends and choose to incur US federal excise tax in order preserve cash and maintain flexibility.</w:t>
      </w:r>
    </w:p>
    <w:p>
      <w:pPr>
        <w:spacing w:after="0" w:line="114"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90.0% of our investment company taxable income (i.e., net ordinary income plus realized net short- term capital gains in excess of realized net long- term capital losses). If we qualify for taxation as a RIC, we generally will not be subject to corporate-level U.S. federal income tax on our investment company taxable income and net capital gains (i.e., realized net long-term capital gains in excess of realized net short -term capital losses) that we timely distribute to shareholders. We will be subject to a non-deductible 4.0%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income that we recognized for preceding years, but were not distributed during such years, and on which we paid no U.S. federal income tax.</w:t>
      </w:r>
    </w:p>
    <w:p>
      <w:pPr>
        <w:spacing w:after="0" w:line="99"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4.0% U.S. federal excise tax on some or all of the distribution.</w:t>
      </w:r>
    </w:p>
    <w:p>
      <w:pPr>
        <w:spacing w:after="0" w:line="12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make distributions due to the impact of the COVID-19 pandemic on our net investment income. In addition, we may reduce our dividends and/or defer our dividends to the following taxable year. If we defer our dividends, we may choose to utilize the spillover dividend rules discussed above and incur the 4.0% U.S. federal excise tax on such amounts. To further preserve cash, we may combine these reductions or deferrals of dividends with one or more distributions that are payable partially in our common stock as discussed below under “We may in the future choose to pay dividends in our own stock, in which case you may be required to pay tax in excess of the cash you receive.”</w:t>
      </w:r>
    </w:p>
    <w:p>
      <w:pPr>
        <w:spacing w:after="0" w:line="188" w:lineRule="exact"/>
        <w:rPr>
          <w:sz w:val="20"/>
          <w:szCs w:val="20"/>
          <w:color w:val="auto"/>
        </w:rPr>
      </w:pPr>
    </w:p>
    <w:p>
      <w:pPr>
        <w:jc w:val="both"/>
        <w:ind w:left="1260" w:right="419"/>
        <w:spacing w:after="0" w:line="322" w:lineRule="auto"/>
        <w:rPr>
          <w:sz w:val="20"/>
          <w:szCs w:val="20"/>
          <w:color w:val="auto"/>
        </w:rPr>
      </w:pPr>
      <w:r>
        <w:rPr>
          <w:rFonts w:ascii="Arial" w:cs="Arial" w:eastAsia="Arial" w:hAnsi="Arial"/>
          <w:sz w:val="15"/>
          <w:szCs w:val="15"/>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62"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We cannot assure you that we will achieve investment results that will allow us to make a specified level of cash distributions. Our ability to pay distributions might be adversely affected by the impact of one or more of</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7"/>
          <w:szCs w:val="17"/>
          <w:color w:val="auto"/>
        </w:rPr>
        <w:t>the risk factors described in this annual report or incorporated herein by reference,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01"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As a RIC, if we do not distribute a certain percentage of our income annually, we may suffer adverse tax consequences, including possibly losing the U.S. federal income tax benefits allowable to RICs. We cannot assure you that you will receive distributions at a particular level or at all.</w:t>
      </w:r>
    </w:p>
    <w:p>
      <w:pPr>
        <w:spacing w:after="0" w:line="116"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certain cases, we may recognize income before or without receiving the accompanying cash. Depending on the amount of noncash income, this could result in difficulty satisfying the annual distribution requirement applicable to RICs. Accordingly, we may have to sell some portfolio investments at times it would not consider advantageous, raise additional debt or equity capital or reduce new investments to meet these distribution requirements.</w:t>
      </w:r>
    </w:p>
    <w:p>
      <w:pPr>
        <w:spacing w:after="0" w:line="188"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103"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 increases in loan balances as a result of contractual PIK arrangements are included in our taxable income before we receive any corresponding cash payments. We also may be required to include in our taxable income certain other amounts that we will not receive in cash.</w:t>
      </w:r>
    </w:p>
    <w:p>
      <w:pPr>
        <w:spacing w:after="0" w:line="111"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Since, in certain cases, we may recognize taxable income before or without receiving corresponding cash payments, we may have difficulty meeting the annual distribution requirement necessary to maintain our RIC tax treatment under the Code.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as a RIC for tax treatment under the Code and thus become subject to corporate-level U.S. federal income tax.</w:t>
      </w:r>
    </w:p>
    <w:p>
      <w:pPr>
        <w:spacing w:after="0" w:line="195" w:lineRule="exact"/>
        <w:rPr>
          <w:sz w:val="20"/>
          <w:szCs w:val="20"/>
          <w:color w:val="auto"/>
        </w:rPr>
      </w:pPr>
    </w:p>
    <w:p>
      <w:pPr>
        <w:jc w:val="both"/>
        <w:ind w:left="1260" w:right="399"/>
        <w:spacing w:after="0" w:line="277" w:lineRule="auto"/>
        <w:rPr>
          <w:sz w:val="20"/>
          <w:szCs w:val="20"/>
          <w:color w:val="auto"/>
        </w:rPr>
      </w:pPr>
      <w:r>
        <w:rPr>
          <w:rFonts w:ascii="Arial" w:cs="Arial" w:eastAsia="Arial" w:hAnsi="Arial"/>
          <w:sz w:val="18"/>
          <w:szCs w:val="18"/>
          <w:b w:val="1"/>
          <w:bCs w:val="1"/>
          <w:i w:val="1"/>
          <w:iCs w:val="1"/>
          <w:color w:val="auto"/>
        </w:rPr>
        <w:t>Capitala Investment Advisors is not obligated to reimburse us for any part of the incentive fee it receives that is based on accrued income that we never receive.</w:t>
      </w:r>
    </w:p>
    <w:p>
      <w:pPr>
        <w:spacing w:after="0" w:line="103"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Part of the incentive fee payable by us to our Investment Advisor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fees it received that was based on accrued income that we never receive as a result of a default by an entity on the obligation that resulted in the accrual of such income.</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We may in the future choose to pay dividends in our own common stock, in which case you may be required to pay tax in excess of the cash you receive.</w:t>
      </w:r>
    </w:p>
    <w:p>
      <w:pPr>
        <w:spacing w:after="0" w:line="76" w:lineRule="exact"/>
        <w:rPr>
          <w:sz w:val="20"/>
          <w:szCs w:val="20"/>
          <w:color w:val="auto"/>
        </w:rPr>
      </w:pPr>
    </w:p>
    <w:p>
      <w:pPr>
        <w:jc w:val="both"/>
        <w:ind w:left="1260" w:right="419" w:firstLine="360"/>
        <w:spacing w:after="0" w:line="250" w:lineRule="auto"/>
        <w:rPr>
          <w:sz w:val="20"/>
          <w:szCs w:val="20"/>
          <w:color w:val="auto"/>
        </w:rPr>
      </w:pPr>
      <w:r>
        <w:rPr>
          <w:rFonts w:ascii="Arial" w:cs="Arial" w:eastAsia="Arial" w:hAnsi="Arial"/>
          <w:sz w:val="17"/>
          <w:szCs w:val="17"/>
          <w:color w:val="auto"/>
        </w:rPr>
        <w:t>We may distribute taxable dividends that are payable in part in our common stock. In accordance with certain applicable U.S. Department of Treasury regulations and published guidance issued by the Internal Revenue Service, a publicly offered RIC may treat a distribution of its own stock as fulfilling the RIC distribution requirements if each shareholder may elect to receive his or her entire distribution in either cash or stock of the RIC, subject to a limitation that the aggregate amount of cash to be distributed to all shareholders must be at least 20.0% of the aggregate declared distribution. If too many shareholders elect to receive cash, the cash available for distribution must be allocated among the shareholders electing to receive cash (with the balance of the distribution paid in stock). In no event will any shareholder, electing to receive cash, receive less than the lesser of (a) the portion of the distribution such shareholder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shareholders receiving such dividends will be required to include the amount of the dividends as ordinary income (or as long-term capital gain to the extent such distribution is properly reported as a capital gain dividend) to the extent of our current and accumulated earnings and profits for U.S. federal income tax purposes. As a result, a U.S. shareholder may be required to pay tax with respect to such dividends in excess of any cash received. If a U.S. shareholder sells the stock it receives as a dividend in order to pay this tax, the sales proceeds may be less than the amount included in income with respect to the dividend, depending on the market price of our common stock at the time of the sale. Furthermore, with respect to non-U.S. shareholders, we may be required to withhold U.S. tax with respect to such dividends, including in respect of all or a portion of such dividend that is payable in common stock. In addition, if a significant number of our shareholders determine to sell shares of our common stock in order to pay taxes owed on dividends, it may put downward pressure on the trading price of our common stock.</w:t>
      </w:r>
    </w:p>
    <w:p>
      <w:pPr>
        <w:spacing w:after="0" w:line="190" w:lineRule="exact"/>
        <w:rPr>
          <w:sz w:val="20"/>
          <w:szCs w:val="20"/>
          <w:color w:val="auto"/>
        </w:rPr>
      </w:pPr>
    </w:p>
    <w:p>
      <w:pPr>
        <w:jc w:val="both"/>
        <w:ind w:left="1260" w:right="419"/>
        <w:spacing w:after="0" w:line="294"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p>
    <w:p>
      <w:pPr>
        <w:spacing w:after="0" w:line="66"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w:t>
      </w:r>
    </w:p>
    <w:p>
      <w:pPr>
        <w:spacing w:after="0" w:line="110"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We are required to disclose changes made in our internal controls and procedures over financial reporting on a quarterly basis and our management is required to assess the effectiveness of these controls annually.</w:t>
      </w:r>
    </w:p>
    <w:p>
      <w:pPr>
        <w:spacing w:after="0" w:line="114"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we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195"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 or cause us to alter our business strategy.</w:t>
      </w:r>
    </w:p>
    <w:p>
      <w:pPr>
        <w:spacing w:after="0" w:line="76"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We and our portfolio companies will be subject to applicable local, state and federal laws and regulations. New legislation may be enacted, or new interpretations, rulings or regulations could be adopted, including</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Advisor’s investment team to other types of investments in which the investment team may have less expertise or little or no experience. Thus, any such changes, if they occur, could have a material adverse effect on our results of operations and the value of your investment. In addition, any change to the SBA’s current debenture SBIC program could have a significant impact on our ability to obtain lower-cost financing and, therefore, our competitive advantage over other finance companies.</w:t>
      </w:r>
    </w:p>
    <w:p>
      <w:pPr>
        <w:spacing w:after="0" w:line="111"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92" w:lineRule="exact"/>
        <w:rPr>
          <w:sz w:val="20"/>
          <w:szCs w:val="20"/>
          <w:color w:val="auto"/>
        </w:rPr>
      </w:pPr>
    </w:p>
    <w:p>
      <w:pPr>
        <w:jc w:val="both"/>
        <w:ind w:left="1260" w:right="399"/>
        <w:spacing w:after="0" w:line="277" w:lineRule="auto"/>
        <w:rPr>
          <w:sz w:val="20"/>
          <w:szCs w:val="20"/>
          <w:color w:val="auto"/>
        </w:rPr>
      </w:pPr>
      <w:r>
        <w:rPr>
          <w:rFonts w:ascii="Arial" w:cs="Arial" w:eastAsia="Arial" w:hAnsi="Arial"/>
          <w:sz w:val="18"/>
          <w:szCs w:val="18"/>
          <w:b w:val="1"/>
          <w:bCs w:val="1"/>
          <w:i w:val="1"/>
          <w:iCs w:val="1"/>
          <w:color w:val="auto"/>
        </w:rPr>
        <w:t>One of our wholly owned subsidiaries is licensed by the U.S. Small Business Administration, and as a result, we are subject to SBA regulations.</w:t>
      </w:r>
    </w:p>
    <w:p>
      <w:pPr>
        <w:spacing w:after="0" w:line="103"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Fund II and Fund III, became our wholly owned subsidiaries after the completion of the Formation Transactions. Fund II was licensed to act as an SBIC and was regulated by the SBA until March 1, 2019, when we prepaid all remaining SBIC debts related to Fund II and relinquished Fund II’s license to act as an SBIC. Fund III is currently licensed to act as an SBIC and is regulated by the SBA. As of December 31, 2020, Fund III portfolio companies accounted for 62.5% of the fair value of our aggregate portfolio. An SBIC license allows an SBIC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113"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Under current SBA regulations, a licensed SBIC may provide capital to those entities that have a tangible net worth not exceeding $19.5 million and an average net income after U.S. federal income taxes not exceeding $6.5 million (average net income to be computed without benefit of any carryover loss) for the two most recent fiscal years. In addition, a licensed SBIC must devote 25.0% of its investment activity to “smaller enterprises” as defined by the SBA. The definition of smaller enterprise generally includes businesses that (together with their affiliates) have a tangible net worth not exceeding $6.0 million and an average net income after U.S. federal income taxes not exceeding $2.0 million (average net income to be computed without benefit of any carryover loss) for the two most recent fiscal years. SBA regulations also provide alternative size standard criteria to determine eligibility for designation as an eligible small business or smaller enterprise, which depend on the industry in which the business is engaged and are based on factors such as the number of employees and gross sales.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a Legacy Fund to forego attractive investment opportunities that are not permitted under SBA regulations.</w:t>
      </w:r>
    </w:p>
    <w:p>
      <w:pPr>
        <w:spacing w:after="0" w:line="99"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The SBA also prohibits, without prior SBA approval, a “change of control” of an SBIC or transfers that would result in any person (or a group of persons acting in concert) owning 10.0% or more of a class of capital stock of a licensed SBIC. Fund III was in compliance with the terms of the SBA’s leverage requirements as of December 31, 2020 as a result of having sufficient capital as defined under the SBA regulations. If, in the future, Fund III fails to comply with applicable SBA regulations, Fund III could, depending on the severity of the violation, limit or prohibit Fund III’s use of debentures, declare outstanding debentures immediately due and payable, and/or limit Fund III from making new investments. Such actions by Fund III would, in turn, negatively affect us because Fund III is our wholly owned subsidiary.</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 As a result, we will generally be permitted to incur a greater amount of leverage relative to our total assets and net asset value, which may expose us to a greater degree of risk.</w:t>
      </w:r>
    </w:p>
    <w:p>
      <w:pPr>
        <w:spacing w:after="0" w:line="175" w:lineRule="exact"/>
        <w:rPr>
          <w:sz w:val="20"/>
          <w:szCs w:val="20"/>
          <w:color w:val="auto"/>
        </w:rPr>
      </w:pPr>
    </w:p>
    <w:p>
      <w:pPr>
        <w:jc w:val="both"/>
        <w:ind w:left="1260" w:right="419"/>
        <w:spacing w:after="0" w:line="362" w:lineRule="auto"/>
        <w:rPr>
          <w:sz w:val="20"/>
          <w:szCs w:val="20"/>
          <w:color w:val="auto"/>
        </w:rPr>
      </w:pPr>
      <w:r>
        <w:rPr>
          <w:rFonts w:ascii="Arial" w:cs="Arial" w:eastAsia="Arial" w:hAnsi="Arial"/>
          <w:sz w:val="15"/>
          <w:szCs w:val="15"/>
          <w:b w:val="1"/>
          <w:bCs w:val="1"/>
          <w:i w:val="1"/>
          <w:iCs w:val="1"/>
          <w:color w:val="auto"/>
        </w:rPr>
        <w:t>Our wholly owned SBIC subsidiary may be unable to make distributions to us that will enable us to meet or maintain RIC tax treatment, which could result in the imposition of a corporate-level U.S. federal income tax.</w:t>
      </w:r>
    </w:p>
    <w:p>
      <w:pPr>
        <w:spacing w:after="0" w:line="20"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In order for us to continue to qualify for RIC tax treatment under the Code and to minimize corporate-level U.S. federal income taxes, we will be required to distribute substantially all of our net ordinary income and net capital gain income, including income from certain of our subsidiaries, which includes the income from Fund III. We will be partially dependent on Fund III for cash distributions to enable us to meet the RIC distribution requirements. Fund III may be limited by the SBIA, and SBA regulations governing SBICs, from making certain distributions to us that may be necessary to maintain our tax treatment as a RIC. We may have to request a waiver of the SBA’s restrictions for Fund III to make certain distributions to maintain our RIC tax treatment. We cannot assure you that the SBA will grant such waiver and if Fund III is unable to obtain a waiver, compliance with the SBA regulations may result in loss of RIC tax treatment and a consequent imposition of a corporate-level U.S. federal income tax on all of our income.</w:t>
      </w:r>
    </w:p>
    <w:p>
      <w:pPr>
        <w:spacing w:after="0" w:line="180" w:lineRule="exact"/>
        <w:rPr>
          <w:sz w:val="20"/>
          <w:szCs w:val="20"/>
          <w:color w:val="auto"/>
        </w:rPr>
      </w:pPr>
    </w:p>
    <w:p>
      <w:pPr>
        <w:jc w:val="both"/>
        <w:ind w:left="1260" w:right="399"/>
        <w:spacing w:after="0" w:line="324" w:lineRule="auto"/>
        <w:rPr>
          <w:sz w:val="20"/>
          <w:szCs w:val="20"/>
          <w:color w:val="auto"/>
        </w:rPr>
      </w:pPr>
      <w:r>
        <w:rPr>
          <w:rFonts w:ascii="Arial" w:cs="Arial" w:eastAsia="Arial" w:hAnsi="Arial"/>
          <w:sz w:val="16"/>
          <w:szCs w:val="16"/>
          <w:b w:val="1"/>
          <w:bCs w:val="1"/>
          <w:i w:val="1"/>
          <w:iCs w:val="1"/>
          <w:color w:val="auto"/>
        </w:rPr>
        <w:t>If we are unable to secure new SBIC licenses, we will not be able to access additional capital in the form of SBA-guaranteed debentures which may negatively impact our liquidity, financial condition, and earnings.</w:t>
      </w:r>
    </w:p>
    <w:p>
      <w:pPr>
        <w:spacing w:after="0" w:line="57"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7"/>
          <w:szCs w:val="17"/>
          <w:color w:val="auto"/>
        </w:rPr>
        <w:t>On May 1, 2020, the SBA issued a “green light” letter inviting us to continue its application process for Capitala SBIC Fund VII, LP (“Fund VII”), as a wholly owned SBIC subsidiary of Capitala Finance Corp. If approved, the additional SBIC license would provide us with an incremental source of attractive long-term capital. We cannot assure you that the SBA will approve our application for Fund VII. If we are unable to secure a license for Fund VII, our liquidity, financial condition, and earnings may be negatively impacted.</w:t>
      </w:r>
    </w:p>
    <w:p>
      <w:pPr>
        <w:spacing w:after="0" w:line="174" w:lineRule="exact"/>
        <w:rPr>
          <w:sz w:val="20"/>
          <w:szCs w:val="20"/>
          <w:color w:val="auto"/>
        </w:rPr>
      </w:pPr>
    </w:p>
    <w:p>
      <w:pPr>
        <w:jc w:val="both"/>
        <w:ind w:left="1260" w:right="419"/>
        <w:spacing w:after="0" w:line="324" w:lineRule="auto"/>
        <w:rPr>
          <w:sz w:val="20"/>
          <w:szCs w:val="20"/>
          <w:color w:val="auto"/>
        </w:rPr>
      </w:pPr>
      <w:r>
        <w:rPr>
          <w:rFonts w:ascii="Arial" w:cs="Arial" w:eastAsia="Arial" w:hAnsi="Arial"/>
          <w:sz w:val="16"/>
          <w:szCs w:val="16"/>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57"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1934 Act, or the 1934 Act, as well as additional corporate governance requirements, including requirements under the Sarbanes 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existing requirements, or any revised or amended requirements, have resulted in, and are likely to continue to result in, an increase in expenses and a diversion of management’s time from other business activities.</w:t>
      </w:r>
    </w:p>
    <w:p>
      <w:pPr>
        <w:spacing w:after="0" w:line="182"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103"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Our business is highly dependent on the communications and information systems of the Investment Advisor. Certain of these systems are provided to the Investment Advisor by third-party service providers. Any failure or interruption of such systems, including as a result of the termination of an agreement with any such third-party service provider, sudden electrical or telecommunications outages, natural disasters such as earthquakes, tornadoes, and hurricanes, events arising from local or larger scale political or social matters, including terrorist attacks, and cyber-attacks could cause delays or other problems in our activities. Any of the above, in turn, could have a material adverse effect on our operating results and negatively affect the market price of our common stock and our ability to make distributions to our stockholders.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We, the Investment Adviser and our portfolio companies are subject to risks associated with “phishing” and other cyber-attacks.</w:t>
      </w:r>
    </w:p>
    <w:p>
      <w:pPr>
        <w:spacing w:after="0" w:line="90"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Our business and the business of our portfolio companies relies upon secure information technology systems for data processing, storage and reporting. Despite careful security and controls design, implementation and updating, ours and our portfolio companies’ information technology systems could become subject to cyber-attacks. Cyber-attacks include, but are not limited to, gaining unauthorized access to digital systems (e.g., through “hacking”, malicious software coding, social engineering or “phishing” attempts) for purposes of misappropriating assets or sensitive information, corrupting data, or causing operational disruption. Cyber-attacks may also be carried out in a manner that does not require gaining unauthorized access, such as causing denial-of service attacks on websites (i.e., efforts to make network services unavailable to intended users). The Investment Adviser’s employees have been and expect to continue to be the target of fraudulent calls, emails and other forms of activities. The result of these incidents may include disrupted operations, misstated or unreliable financial data, liability for stolen information, misappropriation of assets, increased cybersecurity protection and insurance costs, litigation and damage to our business relationships, regulatory fines or penalties, or other adverse effects on our business, financial condition or results of operations. In addition, we may be required to expend significant additional resources to modify our protective measures and to investigate and remediate vulnerabilities or other exposures arising from operational and security risks related to cyber-attacks.</w:t>
      </w:r>
    </w:p>
    <w:p>
      <w:pPr>
        <w:spacing w:after="0" w:line="11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The Investment Adviser’s and other service providers’ increased use of mobile and cloud technologies could heighten the risk of a cyber-attack as well as other operational risks, as certain aspects of the security of such technologies may be complex, unpredictable or beyond their control. The Investment Adviser’s and other service providers’ reliance on mobile or cloud technology or any failure by mobile technology and cloud service providers to adequately safeguard their systems and prevent cyber-attacks could disrupt their operations and result in misappropriation, corruption or loss of personal, confidential or proprietary information. In addition, there is a risk that encryption and other protective measures against cyber-attacks may be circumvented, particularly to the extent that new computing technologies increase the speed and computing power available.</w:t>
      </w:r>
    </w:p>
    <w:p>
      <w:pPr>
        <w:spacing w:after="0" w:line="124"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Additionally, remote working environments may be less secure and more susceptible to cyber-attacks, including phishing and social engineering attempts that seek to exploit the COVID-19 pandemic. Accordingly, the risks associated with cyber-attacks are heightened under current conditions.</w:t>
      </w:r>
    </w:p>
    <w:p>
      <w:pPr>
        <w:spacing w:after="0" w:line="164"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Internal and external cyber threats, as well as other disasters, could impair our ability to conduct business effectively.</w:t>
      </w:r>
    </w:p>
    <w:p>
      <w:pPr>
        <w:spacing w:after="0" w:line="90"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08" w:lineRule="exact"/>
        <w:rPr>
          <w:sz w:val="20"/>
          <w:szCs w:val="20"/>
          <w:color w:val="auto"/>
        </w:rPr>
      </w:pPr>
    </w:p>
    <w:p>
      <w:pPr>
        <w:jc w:val="both"/>
        <w:ind w:left="1260" w:right="419" w:firstLine="360"/>
        <w:spacing w:after="0" w:line="236" w:lineRule="auto"/>
        <w:rPr>
          <w:sz w:val="20"/>
          <w:szCs w:val="20"/>
          <w:color w:val="auto"/>
        </w:rPr>
      </w:pPr>
      <w:r>
        <w:rPr>
          <w:rFonts w:ascii="Arial" w:cs="Arial" w:eastAsia="Arial" w:hAnsi="Arial"/>
          <w:sz w:val="18"/>
          <w:szCs w:val="18"/>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7"/>
          <w:szCs w:val="17"/>
          <w:color w:val="auto"/>
        </w:rPr>
        <w:t>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Investment Advisor’s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94"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22"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22"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7"/>
          <w:szCs w:val="17"/>
          <w:color w:val="auto"/>
        </w:rPr>
        <w:t>We and our service providers are currently impacted by quarantines and similar measures being enacted by governments in response to the global COVID-19 pandemic, which are obstructing the regular functioning of business workforces (including requiring employees to work from external locations and their homes). Policies of extended periods of remote working, whether by us or by our service providers, could strain technology resources, introduce operational risks and otherwise heighten the risks described above. Remote working environments may be less secure and more susceptible to hacking attacks, including phishing and social engineering attempts that seek to exploit the COVID-19 pandemic. Accordingly, the risks described above are heightened under current conditions.</w:t>
      </w:r>
    </w:p>
    <w:p>
      <w:pPr>
        <w:spacing w:after="0" w:line="181"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Economic sanction laws in the United States and other jurisdictions may prohibit us and our affiliates from transacting with certain countries, individuals and companies.</w:t>
      </w:r>
    </w:p>
    <w:p>
      <w:pPr>
        <w:spacing w:after="0" w:line="103"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7"/>
          <w:szCs w:val="17"/>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13"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to which it is subject. As a result, we may be adversely affected because of our unwillingness to enter into transactions that violate any such laws or regulations.</w:t>
      </w:r>
    </w:p>
    <w:p>
      <w:pPr>
        <w:spacing w:after="0" w:line="171" w:lineRule="exact"/>
        <w:rPr>
          <w:sz w:val="20"/>
          <w:szCs w:val="20"/>
          <w:color w:val="auto"/>
        </w:rPr>
      </w:pPr>
    </w:p>
    <w:p>
      <w:pPr>
        <w:jc w:val="both"/>
        <w:ind w:left="1260" w:right="419"/>
        <w:spacing w:after="0" w:line="324" w:lineRule="auto"/>
        <w:rPr>
          <w:sz w:val="20"/>
          <w:szCs w:val="20"/>
          <w:color w:val="auto"/>
        </w:rPr>
      </w:pPr>
      <w:r>
        <w:rPr>
          <w:rFonts w:ascii="Arial" w:cs="Arial" w:eastAsia="Arial" w:hAnsi="Arial"/>
          <w:sz w:val="16"/>
          <w:szCs w:val="16"/>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43"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80"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Events outside of our control, including public health crises, could negatively affect our portfolio companies and our results of our operations.</w:t>
      </w:r>
    </w:p>
    <w:p>
      <w:pPr>
        <w:spacing w:after="0" w:line="103"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the COVID -19 pandemic has delivered a shock to the global economy. The COVID-19 pandemic has led to and for an unknown period of time will continue to lead to disruptions in local, regional, national and global markets and economies affected thereby, including a recession and a steep increase in unemployment in the United States.</w:t>
      </w:r>
    </w:p>
    <w:p>
      <w:pPr>
        <w:spacing w:after="0" w:line="123"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With respect to the U.S. credit markets (in particular for middle market loans), the COVID-19 pandemic has resulted in, and until fully resolved is likely to continue to result in, the following among other things: (i) government imposition of various forms of shelter-in-place orders and the closing of ”non-essential” businesses, resulting in significant disruption to the businesses of many middle -market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w:t>
      </w:r>
    </w:p>
    <w:p>
      <w:pPr>
        <w:spacing w:after="0" w:line="108" w:lineRule="exact"/>
        <w:rPr>
          <w:sz w:val="20"/>
          <w:szCs w:val="20"/>
          <w:color w:val="auto"/>
        </w:rPr>
      </w:pPr>
    </w:p>
    <w:p>
      <w:pPr>
        <w:jc w:val="both"/>
        <w:ind w:left="1260" w:right="419" w:firstLine="360"/>
        <w:spacing w:after="0" w:line="250" w:lineRule="auto"/>
        <w:rPr>
          <w:sz w:val="20"/>
          <w:szCs w:val="20"/>
          <w:color w:val="auto"/>
        </w:rPr>
      </w:pPr>
      <w:r>
        <w:rPr>
          <w:rFonts w:ascii="Arial" w:cs="Arial" w:eastAsia="Arial" w:hAnsi="Arial"/>
          <w:sz w:val="17"/>
          <w:szCs w:val="17"/>
          <w:color w:val="auto"/>
        </w:rPr>
        <w:t>While several countries, as well as certain states, counties and cities in the United States, have relaxed initial public health restrictions with the view to partially or fully reopening their economies, many cities have since experienced a surge in the reported number of cases, hospitalizations and deaths related to the COVID-19 pandemic. These surges have led to the re-introduction of such restrictions and business shutdowns in certain states in the United States and globally and could continue to lead to the re-introduction of such restrictions elsewhere. Health advisors warn that recurring COVID- 19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 Additionally, as of late December 2020, travelers from the United States are not allowed to visit Canada, Australia or the majority of countries in Europe, Asia, Africa and South America. These continued travel restrictions may prolong the global economic downturn. In addition, although the Federal Food and Drug Administration authorized vaccines produced for emergency use starting in December 2020, it remains unclear how quickly the vaccines will be distributed nationwide and globally or when “herd immunity” will be achieved and the restrictions that were imposed to slow the spread of the virus will be lifted entirely. The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The COVID-19 pandemic is having, and any future outbreaks of COVID-19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As of the date of this annual report on Form 10-K, it is impossible to determine the scope of the COVID-19 pandemic, or any future outbreaks of COVID-19, how long any such outbreak, market disruption or uncertainties may last, the effect any governmental actions will have or the full potential impact on us and our portfolio companies. Any potential impact to our results of operations will depend to a large extent on future developments and new information that could emerge regarding the duration and severity of the COVID-19 pandemic and the actions taken by authorities and other entities to contain COVID-19 or treat its impact, all of which are beyond our control. These potential impacts, while uncertain, could adversely affect our and our portfolio companies’ operating results.</w:t>
      </w:r>
    </w:p>
    <w:p>
      <w:pPr>
        <w:spacing w:after="0" w:line="116"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 Additionally, oil prices collapsed to an 18-year low on supply glut concerns, as shutdowns across the global economy sharply reduced oil demand while Saudi Arabia and Russia engaged in a price war. Central banks and governments have responded with liquidity injections to ease the strain on financial systems and stimulus measures to buffer the shock to businesses and consumers. These measures have helped stabilize certain portions of the financial markets over the short term, but volatility will likely remain elevated until the health crisis itself is under control (via fewer new cases, lower infection rates and/or verified treatments). There are still many unknowns and new information is incoming daily, compounding the difficulty of modeling outcomes for epidemiologists and economists alike.</w:t>
      </w:r>
    </w:p>
    <w:p>
      <w:pPr>
        <w:spacing w:after="0" w:line="128"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We cannot be certain as to the duration or magnitude of the economic impact of the COVID-19 pandemic in the markets in which we and our portfolio companies operate, including with respect to travel restrictions, business closures, mitigation efforts (whether voluntary, suggested, or mandated by law)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portfolio companies may suffer declines in earnings and could experience financial distress, which could cause them to default on their financial obligations to us and their other lenders.</w:t>
      </w:r>
    </w:p>
    <w:p>
      <w:pPr>
        <w:spacing w:after="0" w:line="111"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We will also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spacing w:after="0" w:line="103"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These potential impacts, while uncertain, could adversely affect our and our portfolio companies’ operating results.</w:t>
      </w:r>
    </w:p>
    <w:p>
      <w:pPr>
        <w:spacing w:after="0" w:line="192" w:lineRule="exact"/>
        <w:rPr>
          <w:sz w:val="20"/>
          <w:szCs w:val="20"/>
          <w:color w:val="auto"/>
        </w:rPr>
      </w:pPr>
    </w:p>
    <w:p>
      <w:pPr>
        <w:jc w:val="both"/>
        <w:ind w:left="1260" w:right="399"/>
        <w:spacing w:after="0" w:line="263" w:lineRule="auto"/>
        <w:rPr>
          <w:sz w:val="20"/>
          <w:szCs w:val="20"/>
          <w:color w:val="auto"/>
        </w:rPr>
      </w:pPr>
      <w:r>
        <w:rPr>
          <w:rFonts w:ascii="Arial" w:cs="Arial" w:eastAsia="Arial" w:hAnsi="Arial"/>
          <w:sz w:val="18"/>
          <w:szCs w:val="18"/>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116" w:lineRule="exact"/>
        <w:rPr>
          <w:sz w:val="20"/>
          <w:szCs w:val="20"/>
          <w:color w:val="auto"/>
        </w:rPr>
      </w:pPr>
    </w:p>
    <w:p>
      <w:pPr>
        <w:jc w:val="both"/>
        <w:ind w:left="1260" w:right="419" w:firstLine="360"/>
        <w:spacing w:after="0" w:line="308" w:lineRule="auto"/>
        <w:rPr>
          <w:sz w:val="20"/>
          <w:szCs w:val="20"/>
          <w:color w:val="auto"/>
        </w:rPr>
      </w:pPr>
      <w:r>
        <w:rPr>
          <w:rFonts w:ascii="Arial" w:cs="Arial" w:eastAsia="Arial" w:hAnsi="Arial"/>
          <w:sz w:val="17"/>
          <w:szCs w:val="17"/>
          <w:color w:val="auto"/>
        </w:rPr>
        <w:t>Our investments may include original issue discount (“OID”) instruments and contractual PIK interest, which represents contractual interest added to a loan balance and due at the end of such loan’s term. To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extent OID or PIK interest constitute a portion of our income, we are exposed to typical risks associated with such income being required to be included in taxable and accounting income prior to receipt of cash, including the following:</w:t>
      </w:r>
    </w:p>
    <w:p>
      <w:pPr>
        <w:spacing w:after="0" w:line="74" w:lineRule="exact"/>
        <w:rPr>
          <w:sz w:val="20"/>
          <w:szCs w:val="20"/>
          <w:color w:val="auto"/>
        </w:rPr>
      </w:pPr>
    </w:p>
    <w:p>
      <w:pPr>
        <w:ind w:left="1800" w:right="41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OID instruments may have higher yields, which reflect the payment deferral and credit risk associated with these instruments;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OID accruals may create uncertainty about the source of our distributions to stockholders;</w:t>
      </w:r>
    </w:p>
    <w:p>
      <w:pPr>
        <w:spacing w:after="0" w:line="117"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the collateral;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OID and PIK instruments may represent a higher credit risk than coupon loans.</w:t>
      </w:r>
    </w:p>
    <w:p>
      <w:pPr>
        <w:spacing w:after="0" w:line="225"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114"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18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Our Board is authorized to reclassify any unissued shares of common stock into one or more classes of preferred stock, which could convey special rights and privileges to its owners.</w:t>
      </w:r>
    </w:p>
    <w:p>
      <w:pPr>
        <w:spacing w:after="0" w:line="103"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8"/>
          <w:szCs w:val="18"/>
          <w:color w:val="auto"/>
        </w:rPr>
        <w:t>Under Maryland General Corporation Law and our charter, our Board is authorized to classify and reclassify any authorized but unissued shares of stock into one or more classes of stock, including preferred stock. Prior to the issuance of shares of each class or series, our Board will be required by Maryland law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207"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103" w:lineRule="exact"/>
        <w:rPr>
          <w:sz w:val="20"/>
          <w:szCs w:val="20"/>
          <w:color w:val="auto"/>
        </w:rPr>
      </w:pPr>
    </w:p>
    <w:p>
      <w:pPr>
        <w:jc w:val="both"/>
        <w:ind w:left="1260" w:right="419" w:firstLine="360"/>
        <w:spacing w:after="0" w:line="286" w:lineRule="auto"/>
        <w:rPr>
          <w:sz w:val="20"/>
          <w:szCs w:val="20"/>
          <w:color w:val="auto"/>
        </w:rPr>
      </w:pPr>
      <w:r>
        <w:rPr>
          <w:rFonts w:ascii="Arial" w:cs="Arial" w:eastAsia="Arial" w:hAnsi="Arial"/>
          <w:sz w:val="17"/>
          <w:szCs w:val="17"/>
          <w:color w:val="auto"/>
        </w:rPr>
        <w:t>The Maryland General Corporation Law and our charter and bylaws contain provisions that may discourage, delay or make more difficult a change in control of Capitala Finance or the removal of our directors. We are subject to the Maryland Business Combination Act, subject to any applicable requirements</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7"/>
          <w:szCs w:val="17"/>
          <w:color w:val="auto"/>
        </w:rPr>
        <w:t>of the 1940 Act. Our Board has adopted a resolution exempting from the Maryland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Maryland Control Share Acquisition Act also may make it more difficult for a third-party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determines that it would be in our best interests.</w:t>
      </w:r>
    </w:p>
    <w:p>
      <w:pPr>
        <w:spacing w:after="0" w:line="102"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7"/>
          <w:szCs w:val="17"/>
          <w:color w:val="auto"/>
        </w:rPr>
        <w:t>We have also adopted measures that may make it difficult for a third-party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12" w:lineRule="exact"/>
        <w:rPr>
          <w:sz w:val="20"/>
          <w:szCs w:val="20"/>
          <w:color w:val="auto"/>
        </w:rPr>
      </w:pPr>
    </w:p>
    <w:p>
      <w:pPr>
        <w:jc w:val="both"/>
        <w:ind w:left="1260" w:right="419" w:firstLine="360"/>
        <w:spacing w:after="0" w:line="274" w:lineRule="auto"/>
        <w:rPr>
          <w:sz w:val="20"/>
          <w:szCs w:val="20"/>
          <w:color w:val="auto"/>
        </w:rPr>
      </w:pPr>
      <w:r>
        <w:rPr>
          <w:rFonts w:ascii="Arial" w:cs="Arial" w:eastAsia="Arial" w:hAnsi="Arial"/>
          <w:sz w:val="16"/>
          <w:szCs w:val="16"/>
          <w:color w:val="auto"/>
        </w:rPr>
        <w:t>The foregoing provisions are expected to discourage certain coercive takeover practices and inadequate takeover bids and to encourage persons seeking to acquire control of us to negotiate first with our Board. However, these provisions may deprive a stockholder of the opportunity to sell such stockholder’s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has considered both the positive and negative effects of the foregoing provisions and determined that they are in the best interest of our stockholders.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Investments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58" w:lineRule="exact"/>
        <w:rPr>
          <w:sz w:val="20"/>
          <w:szCs w:val="20"/>
          <w:color w:val="auto"/>
        </w:rPr>
      </w:pPr>
    </w:p>
    <w:p>
      <w:pPr>
        <w:jc w:val="both"/>
        <w:ind w:left="1260" w:right="419" w:firstLine="360"/>
        <w:spacing w:after="0" w:line="291" w:lineRule="auto"/>
        <w:rPr>
          <w:sz w:val="20"/>
          <w:szCs w:val="20"/>
          <w:color w:val="auto"/>
        </w:rPr>
      </w:pPr>
      <w:r>
        <w:rPr>
          <w:rFonts w:ascii="Arial" w:cs="Arial" w:eastAsia="Arial" w:hAnsi="Arial"/>
          <w:sz w:val="17"/>
          <w:szCs w:val="17"/>
          <w:color w:val="auto"/>
        </w:rPr>
        <w:t>We invest primarily in first lien loans, second lien loans, subordinated debt investments and select equity investments issued by leveraged companies, each of which carries with it a significant degree of risk.</w:t>
      </w:r>
    </w:p>
    <w:p>
      <w:pPr>
        <w:spacing w:after="0" w:line="66"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First Lien Loans. </w:t>
      </w:r>
      <w:r>
        <w:rPr>
          <w:rFonts w:ascii="Arial" w:cs="Arial" w:eastAsia="Arial" w:hAnsi="Arial"/>
          <w:sz w:val="17"/>
          <w:szCs w:val="17"/>
          <w:color w:val="auto"/>
        </w:rPr>
        <w:t>There is a risk that the collateral securing our loans may decrease in value over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 Our first lien loans may also include unitranche loans. Unitranche loans combine characteristics of traditional first lien senior secured loans as well as second lien and subordinated loans. Unitranche loans will expose us to the risks associated with second lien and subordinated loans to the extent we invest in the “last out” tranche. These first lien loans and bonds may include payment-in-kind (“PIK”) interest, which represents contractual interest accrued and added to the principal that generally becomes due at maturity.</w:t>
      </w:r>
    </w:p>
    <w:p>
      <w:pPr>
        <w:spacing w:after="0" w:line="121"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b w:val="1"/>
          <w:bCs w:val="1"/>
          <w:i w:val="1"/>
          <w:iCs w:val="1"/>
          <w:color w:val="auto"/>
        </w:rPr>
        <w:t xml:space="preserve">Second Lien Loans. </w:t>
      </w:r>
      <w:r>
        <w:rPr>
          <w:rFonts w:ascii="Arial" w:cs="Arial" w:eastAsia="Arial" w:hAnsi="Arial"/>
          <w:sz w:val="17"/>
          <w:szCs w:val="17"/>
          <w:color w:val="auto"/>
        </w:rPr>
        <w:t>Our second lien loans have a second priority security interest in all or substantially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of the assets of the borrower. As such, other creditors 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105"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b w:val="1"/>
          <w:bCs w:val="1"/>
          <w:i w:val="1"/>
          <w:iCs w:val="1"/>
          <w:color w:val="auto"/>
        </w:rPr>
        <w:t xml:space="preserve">Equity Investments. </w:t>
      </w:r>
      <w:r>
        <w:rPr>
          <w:rFonts w:ascii="Arial" w:cs="Arial" w:eastAsia="Arial" w:hAnsi="Arial"/>
          <w:sz w:val="18"/>
          <w:szCs w:val="18"/>
          <w:color w:val="auto"/>
        </w:rPr>
        <w:t>When we invest in loans, we may acquire equity securities as well. In addition,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invest directly in the equity securities of portfolio companies.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U.S. federal income or excise tax liability.</w:t>
      </w:r>
    </w:p>
    <w:p>
      <w:pPr>
        <w:spacing w:after="0" w:line="114"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In addition, investing in lower middle-market and traditional middle-market companies involves a number of significant risks, including:</w:t>
      </w:r>
    </w:p>
    <w:p>
      <w:pPr>
        <w:spacing w:after="0" w:line="62" w:lineRule="exact"/>
        <w:rPr>
          <w:sz w:val="20"/>
          <w:szCs w:val="20"/>
          <w:color w:val="auto"/>
        </w:rPr>
      </w:pPr>
    </w:p>
    <w:p>
      <w:pPr>
        <w:jc w:val="both"/>
        <w:ind w:left="1800" w:right="419" w:hanging="180"/>
        <w:spacing w:after="0" w:line="259"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8"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5"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7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 and</w:t>
      </w:r>
    </w:p>
    <w:p>
      <w:pPr>
        <w:spacing w:after="0" w:line="62"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executive officers, directors and our Investment Advisor may, in the ordinary course of business, be named as defendants in litigation arising from our investments in the portfolio companies.</w:t>
      </w:r>
    </w:p>
    <w:p>
      <w:pPr>
        <w:spacing w:after="0" w:line="146" w:lineRule="exact"/>
        <w:rPr>
          <w:sz w:val="20"/>
          <w:szCs w:val="20"/>
          <w:color w:val="auto"/>
        </w:rPr>
      </w:pPr>
    </w:p>
    <w:p>
      <w:pPr>
        <w:jc w:val="both"/>
        <w:ind w:left="1260" w:right="399"/>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119" w:lineRule="exact"/>
        <w:rPr>
          <w:sz w:val="20"/>
          <w:szCs w:val="20"/>
          <w:color w:val="auto"/>
        </w:rPr>
      </w:pPr>
    </w:p>
    <w:p>
      <w:pPr>
        <w:jc w:val="both"/>
        <w:ind w:left="1260" w:right="419" w:firstLine="360"/>
        <w:spacing w:after="0" w:line="267" w:lineRule="auto"/>
        <w:rPr>
          <w:sz w:val="20"/>
          <w:szCs w:val="20"/>
          <w:color w:val="auto"/>
        </w:rPr>
      </w:pPr>
      <w:r>
        <w:rPr>
          <w:rFonts w:ascii="Arial" w:cs="Arial" w:eastAsia="Arial" w:hAnsi="Arial"/>
          <w:sz w:val="17"/>
          <w:szCs w:val="17"/>
          <w:color w:val="auto"/>
        </w:rPr>
        <w:t>Our portfolio consists primarily of debt and equity investments in smaller privately owned venture capital-backed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Generally, little public information exists about these companies, and we are required to rely on the ability of our Investment Advisor’s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91"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Many of our loans are not fully amortizing and if a borrower cannot repay or refinance such loans at maturity, our results will suffer.</w:t>
      </w:r>
    </w:p>
    <w:p>
      <w:pPr>
        <w:spacing w:after="0" w:line="90"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Most of the loans in which we invest are not structured to fully amortize during their lifetime. Accordingly, a significant portion of the principal amount of such a loan may be due at maturity. As of December 31, 2020,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Capitala Finance from immediately obtaining full recovery on the loan and prevent or delay the reinvestment of the loan proceeds in other, more profitable investments.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investments in leveraged portfolio companies may be risky, and you could lose all or part of your investment.</w:t>
      </w:r>
    </w:p>
    <w:p>
      <w:pPr>
        <w:spacing w:after="0" w:line="192"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portfolio companies may incur debt that ranks equally with, or senior to, our investments in such companies.</w:t>
      </w:r>
    </w:p>
    <w:p>
      <w:pPr>
        <w:spacing w:after="0" w:line="192"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92"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03"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7"/>
          <w:szCs w:val="17"/>
          <w:color w:val="auto"/>
        </w:rPr>
        <w:t>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180"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If we make subordinated investments, the obligors or the portfolio companies may not generate sufficient cash flow to service their debt obligations to us.</w:t>
      </w:r>
    </w:p>
    <w:p>
      <w:pPr>
        <w:spacing w:after="0" w:line="90"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58"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91"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103"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See also “— 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U.S. capital markets have experienced extreme volatility and disruption following the global outbreak of COVID-19 that began in December 2019. The global impact of the COVID-19 pandemic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COVID-19, have created significant disruption in supply chains and economic activity. The impact of COVID-19 has led to significant volatility and declines in the global public equity markets and it is uncertain</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w:t>
      </w:r>
    </w:p>
    <w:p>
      <w:pPr>
        <w:spacing w:after="0" w:line="107"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Disruptions in the capital markets caused by the COVID-19 pandemic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26"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In addition, due to the COVID-19 pandemic in the United States, certain personnel of our investment adviser are currently working remotely, which may introduce additional operational risk to us. Staff members of certain of our other service providers may also work remotely during the COVID-19 pandemic. An extended period of remote working could lead to service limitations or failures that could impact us or our performance.</w:t>
      </w:r>
    </w:p>
    <w:p>
      <w:pPr>
        <w:spacing w:after="0" w:line="12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7"/>
          <w:szCs w:val="17"/>
          <w:color w:val="auto"/>
        </w:rPr>
        <w:t>Further, current market conditions resulting from the COVID-19 pandemic may make it difficult for us to obtain debt capital on favorable terms and any failure to do so could have a material adverse effect on our business. The debt capital that will be available to us in the future, if at all, may be at a higher cost and on less favorable terms and conditions than what we would otherwise expect, including being at a higher cost in rising rate environments. If we are unable to raise debt, then our equity investors may not benefit from the potential for increased returns on equity resulting from leverage and we may be limited in our ability to make or fund commitments to portfolio companies. An inability to obtain indebtedness could have a material adverse effect on our business, financial condition or results of operations.</w:t>
      </w:r>
    </w:p>
    <w:p>
      <w:pPr>
        <w:spacing w:after="0" w:line="181"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The health and performance of our portfolio companies could be adversely affected by political and economic conditions in the countries in which they conduct business.</w:t>
      </w:r>
    </w:p>
    <w:p>
      <w:pPr>
        <w:spacing w:after="0" w:line="90"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Some of the products of our portfolio companies are developed, manufactured, assembled, tested or marketed outside the U.S. Any conflict or uncertainty in these countries, including due to natural disasters, public health concerns (including the global COVID-19 pandemic),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5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failure to make follow-on investments in our portfolio companies could impair the value of our portfolio.</w:t>
      </w:r>
    </w:p>
    <w:p>
      <w:pPr>
        <w:spacing w:after="0" w:line="192"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 (i) increase or maintain in whole or in part our</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37" w:lineRule="auto"/>
        <w:rPr>
          <w:sz w:val="20"/>
          <w:szCs w:val="20"/>
          <w:color w:val="auto"/>
        </w:rPr>
      </w:pPr>
      <w:r>
        <w:rPr>
          <w:rFonts w:ascii="Arial" w:cs="Arial" w:eastAsia="Arial" w:hAnsi="Arial"/>
          <w:sz w:val="18"/>
          <w:szCs w:val="18"/>
          <w:color w:val="auto"/>
        </w:rPr>
        <w:t>equity ownership percentage; (ii) exercise warrants, options or convertible securities that were acquired in the original or a subsequent financing; or (iii) attempt to preserve or enhance the value of our investment. We may elect not to make follow-on investments or otherwise lack sufficient funds to make those investments. We will have the discretion to make any follow- on investments, subject to the availability of capital resources. The failure to make follow- 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Advisor are also invested.</w:t>
      </w:r>
    </w:p>
    <w:p>
      <w:pPr>
        <w:spacing w:after="0" w:line="191"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83"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 prohibited from buying or selling any security (other than any security of which we are the issuer) from or to any company that is advised or managed by our Investment Advisor or its affiliates without the prior approval of the SEC, which may limit the scope of investment opportunities that would otherwise be available to us.</w:t>
      </w:r>
    </w:p>
    <w:p>
      <w:pPr>
        <w:spacing w:after="0" w:line="113" w:lineRule="exact"/>
        <w:rPr>
          <w:sz w:val="20"/>
          <w:szCs w:val="20"/>
          <w:color w:val="auto"/>
        </w:rPr>
      </w:pPr>
    </w:p>
    <w:p>
      <w:pPr>
        <w:jc w:val="both"/>
        <w:ind w:left="1260" w:right="419" w:firstLine="360"/>
        <w:spacing w:after="0" w:line="249" w:lineRule="auto"/>
        <w:rPr>
          <w:sz w:val="20"/>
          <w:szCs w:val="20"/>
          <w:color w:val="auto"/>
        </w:rPr>
      </w:pPr>
      <w:r>
        <w:rPr>
          <w:rFonts w:ascii="Arial" w:cs="Arial" w:eastAsia="Arial" w:hAnsi="Arial"/>
          <w:sz w:val="17"/>
          <w:szCs w:val="17"/>
          <w:color w:val="auto"/>
        </w:rPr>
        <w:t>In the future, we may co-invest with investment funds, accounts and vehicles managed by our Investment Advisor or its affiliates when doing so is consistent with our investment strategy as well as applicable law and SEC staff interpretations. We generally will only be permitted to co -invest with such investment funds, accounts and vehicles where the only term that is negotiated is price. On June 1, 2016, the SEC issued the Order. Subject to satisfaction of certain conditions to the Order, we and certain of our affiliates are now permitted, together with any future BDCs, registered closed-end funds and certain private funds, each of whose investment adviser is our investment adviser or an investment adviser controlling, controlled by, or under common control with our investment adviser, to co -invest in negotiated investment opportunities where doing so would otherwise be prohibited under the 1940 Act, providing our stockholders with access to a broader array of investment opportunities.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w:t>
      </w:r>
    </w:p>
    <w:p>
      <w:pPr>
        <w:spacing w:after="0" w:line="11" w:lineRule="exact"/>
        <w:rPr>
          <w:sz w:val="20"/>
          <w:szCs w:val="20"/>
          <w:color w:val="auto"/>
        </w:rPr>
      </w:pPr>
    </w:p>
    <w:p>
      <w:pPr>
        <w:ind w:left="1260" w:right="419"/>
        <w:spacing w:after="0" w:line="243" w:lineRule="auto"/>
        <w:tabs>
          <w:tab w:leader="none" w:pos="15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co-investment transaction is consistent with the interests of our stockholders and is consistent with our then-current investment objective and strategies.</w:t>
      </w:r>
    </w:p>
    <w:p>
      <w:pPr>
        <w:spacing w:after="0" w:line="11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In addition, within our portfolio there are investments that may be deemed to be “controlled” investments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Advisor because such a transaction could be considered a joint transaction prohibited by the 1940 Act in the absence of our receipt of relief from the SEC in connection with such transaction. For example, if an affiliate of our Investment Advisor were required to approve a restructuring of an investment in the portfolio and the affiliate of our Investment Advisor was deemed to be our affiliate, such a restructuring transaction may constitute a prohibited joint transaction under the 1940 Act.</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381" w:lineRule="auto"/>
        <w:rPr>
          <w:sz w:val="20"/>
          <w:szCs w:val="20"/>
          <w:color w:val="auto"/>
        </w:rPr>
      </w:pPr>
      <w:r>
        <w:rPr>
          <w:rFonts w:ascii="Arial" w:cs="Arial" w:eastAsia="Arial" w:hAnsi="Arial"/>
          <w:sz w:val="15"/>
          <w:szCs w:val="15"/>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19"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Our portfolio may be concentrated in a limited number of portfolio companies. Beyond the asset diversification requirements associated with our RIC tax treatment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192" w:lineRule="exact"/>
        <w:rPr>
          <w:sz w:val="20"/>
          <w:szCs w:val="20"/>
          <w:color w:val="auto"/>
        </w:rPr>
      </w:pPr>
    </w:p>
    <w:p>
      <w:pPr>
        <w:jc w:val="both"/>
        <w:ind w:left="1260" w:right="399"/>
        <w:spacing w:after="0" w:line="342" w:lineRule="auto"/>
        <w:rPr>
          <w:sz w:val="20"/>
          <w:szCs w:val="20"/>
          <w:color w:val="auto"/>
        </w:rPr>
      </w:pPr>
      <w:r>
        <w:rPr>
          <w:rFonts w:ascii="Arial" w:cs="Arial" w:eastAsia="Arial" w:hAnsi="Arial"/>
          <w:sz w:val="16"/>
          <w:szCs w:val="16"/>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56"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RIC tax treatment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w:t>
      </w:r>
    </w:p>
    <w:p>
      <w:pPr>
        <w:spacing w:after="0" w:line="196" w:lineRule="exact"/>
        <w:rPr>
          <w:sz w:val="20"/>
          <w:szCs w:val="20"/>
          <w:color w:val="auto"/>
        </w:rPr>
      </w:pPr>
    </w:p>
    <w:p>
      <w:pPr>
        <w:jc w:val="both"/>
        <w:ind w:left="1260" w:right="399"/>
        <w:spacing w:after="0" w:line="381" w:lineRule="auto"/>
        <w:rPr>
          <w:sz w:val="20"/>
          <w:szCs w:val="20"/>
          <w:color w:val="auto"/>
        </w:rPr>
      </w:pPr>
      <w:r>
        <w:rPr>
          <w:rFonts w:ascii="Arial" w:cs="Arial" w:eastAsia="Arial" w:hAnsi="Arial"/>
          <w:sz w:val="15"/>
          <w:szCs w:val="15"/>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33" w:lineRule="exact"/>
        <w:rPr>
          <w:sz w:val="20"/>
          <w:szCs w:val="20"/>
          <w:color w:val="auto"/>
        </w:rPr>
      </w:pPr>
    </w:p>
    <w:p>
      <w:pPr>
        <w:jc w:val="both"/>
        <w:ind w:left="1260" w:right="419" w:firstLine="360"/>
        <w:spacing w:after="0" w:line="275" w:lineRule="auto"/>
        <w:rPr>
          <w:sz w:val="20"/>
          <w:szCs w:val="20"/>
          <w:color w:val="auto"/>
        </w:rPr>
      </w:pPr>
      <w:r>
        <w:rPr>
          <w:rFonts w:ascii="Arial" w:cs="Arial" w:eastAsia="Arial" w:hAnsi="Arial"/>
          <w:sz w:val="17"/>
          <w:szCs w:val="17"/>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176" w:lineRule="exact"/>
        <w:rPr>
          <w:sz w:val="20"/>
          <w:szCs w:val="20"/>
          <w:color w:val="auto"/>
        </w:rPr>
      </w:pPr>
    </w:p>
    <w:p>
      <w:pPr>
        <w:jc w:val="both"/>
        <w:ind w:left="1260" w:right="419"/>
        <w:spacing w:after="0" w:line="286" w:lineRule="auto"/>
        <w:rPr>
          <w:sz w:val="20"/>
          <w:szCs w:val="20"/>
          <w:color w:val="auto"/>
        </w:rPr>
      </w:pPr>
      <w:r>
        <w:rPr>
          <w:rFonts w:ascii="Arial" w:cs="Arial" w:eastAsia="Arial" w:hAnsi="Arial"/>
          <w:sz w:val="17"/>
          <w:szCs w:val="17"/>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84"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We currently hold a controlling equity position in one portfolio company. Although we may do so in the future, we expect that we will not hold controlling equity positions in most of our portfolio companies.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78" w:lineRule="exact"/>
        <w:rPr>
          <w:sz w:val="20"/>
          <w:szCs w:val="20"/>
          <w:color w:val="auto"/>
        </w:rPr>
      </w:pPr>
    </w:p>
    <w:p>
      <w:pPr>
        <w:jc w:val="both"/>
        <w:ind w:left="1260" w:right="399"/>
        <w:spacing w:after="0" w:line="277" w:lineRule="auto"/>
        <w:rPr>
          <w:sz w:val="20"/>
          <w:szCs w:val="20"/>
          <w:color w:val="auto"/>
        </w:rPr>
      </w:pPr>
      <w:r>
        <w:rPr>
          <w:rFonts w:ascii="Arial" w:cs="Arial" w:eastAsia="Arial" w:hAnsi="Arial"/>
          <w:sz w:val="18"/>
          <w:szCs w:val="18"/>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103"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We currently have, and may acquire in the future, control investments in portfolio companies. Our ability to divest ourselves from a debt or equity investment in a controlled portfolio company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If the assets securing the loans that we make decrease in value, then we may lack sufficient collateral to cover losses.</w:t>
      </w:r>
    </w:p>
    <w:p>
      <w:pPr>
        <w:spacing w:after="0" w:line="90"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To attempt to mitigate credit risks, we will typically take a security interest in the available assets of our portfolio companies. There is no assurance that we will obtain or properly perfect our liens.</w:t>
      </w:r>
    </w:p>
    <w:p>
      <w:pPr>
        <w:spacing w:after="0" w:line="103"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123"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7"/>
          <w:szCs w:val="17"/>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p>
    <w:p>
      <w:pPr>
        <w:spacing w:after="0" w:line="100"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86" w:lineRule="exact"/>
        <w:rPr>
          <w:sz w:val="20"/>
          <w:szCs w:val="20"/>
          <w:color w:val="auto"/>
        </w:rPr>
      </w:pPr>
    </w:p>
    <w:p>
      <w:pPr>
        <w:jc w:val="both"/>
        <w:ind w:left="1260" w:right="419"/>
        <w:spacing w:after="0" w:line="322" w:lineRule="auto"/>
        <w:rPr>
          <w:sz w:val="20"/>
          <w:szCs w:val="20"/>
          <w:color w:val="auto"/>
        </w:rPr>
      </w:pPr>
      <w:r>
        <w:rPr>
          <w:rFonts w:ascii="Arial" w:cs="Arial" w:eastAsia="Arial" w:hAnsi="Arial"/>
          <w:sz w:val="15"/>
          <w:szCs w:val="15"/>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62"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third-party and/or cease activities utilizing the proprietary rights, including</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82"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Any unrealized depreciation we experience on our loan portfolio may be an indication of future realized losses, which could reduce our income available for distribution.</w:t>
      </w:r>
    </w:p>
    <w:p>
      <w:pPr>
        <w:spacing w:after="0" w:line="90"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As a BDC, we are required to carry our investments at market value or, if no market value is ascertainable, at the fair value as determined in good faith by our Board. Decreases in the market values or fair values of our investments will be recorded as unrealized depreciation. Any unrealized depreciation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89"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103"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58"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ability to enter into transactions involving derivatives and financial commitment transactions may be limited.</w:t>
      </w:r>
    </w:p>
    <w:p>
      <w:pPr>
        <w:spacing w:after="0" w:line="179"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Through comprehensive new global regulatory regimes impacting derivatives (e.g., the Dodd-Frank Act, European Market Infrastructure Regulation (“EMIR”), Markets in Financial Investments Regulation (“MIFIR”)/Markets in Financial Instruments Directive (“MIFID II”)), certain over-the-counter derivatives transactions in which we may engage are either now or will soon be subject to various requirements, such as mandatory central clearing of transactions which include additional margin requirements and in certain cases trading on electronic platforms, pre-and post-trade transparency reporting requirements and mandatory bi-lateral exchange of initial margin for non-cleared swaps. The Dodd-Frank Act also created new categories of regulated market participants, such as “swap dealers,” “security-based swap dealers,” “major swap participants,” and “major security-based swap participants” who are subject to significant new capital, registration, recordkeeping, reporting, disclosure, business conduct and other regulatory requirements. The EU and some other jurisdictions are implementing similar requirements. Because these requirements are new</w:t>
      </w:r>
    </w:p>
    <w:p>
      <w:pPr>
        <w:sectPr>
          <w:pgSz w:w="11900" w:h="16838" w:orient="portrait"/>
          <w:cols w:equalWidth="0" w:num="1">
            <w:col w:w="9879"/>
          </w:cols>
          <w:pgMar w:left="580" w:top="132"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color w:val="auto"/>
        </w:rPr>
        <w:t>and evolving (and some of the rules are not yet final), their ultimate impact remains unclear. However, even if the Company itself is not located in a particular jurisdiction or directly subject to the jurisdiction’s derivatives regulations, we may still be impacted to the extent we enter into a derivatives transaction with a regulated market participant or counterparty that is organized in that jurisdiction or otherwise subject to that jurisdiction’s derivatives regulations.</w:t>
      </w:r>
    </w:p>
    <w:p>
      <w:pPr>
        <w:spacing w:after="0" w:line="108"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Based on information available as of the date of this annual report on Form 10-K, the effect of such requirements will be likely to (directly or indirectly) increase our overall costs of entering into derivatives transactions. In particular, new margin requirements, position limits and significantly higher capital charges resulting from new global capital regulations, even if not directly applicable to us, may cause an increase in the pricing of derivatives transactions entered into by market participants to whom such requirements apply or affect our overall ability to enter into derivatives transactions with certain counterparties. Such new global capital regulations and the need to satisfy the various requirements by counterparties are resulting in increased funding costs, increased overall transaction costs, and significantly affecting balance sheets, thereby resulting in changes to financing terms and potentially impacting our ability to obtain financing. Administrative costs, due to new requirements such as registration, recordkeeping, reporting, and compliance, even if not directly applicable to us, may also be reflected in our derivatives transactions. New requirements to trade certain derivatives transactions on electronic trading platforms and trade reporting requirements may lead to (among other things) fragmentation of the markets, higher transaction costs or reduced availability of derivatives, and/or a reduced ability to hedge, all of which could adversely affect the performance of certain of our trading strategies. In addition, changes to derivatives regulations may impact the tax and/or accounting treatment of certain derivatives, which could adversely impact us.</w:t>
      </w:r>
    </w:p>
    <w:p>
      <w:pPr>
        <w:spacing w:after="0" w:line="118"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In November 2020, the SEC adopted new rules regarding the ability of a BDC (or a registered investment company) to use derivatives and other transactions that create future payment or delivery obligations. BDCs that use derivatives would be subject to a value-at-risk leverage limit, certain other derivatives risk management program and testing requirements and requirements related to board reporting. These new requirements would apply unless the BDC qualified as a “limited derivatives user,” as defined in the SEC’s adopted rules. A BDC that enters into reverse repurchase agreements or similar financing transactions would need to aggregate the amount of indebtedness associated with the reverse repurchase agreements or similar financing transactions could either (i) comply with the asset coverage requirements of the Section 18 of the 1940 Act when engaging in reverse repurchase agreements or (ii) choose to treat such agreements as derivative transactions under the adopted rule. Under the adopted rule,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test, it is required to treat unfunded commitments as a derivatives transaction subject to the requirements of the rule. Collectively, these requirements may limit our ability to use derivatives and/or enter into certain other financial contracts.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58"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 U.S. currencies because the value of those securities is likely to fluctuate as a result of factors not related to currency fluctuations.</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Changes relating to the LIBOR calculation process may adversely affect the value of our portfolio of LIBOR-indexed, floating-rate debt securities.</w:t>
      </w:r>
    </w:p>
    <w:p>
      <w:pPr>
        <w:spacing w:after="0" w:line="90"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floating-rate loans we extend to portfolio companies such that the interest due to us pursuant to a term loan extended to a portfolio company is calculated using LIBOR. The terms of our debt investments generally include minimum interest rate floors which are calculated based on LIBOR. In the recent past, 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 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121"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Actions by the ICE Benchmark Administration, regulators or law enforcement agencies as a result of these or future events, may result in changes to the manner in which LIBOR is determined. Potential changes, or uncertainty related to such potential changes may adversely affect the market for LIBOR-based securities, including our portfolio of LIBOR -indexed,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loans, and other financial obligations or extensions of credit held by or due to us.</w:t>
      </w:r>
    </w:p>
    <w:p>
      <w:pPr>
        <w:spacing w:after="0" w:line="126"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On July 27, 2017, the U.K. Financial Conduct Authority (the “FCA”), which regulates LIBOR, announced that it intends to stop persuading or compelling banks to submit LIBOR rates after 2021. In addition, on March 25, 2020, the FCA stated that although the central assumption that firms cannot rely on LIBOR being published after the end of 2021 has not changed, the COVID-19 pandemic has impacted the timing of many firms’ transition planning, and the FCA will continue to assess the impact of the COVID-19 pandemic on transition timelines and update the marketplace as soon as possible. Furthermore, on November 30, 2020, the Intercontinental Exchange, Inc. (“ICE”) announced that the ICE Benchmark Administration Limited, a wholly owned subsidiary of ICE and the administrator of LIBOR, announced its plan to extend the date that most U.S. LIBOR values would cease being computed and announced from December 31, 2021 to June 30, 2023. Despite this extension of the U.S. LIBOR transition deadline for certain LIBOR values, U.S. regulators continue to urge financial institutions to stop entering into new LIBOR transactions by the end of 2021. It is unclear if after 2021 LIBOR will cease to exist or if new methods of calculating LIBOR will be established such that it continues to exist after 2021. It is also unclear whether the COVID- 19 pandemic will have further effect on LIBOR transition plans. We have exposure to LIBOR, including in financial instruments that mature after 2021. Our exposure arises from the value of our portfolio of LIBOR-indexed, floating-rate debt securities.</w:t>
      </w:r>
    </w:p>
    <w:p>
      <w:pPr>
        <w:spacing w:after="0" w:line="104"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April 2018. Whether or not SOFR attains market traction as a LIBOR replacement remains a question and the future of LIBOR at this time is uncertain, including whether the COVID-19 pandemic will have further effect on LIBOR transition plans.</w:t>
      </w:r>
    </w:p>
    <w:p>
      <w:pPr>
        <w:spacing w:after="0" w:line="126"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elimination of LIBOR or any other changes or reforms to the determination or supervision of LIBOR could have an adverse impact on the market for or value of any LIBOR- indexed, floating-rate debt securities, loans, and other financial obligations or extensions of credit held by or due to us or on our overall financial condition or results of operations. If LIBOR ceases to exist, we may need to renegotiate the credit agreements extending beyond 2021 with our portfolio companies that utilize LIBOR as a factor in determining the interest rate to replace LIBOR with the new standard that is established. In the event that the LIBOR Rate</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7"/>
          <w:szCs w:val="17"/>
          <w:color w:val="auto"/>
        </w:rPr>
        <w:t>is no longer available or published on a current basis or no longer made available or used for determining the interest rate of loans, our administrative agent that manages our loans will generally select a comparable successor rate; provided that (i) to the extent a comparable or successor rate is approved by the administrative agent, the approved rate shall be applied in a manner consistent with market practice; and (ii) to the extent such market practice is not administratively feasible for the administrative agent, such approved rate shall be applied as otherwise reasonably determined by the administrative agent.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44"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126"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In December 2015 the United Nations, of which the U.S. is a member, adopted a climate accord (the “Paris Agreement”) with the long-term goal of limiting global warming and the short-term goal of significantly reducing greenhouse gas emissions. On November 4, 2016, the past administration announced that the U.S. would cease participation in the Paris Agreement with the withdrawal taking effect on November 4, 2020. However, on January 20, 2021, President Joseph R. Biden signed an executive order to rejoin the Paris Agreement. As a result, some of our portfolio companies may become subject to new or strengthened regulations or legislation, which could increase their operating costs and/or decrease their revenues.</w:t>
      </w:r>
    </w:p>
    <w:p>
      <w:pPr>
        <w:spacing w:after="0" w:line="194"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103"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operations and financial condition and cause the loss of all or part of your investment.</w:t>
      </w:r>
    </w:p>
    <w:p>
      <w:pPr>
        <w:spacing w:after="0" w:line="185"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b w:val="1"/>
          <w:bCs w:val="1"/>
          <w:i w:val="1"/>
          <w:iCs w:val="1"/>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103"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 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of below investment grade instruments may experience financial stress that could adversely affect their ability to make payments of principal and interest and increase the possibility of default.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Our investments may be in portfolio companies which may have limited operating histories and financial resources.</w:t>
      </w:r>
    </w:p>
    <w:p>
      <w:pPr>
        <w:spacing w:after="0" w:line="202"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We expect that our portfolio will continue to consist of investments that may have relatively limited operating histories. These companies may be particularly vulnerable to U.S. and foreign economic downturns such as the U.S. recession that began in mid -2007, the European financial crisis, and the COVID-19 related economic downturn,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5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74" w:lineRule="exact"/>
        <w:rPr>
          <w:sz w:val="20"/>
          <w:szCs w:val="20"/>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17"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BDCs or SBICs;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qualify as a RIC, or the loss of RIC tax treatment;</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investments;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departures of the Investment Advisor’s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conditions and trends and other external factors.</w:t>
      </w:r>
    </w:p>
    <w:p>
      <w:pPr>
        <w:spacing w:after="0" w:line="225"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b w:val="1"/>
          <w:bCs w:val="1"/>
          <w:i w:val="1"/>
          <w:iCs w:val="1"/>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116"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increased in the BDC space recently. Specifically, we are currently subject to class action litigation.</w:t>
      </w:r>
    </w:p>
    <w:p>
      <w:pPr>
        <w:spacing w:after="0" w:line="106"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0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Securities litigation and corresponding stockholder activism, if any,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Investing in our common stock may involve an above average degree of risk.</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The investments we make may result in a higher amount of risk, volatility, or loss of principal than alternative investment options. These investments in portfolio companies may be highly speculative and aggressive, and therefore, an investment in our common stock may not be suitable for investors with lower risk tolerance.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58"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from time to time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91"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Our common stockholders will bear the expenses associated with our borrowings, and the holders of our debt securities will have certain rights senior to our common stockholders.</w:t>
      </w:r>
    </w:p>
    <w:p>
      <w:pPr>
        <w:spacing w:after="0" w:line="90"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All of the costs of offering and servicing our debt securities, including interest thereon, is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75"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 may have an adverse effect on the market price of our common stock.</w:t>
      </w:r>
    </w:p>
    <w:p>
      <w:pPr>
        <w:spacing w:after="0" w:line="103"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Shares of our common stock have traded at a discount from net asset value and may do so in the future.</w:t>
      </w:r>
    </w:p>
    <w:p>
      <w:pPr>
        <w:spacing w:after="0" w:line="158"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Shares of BDC’s have frequently traded at a market price that is less than the net asset value that is attributable to those shares. For example, as a result of the COVID -19 pandemic, the stocks of BDCs as an industry, including shares of our common stock, have traded below NAV, at or near historic lows as a result of concerns over liquidity, leverage restrictions and distribution requirements. In part as a result of adverse economic conditions and increasing pressure within the financial sector of which we are a part, our common stock has at times traded below its net asset value per share since our IPO on September 30, 2013. Our shares</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will have broad discretion over the use of proceeds of any successful offering of securities.</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We will have significant flexibility in applying the proceeds of any successful offering of our securities. We will also pay operating expenses, and may pay other expenses such as due diligence expenses of potential new investments, from net proceeds. Our ability to achieve our investment objective may be limited to the extent that the net proceeds of any offering, pending full investment, are used to pay operating expenses. In addition, we can provide you no assurance that the any offering will be successful, or that by increasing the size of our available equity capital, our aggregate expenses, and correspondingly, our expense ratio, will be lowered.</w:t>
      </w:r>
    </w:p>
    <w:p>
      <w:pPr>
        <w:spacing w:after="0" w:line="195" w:lineRule="exact"/>
        <w:rPr>
          <w:sz w:val="20"/>
          <w:szCs w:val="20"/>
          <w:color w:val="auto"/>
        </w:rPr>
      </w:pPr>
    </w:p>
    <w:p>
      <w:pPr>
        <w:jc w:val="both"/>
        <w:ind w:left="1260" w:right="419"/>
        <w:spacing w:after="0" w:line="342" w:lineRule="auto"/>
        <w:rPr>
          <w:sz w:val="20"/>
          <w:szCs w:val="20"/>
          <w:color w:val="auto"/>
        </w:rPr>
      </w:pPr>
      <w:r>
        <w:rPr>
          <w:rFonts w:ascii="Arial" w:cs="Arial" w:eastAsia="Arial" w:hAnsi="Arial"/>
          <w:sz w:val="16"/>
          <w:szCs w:val="16"/>
          <w:b w:val="1"/>
          <w:bCs w:val="1"/>
          <w:i w:val="1"/>
          <w:iCs w:val="1"/>
          <w:color w:val="auto"/>
        </w:rPr>
        <w:t>The net asset value per share of our common stock may be diluted if we sell shares of our common stock in one or more offerings at prices below the then current net asset value per share of our common stock.</w:t>
      </w:r>
    </w:p>
    <w:p>
      <w:pPr>
        <w:spacing w:after="0" w:line="56"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At our 2020 Annual Stockholders Meeting, subject to certain required determinations made by our Board, we asked and received approval from our stockholders to approve our ability to sell or otherwise issue shares of our common stock, not exceeding 25% of our then outstanding common stock immediately prior to each such offering, at a price below the then current net asset value per share during a period beginning on April 30, 2020 and expiring on April 29, 2021. Although our Board is generally required to make certain determinations prior to any issuance of our common stock at a price below the then current net asset value (“NAV”) per share, we may sell shares of our common stock at a price per share below the then current NAV in reliance on our stockholder approval obtained at the 2020 Annual Stockholders Meeting where the Board approved the Company’s ability to sell below NAV in a $50.0 million “at the market offering” (the “ATM Program”). However, we will not be able to sell below NAV in the ATM Program after April 29, 2021.</w:t>
      </w:r>
    </w:p>
    <w:p>
      <w:pPr>
        <w:spacing w:after="0" w:line="124"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If we were to sell shares of our common stock below its then current net asset value per share would be subject to the determination by our Board that such issuance is in our and our stockholders’ best interests. If we were to sell shares of our common stock below its then current net asset value per share, such sales would result in an immediate dilution to the net asset value per share of our common stock. This dilution would occur as a result of the sale of shares at a price below the then current net asset value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spacing w:after="0" w:line="115" w:lineRule="exact"/>
        <w:rPr>
          <w:sz w:val="20"/>
          <w:szCs w:val="20"/>
          <w:color w:val="auto"/>
        </w:rPr>
      </w:pPr>
    </w:p>
    <w:p>
      <w:pPr>
        <w:jc w:val="both"/>
        <w:ind w:left="1260" w:right="419" w:firstLine="360"/>
        <w:spacing w:after="0" w:line="275" w:lineRule="auto"/>
        <w:rPr>
          <w:sz w:val="20"/>
          <w:szCs w:val="20"/>
          <w:color w:val="auto"/>
        </w:rPr>
      </w:pPr>
      <w:r>
        <w:rPr>
          <w:rFonts w:ascii="Arial" w:cs="Arial" w:eastAsia="Arial" w:hAnsi="Arial"/>
          <w:sz w:val="17"/>
          <w:szCs w:val="17"/>
          <w:color w:val="auto"/>
        </w:rPr>
        <w:t>Further, if our current stockholders do not purchase any shares to maintain their percentage interest, regardless of whether such offering is above or below the then current net asset value per share, their voting power will be diluted. For example, if we sell an additional 10% of our common shares at a 10% discount from net asset value, a stockholder who does not participate in that offering for its proportionate interest will suffer net asset value dilution of up to 1.0% or $10 per $1,000 of net asset value.</w:t>
      </w:r>
    </w:p>
    <w:p>
      <w:pPr>
        <w:spacing w:after="0" w:line="176"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b w:val="1"/>
          <w:bCs w:val="1"/>
          <w:i w:val="1"/>
          <w:iCs w:val="1"/>
          <w:color w:val="auto"/>
        </w:rPr>
        <w:t>Your interest in Capitala Finance may be diluted if you do not fully exercise your subscription rights in any rights offering.</w:t>
      </w:r>
    </w:p>
    <w:p>
      <w:pPr>
        <w:spacing w:after="0" w:line="103"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In the event we issue subscription rights to purchase shares of our common stock, stockholders who do not fully exercise their rights should expect that they will, at the completion of the offer, own a smaller proportional interest in Capitala Finance than would otherwise be the case if they fully exercised their rights.</w:t>
      </w:r>
    </w:p>
    <w:p>
      <w:pPr>
        <w:spacing w:after="0" w:line="119"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We cannot state precisely the amount of any such dilution in share ownership because we do not know at this time what proportion of the shares would be purchased as a result of a rights offering.</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In addition, if the subscription price in a rights offering is less than our net asset value per share, then our stockholders would experience an immediate dilution of the aggregate net asset value of their shares as a result of the rights offering. The amount of any decrease in net asset value is not predictable because it is not known at this time what the subscription price and net asset value per share will be on the expiration date of any rights offering or what proportion of the shares will be purchased as a result of such rights offering. Such dilution could be substantial.</w:t>
      </w:r>
    </w:p>
    <w:p>
      <w:pPr>
        <w:spacing w:after="0" w:line="189" w:lineRule="exact"/>
        <w:rPr>
          <w:sz w:val="20"/>
          <w:szCs w:val="20"/>
          <w:color w:val="auto"/>
        </w:rPr>
      </w:pPr>
    </w:p>
    <w:p>
      <w:pPr>
        <w:jc w:val="both"/>
        <w:ind w:left="1260" w:right="399"/>
        <w:spacing w:after="0" w:line="261" w:lineRule="auto"/>
        <w:rPr>
          <w:sz w:val="20"/>
          <w:szCs w:val="20"/>
          <w:color w:val="auto"/>
        </w:rPr>
      </w:pPr>
      <w:r>
        <w:rPr>
          <w:rFonts w:ascii="Arial" w:cs="Arial" w:eastAsia="Arial" w:hAnsi="Arial"/>
          <w:sz w:val="18"/>
          <w:szCs w:val="18"/>
          <w:b w:val="1"/>
          <w:bCs w:val="1"/>
          <w:i w:val="1"/>
          <w:iCs w:val="1"/>
          <w:color w:val="auto"/>
        </w:rPr>
        <w:t>If we issue preferred stock, the net asset value and market value of our common stock will likely become more volatile.</w:t>
      </w:r>
    </w:p>
    <w:p>
      <w:pPr>
        <w:spacing w:after="0" w:line="90"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We cannot assure you that the issuance of preferred stock would result in a higher yield or return to the holders of our common stock. The issuance of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179"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our Board and class voting rights on certain matters.</w:t>
      </w:r>
    </w:p>
    <w:p>
      <w:pPr>
        <w:spacing w:after="0" w:line="103"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Holders of any preferred stock we might issue, voting separately as a single class, would have the right to elect two members of our Board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dividends or other distributions to the holders of our common stock and preferred stock, both by the 1940 Act and by requirements imposed by rating agencies, if any, or the terms of our credit facilities, if any, might impair our ability to maintain our RIC tax treatment under the Code for U.S.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Our executive offices are located at 4201 Congress Street, Suite 360, Charlotte, North Carolina 28209, and are provided by our Administrator in accordance with the terms of the Administration Agreement. We believe that our office facilities are suitable and adequate for our business as it is contemplated to be conducted.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We and our subsidiaries are not currently subject to any material legal proceedings, nor, to our knowledge, is any material legal proceeding threatened against us or our subsidiaries. From time to time, we, or our</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9" w:lineRule="auto"/>
        <w:rPr>
          <w:sz w:val="20"/>
          <w:szCs w:val="20"/>
          <w:color w:val="auto"/>
        </w:rPr>
      </w:pPr>
      <w:r>
        <w:rPr>
          <w:rFonts w:ascii="Arial" w:cs="Arial" w:eastAsia="Arial" w:hAnsi="Arial"/>
          <w:sz w:val="17"/>
          <w:szCs w:val="17"/>
          <w:color w:val="auto"/>
        </w:rPr>
        <w:t>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2120" w:right="1279" w:hanging="863"/>
        <w:spacing w:after="0" w:line="312" w:lineRule="auto"/>
        <w:tabs>
          <w:tab w:leader="none" w:pos="2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Shares of our common stock are traded on the NASDAQ Global Select Market under the symbol “CPTA.”</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last reported price for shares of our common stock on March 5, 2021 was $16.51 per share. As of March 5, 2021 there were 34 holders of record of shares of our common 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following table sets forth, for each fiscal quarter within the two most recent fiscal years, and the current fiscal quarter, the range of high and low intraday sales prices of our common stock as reported on the Nasdaq Global Select Market, the premium (discount) of sales price to our net asset value and the distributions declared by us for each fiscal quarter.</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Premium or</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Premium or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(Discount) of</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(Discount) of</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5"/>
          </w:tcPr>
          <w:p>
            <w:pPr>
              <w:jc w:val="right"/>
              <w:ind w:right="460"/>
              <w:spacing w:after="0" w:line="212" w:lineRule="exact"/>
              <w:rPr>
                <w:sz w:val="20"/>
                <w:szCs w:val="20"/>
                <w:color w:val="auto"/>
              </w:rPr>
            </w:pPr>
            <w:r>
              <w:rPr>
                <w:rFonts w:ascii="Arial" w:cs="Arial" w:eastAsia="Arial" w:hAnsi="Arial"/>
                <w:sz w:val="14"/>
                <w:szCs w:val="14"/>
                <w:b w:val="1"/>
                <w:bCs w:val="1"/>
                <w:color w:val="auto"/>
              </w:rPr>
              <w:t>Sales Price</w:t>
            </w:r>
            <w:r>
              <w:rPr>
                <w:rFonts w:ascii="Arial" w:cs="Arial" w:eastAsia="Arial" w:hAnsi="Arial"/>
                <w:sz w:val="21"/>
                <w:szCs w:val="21"/>
                <w:b w:val="1"/>
                <w:bCs w:val="1"/>
                <w:color w:val="auto"/>
                <w:vertAlign w:val="superscript"/>
              </w:rPr>
              <w:t>(4)</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High Sales</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Low Sales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gridSpan w:val="2"/>
          </w:tcPr>
          <w:p>
            <w:pPr>
              <w:ind w:left="260"/>
              <w:spacing w:after="0" w:line="75" w:lineRule="exact"/>
              <w:rPr>
                <w:sz w:val="20"/>
                <w:szCs w:val="20"/>
                <w:color w:val="auto"/>
              </w:rPr>
            </w:pPr>
            <w:r>
              <w:rPr>
                <w:rFonts w:ascii="Arial" w:cs="Arial" w:eastAsia="Arial" w:hAnsi="Arial"/>
                <w:sz w:val="8"/>
                <w:szCs w:val="8"/>
                <w:b w:val="1"/>
                <w:bCs w:val="1"/>
                <w:color w:val="auto"/>
              </w:rPr>
              <w:t>NAV</w:t>
            </w:r>
          </w:p>
        </w:tc>
        <w:tc>
          <w:tcPr>
            <w:tcW w:w="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tcPr>
          <w:p>
            <w:pPr>
              <w:jc w:val="center"/>
              <w:ind w:right="240"/>
              <w:spacing w:after="0" w:line="75" w:lineRule="exact"/>
              <w:rPr>
                <w:sz w:val="20"/>
                <w:szCs w:val="20"/>
                <w:color w:val="auto"/>
              </w:rPr>
            </w:pPr>
            <w:r>
              <w:rPr>
                <w:rFonts w:ascii="Arial" w:cs="Arial" w:eastAsia="Arial" w:hAnsi="Arial"/>
                <w:sz w:val="8"/>
                <w:szCs w:val="8"/>
                <w:b w:val="1"/>
                <w:bCs w:val="1"/>
                <w:color w:val="auto"/>
              </w:rPr>
              <w:t>Price to</w:t>
            </w:r>
          </w:p>
        </w:tc>
        <w:tc>
          <w:tcPr>
            <w:tcW w:w="1040" w:type="dxa"/>
            <w:vAlign w:val="bottom"/>
            <w:gridSpan w:val="2"/>
          </w:tcPr>
          <w:p>
            <w:pPr>
              <w:jc w:val="center"/>
              <w:ind w:right="260"/>
              <w:spacing w:after="0" w:line="75" w:lineRule="exact"/>
              <w:rPr>
                <w:sz w:val="20"/>
                <w:szCs w:val="20"/>
                <w:color w:val="auto"/>
              </w:rPr>
            </w:pPr>
            <w:r>
              <w:rPr>
                <w:rFonts w:ascii="Arial" w:cs="Arial" w:eastAsia="Arial" w:hAnsi="Arial"/>
                <w:sz w:val="8"/>
                <w:szCs w:val="8"/>
                <w:b w:val="1"/>
                <w:bCs w:val="1"/>
                <w:color w:val="auto"/>
              </w:rPr>
              <w:t>Price to</w:t>
            </w:r>
          </w:p>
        </w:tc>
        <w:tc>
          <w:tcPr>
            <w:tcW w:w="86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Distributions</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Per Share</w:t>
            </w:r>
            <w:r>
              <w:rPr>
                <w:rFonts w:ascii="Arial" w:cs="Arial" w:eastAsia="Arial" w:hAnsi="Arial"/>
                <w:sz w:val="21"/>
                <w:szCs w:val="21"/>
                <w:b w:val="1"/>
                <w:bCs w:val="1"/>
                <w:color w:val="auto"/>
                <w:w w:val="82"/>
                <w:vertAlign w:val="superscript"/>
              </w:rPr>
              <w:t>(1)(4)</w:t>
            </w:r>
          </w:p>
        </w:tc>
        <w:tc>
          <w:tcPr>
            <w:tcW w:w="2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High</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NAV</w:t>
            </w:r>
            <w:r>
              <w:rPr>
                <w:rFonts w:ascii="Arial" w:cs="Arial" w:eastAsia="Arial" w:hAnsi="Arial"/>
                <w:sz w:val="21"/>
                <w:szCs w:val="21"/>
                <w:b w:val="1"/>
                <w:bCs w:val="1"/>
                <w:color w:val="auto"/>
                <w:w w:val="85"/>
                <w:vertAlign w:val="superscript"/>
              </w:rPr>
              <w:t>(2)</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21"/>
                <w:szCs w:val="21"/>
                <w:b w:val="1"/>
                <w:bCs w:val="1"/>
                <w:color w:val="auto"/>
                <w:vertAlign w:val="superscript"/>
              </w:rPr>
              <w:t>(2)</w:t>
            </w:r>
          </w:p>
        </w:tc>
        <w:tc>
          <w:tcPr>
            <w:tcW w:w="2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Per Share</w:t>
            </w:r>
            <w:r>
              <w:rPr>
                <w:rFonts w:ascii="Arial" w:cs="Arial" w:eastAsia="Arial" w:hAnsi="Arial"/>
                <w:sz w:val="21"/>
                <w:szCs w:val="21"/>
                <w:b w:val="1"/>
                <w:bCs w:val="1"/>
                <w:color w:val="auto"/>
                <w:w w:val="82"/>
                <w:vertAlign w:val="superscript"/>
              </w:rPr>
              <w:t>(3)(4)</w:t>
            </w:r>
          </w:p>
        </w:tc>
        <w:tc>
          <w:tcPr>
            <w:tcW w:w="0" w:type="dxa"/>
            <w:vAlign w:val="bottom"/>
          </w:tcPr>
          <w:p>
            <w:pPr>
              <w:spacing w:after="0"/>
              <w:rPr>
                <w:sz w:val="1"/>
                <w:szCs w:val="1"/>
                <w:color w:val="auto"/>
              </w:rPr>
            </w:pPr>
          </w:p>
        </w:tc>
      </w:tr>
      <w:tr>
        <w:trPr>
          <w:trHeight w:val="25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December 31, 2021</w:t>
            </w: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spacing w:after="0"/>
              <w:rPr>
                <w:sz w:val="20"/>
                <w:szCs w:val="20"/>
                <w:color w:val="auto"/>
              </w:rPr>
            </w:pPr>
            <w:r>
              <w:rPr>
                <w:rFonts w:ascii="Arial" w:cs="Arial" w:eastAsia="Arial" w:hAnsi="Arial"/>
                <w:sz w:val="18"/>
                <w:szCs w:val="18"/>
                <w:color w:val="auto"/>
              </w:rPr>
              <w:t>First Quarter (through March 5,</w:t>
            </w:r>
          </w:p>
        </w:tc>
        <w:tc>
          <w:tcPr>
            <w:tcW w:w="84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1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$16.99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14.04</w:t>
            </w:r>
          </w:p>
        </w:tc>
        <w:tc>
          <w:tcPr>
            <w:tcW w:w="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December 31, 2020</w:t>
            </w: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$40.19</w:t>
            </w:r>
          </w:p>
        </w:tc>
        <w:tc>
          <w:tcPr>
            <w:tcW w:w="220" w:type="dxa"/>
            <w:vAlign w:val="bottom"/>
          </w:tcPr>
          <w:p>
            <w:pPr>
              <w:spacing w:after="0"/>
              <w:rPr>
                <w:sz w:val="22"/>
                <w:szCs w:val="2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$15.28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22"/>
                <w:szCs w:val="22"/>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w w:val="91"/>
              </w:rPr>
              <w:t>(79.1)%</w:t>
            </w:r>
          </w:p>
        </w:tc>
        <w:tc>
          <w:tcPr>
            <w:tcW w:w="220" w:type="dxa"/>
            <w:vAlign w:val="bottom"/>
          </w:tcPr>
          <w:p>
            <w:pPr>
              <w:spacing w:after="0"/>
              <w:rPr>
                <w:sz w:val="22"/>
                <w:szCs w:val="22"/>
                <w:color w:val="auto"/>
              </w:rPr>
            </w:pPr>
          </w:p>
        </w:tc>
        <w:tc>
          <w:tcPr>
            <w:tcW w:w="86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$39.99</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$18.96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(77.0)%</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$38.75</w:t>
            </w:r>
          </w:p>
        </w:tc>
        <w:tc>
          <w:tcPr>
            <w:tcW w:w="220" w:type="dxa"/>
            <w:vAlign w:val="bottom"/>
          </w:tcPr>
          <w:p>
            <w:pPr>
              <w:spacing w:after="0"/>
              <w:rPr>
                <w:sz w:val="22"/>
                <w:szCs w:val="2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$26.66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13.08</w:t>
            </w:r>
          </w:p>
        </w:tc>
        <w:tc>
          <w:tcPr>
            <w:tcW w:w="8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2"/>
                <w:szCs w:val="22"/>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w w:val="91"/>
              </w:rPr>
              <w:t>(66.2)%</w:t>
            </w:r>
          </w:p>
        </w:tc>
        <w:tc>
          <w:tcPr>
            <w:tcW w:w="220" w:type="dxa"/>
            <w:vAlign w:val="bottom"/>
          </w:tcPr>
          <w:p>
            <w:pPr>
              <w:spacing w:after="0"/>
              <w:rPr>
                <w:sz w:val="22"/>
                <w:szCs w:val="22"/>
                <w:color w:val="auto"/>
              </w:rPr>
            </w:pPr>
          </w:p>
        </w:tc>
        <w:tc>
          <w:tcPr>
            <w:tcW w:w="86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$37.61</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$55.20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(58.5)%</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December 31, 2019</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$54.84</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$54.72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48.42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(11.7)%</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$56.39</w:t>
            </w:r>
          </w:p>
        </w:tc>
        <w:tc>
          <w:tcPr>
            <w:tcW w:w="220" w:type="dxa"/>
            <w:vAlign w:val="bottom"/>
          </w:tcPr>
          <w:p>
            <w:pPr>
              <w:spacing w:after="0"/>
              <w:rPr>
                <w:sz w:val="23"/>
                <w:szCs w:val="2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$59.94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44.04</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3"/>
                <w:szCs w:val="23"/>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w w:val="91"/>
              </w:rPr>
              <w:t>(21.9)%</w:t>
            </w:r>
          </w:p>
        </w:tc>
        <w:tc>
          <w:tcPr>
            <w:tcW w:w="220" w:type="dxa"/>
            <w:vAlign w:val="bottom"/>
          </w:tcPr>
          <w:p>
            <w:pPr>
              <w:spacing w:after="0"/>
              <w:rPr>
                <w:sz w:val="23"/>
                <w:szCs w:val="23"/>
                <w:color w:val="auto"/>
              </w:rPr>
            </w:pPr>
          </w:p>
        </w:tc>
        <w:tc>
          <w:tcPr>
            <w:tcW w:w="860" w:type="dxa"/>
            <w:vAlign w:val="bottom"/>
          </w:tcPr>
          <w:p>
            <w:pPr>
              <w:jc w:val="right"/>
              <w:ind w:right="137"/>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$57.27</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$58.14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47.82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(16.5)%</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$69.66</w:t>
            </w:r>
          </w:p>
        </w:tc>
        <w:tc>
          <w:tcPr>
            <w:tcW w:w="220" w:type="dxa"/>
            <w:vAlign w:val="bottom"/>
          </w:tcPr>
          <w:p>
            <w:pPr>
              <w:spacing w:after="0"/>
              <w:rPr>
                <w:sz w:val="23"/>
                <w:szCs w:val="2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$52.44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40.98</w:t>
            </w:r>
          </w:p>
        </w:tc>
        <w:tc>
          <w:tcPr>
            <w:tcW w:w="80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3"/>
                <w:szCs w:val="23"/>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w w:val="91"/>
              </w:rPr>
              <w:t>(41.2)%</w:t>
            </w:r>
          </w:p>
        </w:tc>
        <w:tc>
          <w:tcPr>
            <w:tcW w:w="220" w:type="dxa"/>
            <w:vAlign w:val="bottom"/>
          </w:tcPr>
          <w:p>
            <w:pPr>
              <w:spacing w:after="0"/>
              <w:rPr>
                <w:sz w:val="23"/>
                <w:szCs w:val="23"/>
                <w:color w:val="auto"/>
              </w:rPr>
            </w:pPr>
          </w:p>
        </w:tc>
        <w:tc>
          <w:tcPr>
            <w:tcW w:w="860" w:type="dxa"/>
            <w:vAlign w:val="bottom"/>
          </w:tcPr>
          <w:p>
            <w:pPr>
              <w:jc w:val="right"/>
              <w:ind w:right="137"/>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-2150745</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-2150745</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-2150745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-2150745</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-2150745</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-2150745</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jc w:val="both"/>
        <w:ind w:left="1620" w:right="419" w:hanging="360"/>
        <w:spacing w:after="0" w:line="263"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62"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Calculated as of the respective high or low intraday sales price divided by the quarter end NAV and subtracting 1.</w:t>
      </w:r>
    </w:p>
    <w:p>
      <w:pPr>
        <w:spacing w:after="0" w:line="35"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otherwise noted, represents the distribution paid or to be paid in the specified quarter. See “Distributions” for detail related to tax characteristics of distributions paid.</w:t>
      </w:r>
    </w:p>
    <w:p>
      <w:pPr>
        <w:spacing w:after="0" w:line="48" w:lineRule="exact"/>
        <w:rPr>
          <w:rFonts w:ascii="Arial" w:cs="Arial" w:eastAsia="Arial" w:hAnsi="Arial"/>
          <w:sz w:val="18"/>
          <w:szCs w:val="18"/>
          <w:color w:val="auto"/>
        </w:rPr>
      </w:pPr>
    </w:p>
    <w:p>
      <w:pPr>
        <w:jc w:val="both"/>
        <w:ind w:left="1620" w:right="419" w:hanging="360"/>
        <w:spacing w:after="0" w:line="263"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62" w:lineRule="exact"/>
        <w:rPr>
          <w:sz w:val="20"/>
          <w:szCs w:val="20"/>
          <w:color w:val="auto"/>
        </w:rPr>
      </w:pPr>
    </w:p>
    <w:p>
      <w:pPr>
        <w:ind w:left="1620" w:hanging="360"/>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determinable at the time of filing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Shares of BDCs may trade at a market price that is less than the value of the net assets attributable to those shares. The possibility that our shares of common stock will trade at a discount from NAV or at premiums that are unsustainable over the long term are separate and distinct from the risk that our NAV will decrease. Since our initial public offering on September 25, 2013, our shares of common stock have traded at times at both a discount and a premium to the net assets attributable to those shares. As of March 5, 2021, shares of our common stock traded at a discount of approximately (58.9%) of the NAV attributable to those shares as of December 31, 2020. It is not possible to predict whether the shares offered hereby will trade at, above, or below NAV.</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48"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On April 30, 2020, July 30, 2020, and October 29, 2020 the Company’s Board determined not to declare a distribution for the second quarter, third quarter, or fourth quarter, respectively, due to the impact of the COVID-19 pandemic on the Company’s expected net investment income.</w:t>
      </w:r>
    </w:p>
    <w:p>
      <w:pPr>
        <w:spacing w:after="0" w:line="112" w:lineRule="exact"/>
        <w:rPr>
          <w:sz w:val="20"/>
          <w:szCs w:val="20"/>
          <w:color w:val="auto"/>
        </w:rPr>
      </w:pPr>
    </w:p>
    <w:p>
      <w:pPr>
        <w:jc w:val="both"/>
        <w:ind w:left="1260" w:right="419" w:firstLine="360"/>
        <w:spacing w:after="0" w:line="273"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10"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11"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The following tables summarize our distributions declared from January 1, 2018 through December 31, 2020:</w:t>
      </w:r>
    </w:p>
    <w:p>
      <w:pPr>
        <w:spacing w:after="0" w:line="105"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Amount</w:t>
            </w:r>
          </w:p>
        </w:tc>
      </w:tr>
      <w:tr>
        <w:trPr>
          <w:trHeight w:val="243"/>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Date Declared</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Record Date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 Date</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Per Share</w:t>
            </w:r>
            <w:r>
              <w:rPr>
                <w:rFonts w:ascii="Arial" w:cs="Arial" w:eastAsia="Arial" w:hAnsi="Arial"/>
                <w:sz w:val="21"/>
                <w:szCs w:val="21"/>
                <w:b w:val="1"/>
                <w:bCs w:val="1"/>
                <w:color w:val="auto"/>
                <w:w w:val="87"/>
                <w:vertAlign w:val="superscript"/>
              </w:rPr>
              <w:t>(1)</w:t>
            </w:r>
          </w:p>
        </w:tc>
      </w:tr>
      <w:tr>
        <w:trPr>
          <w:trHeight w:val="25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January 24, 2020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January 30, 2020</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1"/>
                <w:szCs w:val="21"/>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January 2, 2020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3"/>
              </w:rPr>
              <w:t>February 20, 2020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February 27, 2020</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63"/>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March 23, 2020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March 30, 2020</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29"/>
        </w:trPr>
        <w:tc>
          <w:tcPr>
            <w:tcW w:w="40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Distributions Declared and Distributed for</w:t>
            </w: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2020</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Amount</w:t>
            </w:r>
          </w:p>
        </w:tc>
      </w:tr>
      <w:tr>
        <w:trPr>
          <w:trHeight w:val="243"/>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Record Date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Payment Date</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Per Share</w:t>
            </w:r>
            <w:r>
              <w:rPr>
                <w:rFonts w:ascii="Arial" w:cs="Arial" w:eastAsia="Arial" w:hAnsi="Arial"/>
                <w:sz w:val="21"/>
                <w:szCs w:val="21"/>
                <w:b w:val="1"/>
                <w:bCs w:val="1"/>
                <w:color w:val="auto"/>
                <w:w w:val="87"/>
                <w:vertAlign w:val="superscript"/>
              </w:rPr>
              <w:t>(1)</w:t>
            </w:r>
          </w:p>
        </w:tc>
      </w:tr>
      <w:tr>
        <w:trPr>
          <w:trHeight w:val="25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4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January 24, 2019</w:t>
            </w:r>
          </w:p>
        </w:tc>
        <w:tc>
          <w:tcPr>
            <w:tcW w:w="10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January 30,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1"/>
                <w:szCs w:val="21"/>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January 2, 2019</w:t>
            </w:r>
          </w:p>
        </w:tc>
        <w:tc>
          <w:tcPr>
            <w:tcW w:w="40" w:type="dxa"/>
            <w:vAlign w:val="bottom"/>
          </w:tcPr>
          <w:p>
            <w:pPr>
              <w:spacing w:after="0"/>
              <w:rPr>
                <w:sz w:val="22"/>
                <w:szCs w:val="22"/>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February 20, 2019</w:t>
            </w:r>
          </w:p>
        </w:tc>
        <w:tc>
          <w:tcPr>
            <w:tcW w:w="100" w:type="dxa"/>
            <w:vAlign w:val="bottom"/>
          </w:tcPr>
          <w:p>
            <w:pPr>
              <w:spacing w:after="0"/>
              <w:rPr>
                <w:sz w:val="22"/>
                <w:szCs w:val="22"/>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February 27,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4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5"/>
              </w:rPr>
              <w:t>March 21, 2019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March 28,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56"/>
        </w:trPr>
        <w:tc>
          <w:tcPr>
            <w:tcW w:w="4000" w:type="dxa"/>
            <w:vAlign w:val="bottom"/>
            <w:gridSpan w:val="3"/>
          </w:tcPr>
          <w:p>
            <w:pPr>
              <w:spacing w:after="0"/>
              <w:rPr>
                <w:sz w:val="20"/>
                <w:szCs w:val="20"/>
                <w:color w:val="auto"/>
              </w:rPr>
            </w:pPr>
            <w:r>
              <w:rPr>
                <w:rFonts w:ascii="Arial" w:cs="Arial" w:eastAsia="Arial" w:hAnsi="Arial"/>
                <w:sz w:val="18"/>
                <w:szCs w:val="18"/>
                <w:color w:val="auto"/>
              </w:rPr>
              <w:t>April 1, 2019</w:t>
            </w:r>
          </w:p>
        </w:tc>
        <w:tc>
          <w:tcPr>
            <w:tcW w:w="40" w:type="dxa"/>
            <w:vAlign w:val="bottom"/>
          </w:tcPr>
          <w:p>
            <w:pPr>
              <w:spacing w:after="0"/>
              <w:rPr>
                <w:sz w:val="22"/>
                <w:szCs w:val="22"/>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April 22, 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April 29,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 2019</w:t>
            </w:r>
          </w:p>
        </w:tc>
        <w:tc>
          <w:tcPr>
            <w:tcW w:w="4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5"/>
              </w:rPr>
              <w:t>May 23, 2019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7"/>
              </w:rPr>
              <w:t>May 30,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April 1, 2019</w:t>
            </w: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June 20, 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June 27,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2019</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5"/>
              </w:rPr>
              <w:t>July 23, 2019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July 30,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July 1, 2019</w:t>
            </w: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August 22, 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August 29,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5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2019</w:t>
            </w:r>
          </w:p>
        </w:tc>
        <w:tc>
          <w:tcPr>
            <w:tcW w:w="16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1"/>
              </w:rPr>
              <w:t>September 20, 2019</w:t>
            </w:r>
          </w:p>
        </w:tc>
        <w:tc>
          <w:tcPr>
            <w:tcW w:w="1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September 27,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October 1, 2019</w:t>
            </w: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October 22, 2019</w:t>
            </w:r>
          </w:p>
        </w:tc>
        <w:tc>
          <w:tcPr>
            <w:tcW w:w="100" w:type="dxa"/>
            <w:vAlign w:val="bottom"/>
          </w:tcPr>
          <w:p>
            <w:pPr>
              <w:spacing w:after="0"/>
              <w:rPr>
                <w:sz w:val="22"/>
                <w:szCs w:val="22"/>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October 29,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7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16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3"/>
              </w:rPr>
              <w:t>November 22, 2019</w:t>
            </w:r>
          </w:p>
        </w:tc>
        <w:tc>
          <w:tcPr>
            <w:tcW w:w="10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November 29,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3"/>
                <w:szCs w:val="23"/>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8"/>
                <w:szCs w:val="18"/>
                <w:color w:val="auto"/>
              </w:rPr>
              <w:t>October 1, 2019</w:t>
            </w: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December 23, 2019</w:t>
            </w:r>
          </w:p>
        </w:tc>
        <w:tc>
          <w:tcPr>
            <w:tcW w:w="10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December 30,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4"/>
                <w:szCs w:val="24"/>
                <w:color w:val="auto"/>
              </w:rPr>
            </w:pPr>
          </w:p>
        </w:tc>
      </w:tr>
      <w:tr>
        <w:trPr>
          <w:trHeight w:val="242"/>
        </w:trPr>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w:t>
            </w: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20"/>
                <w:szCs w:val="20"/>
                <w:color w:val="auto"/>
              </w:rPr>
            </w:pPr>
          </w:p>
        </w:tc>
      </w:tr>
      <w:tr>
        <w:trPr>
          <w:trHeight w:val="27"/>
        </w:trPr>
        <w:tc>
          <w:tcPr>
            <w:tcW w:w="1940" w:type="dxa"/>
            <w:vAlign w:val="bottom"/>
            <w:tcBorders>
              <w:bottom w:val="single" w:sz="8" w:color="CCEEFF"/>
            </w:tcBorders>
            <w:shd w:val="clear" w:color="auto" w:fill="CCEEFF"/>
          </w:tcPr>
          <w:p>
            <w:pPr>
              <w:spacing w:after="0"/>
              <w:rPr>
                <w:sz w:val="2"/>
                <w:szCs w:val="2"/>
                <w:color w:val="auto"/>
              </w:rPr>
            </w:pPr>
          </w:p>
        </w:tc>
        <w:tc>
          <w:tcPr>
            <w:tcW w:w="18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2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38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420" w:type="dxa"/>
            <w:vAlign w:val="bottom"/>
            <w:tcBorders>
              <w:bottom w:val="single" w:sz="8" w:color="auto"/>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r>
      <w:tr>
        <w:trPr>
          <w:trHeight w:val="20"/>
        </w:trPr>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Amount</w:t>
            </w:r>
          </w:p>
        </w:tc>
      </w:tr>
      <w:tr>
        <w:trPr>
          <w:trHeight w:val="243"/>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Record Date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Payment Date</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Per Share</w:t>
            </w:r>
            <w:r>
              <w:rPr>
                <w:rFonts w:ascii="Arial" w:cs="Arial" w:eastAsia="Arial" w:hAnsi="Arial"/>
                <w:sz w:val="21"/>
                <w:szCs w:val="21"/>
                <w:b w:val="1"/>
                <w:bCs w:val="1"/>
                <w:color w:val="auto"/>
                <w:w w:val="87"/>
                <w:vertAlign w:val="superscript"/>
              </w:rPr>
              <w:t>(1)</w:t>
            </w:r>
          </w:p>
        </w:tc>
      </w:tr>
      <w:tr>
        <w:trPr>
          <w:trHeight w:val="25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4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January 22, 2018</w:t>
            </w:r>
          </w:p>
        </w:tc>
        <w:tc>
          <w:tcPr>
            <w:tcW w:w="10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January 30, 2018</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1"/>
                <w:szCs w:val="21"/>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January 2, 2018</w:t>
            </w:r>
          </w:p>
        </w:tc>
        <w:tc>
          <w:tcPr>
            <w:tcW w:w="40" w:type="dxa"/>
            <w:vAlign w:val="bottom"/>
          </w:tcPr>
          <w:p>
            <w:pPr>
              <w:spacing w:after="0"/>
              <w:rPr>
                <w:sz w:val="22"/>
                <w:szCs w:val="22"/>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February 20, 2018</w:t>
            </w:r>
          </w:p>
        </w:tc>
        <w:tc>
          <w:tcPr>
            <w:tcW w:w="100" w:type="dxa"/>
            <w:vAlign w:val="bottom"/>
          </w:tcPr>
          <w:p>
            <w:pPr>
              <w:spacing w:after="0"/>
              <w:rPr>
                <w:sz w:val="22"/>
                <w:szCs w:val="22"/>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February 27, 2018</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4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5"/>
              </w:rPr>
              <w:t>March 23, 2018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March 29, 2018</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56"/>
        </w:trPr>
        <w:tc>
          <w:tcPr>
            <w:tcW w:w="4000" w:type="dxa"/>
            <w:vAlign w:val="bottom"/>
            <w:gridSpan w:val="3"/>
          </w:tcPr>
          <w:p>
            <w:pPr>
              <w:spacing w:after="0"/>
              <w:rPr>
                <w:sz w:val="20"/>
                <w:szCs w:val="20"/>
                <w:color w:val="auto"/>
              </w:rPr>
            </w:pPr>
            <w:r>
              <w:rPr>
                <w:rFonts w:ascii="Arial" w:cs="Arial" w:eastAsia="Arial" w:hAnsi="Arial"/>
                <w:sz w:val="18"/>
                <w:szCs w:val="18"/>
                <w:color w:val="auto"/>
              </w:rPr>
              <w:t>April 2, 2018</w:t>
            </w:r>
          </w:p>
        </w:tc>
        <w:tc>
          <w:tcPr>
            <w:tcW w:w="40" w:type="dxa"/>
            <w:vAlign w:val="bottom"/>
          </w:tcPr>
          <w:p>
            <w:pPr>
              <w:spacing w:after="0"/>
              <w:rPr>
                <w:sz w:val="22"/>
                <w:szCs w:val="22"/>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April 19, 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April 27, 2018</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 2018</w:t>
            </w:r>
          </w:p>
        </w:tc>
        <w:tc>
          <w:tcPr>
            <w:tcW w:w="4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5"/>
              </w:rPr>
              <w:t>May 22, 2018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7"/>
              </w:rPr>
              <w:t>May 30, 2018</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56"/>
        </w:trPr>
        <w:tc>
          <w:tcPr>
            <w:tcW w:w="4000" w:type="dxa"/>
            <w:vAlign w:val="bottom"/>
            <w:gridSpan w:val="3"/>
          </w:tcPr>
          <w:p>
            <w:pPr>
              <w:spacing w:after="0"/>
              <w:rPr>
                <w:sz w:val="20"/>
                <w:szCs w:val="20"/>
                <w:color w:val="auto"/>
              </w:rPr>
            </w:pPr>
            <w:r>
              <w:rPr>
                <w:rFonts w:ascii="Arial" w:cs="Arial" w:eastAsia="Arial" w:hAnsi="Arial"/>
                <w:sz w:val="18"/>
                <w:szCs w:val="18"/>
                <w:color w:val="auto"/>
              </w:rPr>
              <w:t>April 2, 2018</w:t>
            </w: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June 20, 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June 28, 2018</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 2018</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5"/>
              </w:rPr>
              <w:t>July 23, 2018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July 30, 2018</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56"/>
        </w:trPr>
        <w:tc>
          <w:tcPr>
            <w:tcW w:w="4000" w:type="dxa"/>
            <w:vAlign w:val="bottom"/>
            <w:gridSpan w:val="3"/>
          </w:tcPr>
          <w:p>
            <w:pPr>
              <w:spacing w:after="0"/>
              <w:rPr>
                <w:sz w:val="20"/>
                <w:szCs w:val="20"/>
                <w:color w:val="auto"/>
              </w:rPr>
            </w:pPr>
            <w:r>
              <w:rPr>
                <w:rFonts w:ascii="Arial" w:cs="Arial" w:eastAsia="Arial" w:hAnsi="Arial"/>
                <w:sz w:val="18"/>
                <w:szCs w:val="18"/>
                <w:color w:val="auto"/>
              </w:rPr>
              <w:t>July 2, 2018</w:t>
            </w: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August 23, 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August 30, 2018</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 2018</w:t>
            </w:r>
          </w:p>
        </w:tc>
        <w:tc>
          <w:tcPr>
            <w:tcW w:w="16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1"/>
              </w:rPr>
              <w:t>September 20, 2018</w:t>
            </w:r>
          </w:p>
        </w:tc>
        <w:tc>
          <w:tcPr>
            <w:tcW w:w="1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September 27, 2018</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r>
      <w:tr>
        <w:trPr>
          <w:trHeight w:val="256"/>
        </w:trPr>
        <w:tc>
          <w:tcPr>
            <w:tcW w:w="4000" w:type="dxa"/>
            <w:vAlign w:val="bottom"/>
            <w:gridSpan w:val="3"/>
          </w:tcPr>
          <w:p>
            <w:pPr>
              <w:spacing w:after="0"/>
              <w:rPr>
                <w:sz w:val="20"/>
                <w:szCs w:val="20"/>
                <w:color w:val="auto"/>
              </w:rPr>
            </w:pPr>
            <w:r>
              <w:rPr>
                <w:rFonts w:ascii="Arial" w:cs="Arial" w:eastAsia="Arial" w:hAnsi="Arial"/>
                <w:sz w:val="18"/>
                <w:szCs w:val="18"/>
                <w:color w:val="auto"/>
              </w:rPr>
              <w:t>October 1, 2018</w:t>
            </w: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October 23, 2018</w:t>
            </w:r>
          </w:p>
        </w:tc>
        <w:tc>
          <w:tcPr>
            <w:tcW w:w="100" w:type="dxa"/>
            <w:vAlign w:val="bottom"/>
          </w:tcPr>
          <w:p>
            <w:pPr>
              <w:spacing w:after="0"/>
              <w:rPr>
                <w:sz w:val="22"/>
                <w:szCs w:val="22"/>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October 30, 2018</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r>
      <w:tr>
        <w:trPr>
          <w:trHeight w:val="27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16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3"/>
              </w:rPr>
              <w:t>November 21, 2018</w:t>
            </w:r>
          </w:p>
        </w:tc>
        <w:tc>
          <w:tcPr>
            <w:tcW w:w="10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November 29, 2018</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3"/>
                <w:szCs w:val="23"/>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8"/>
                <w:szCs w:val="18"/>
                <w:color w:val="auto"/>
              </w:rPr>
              <w:t>October 1, 2018</w:t>
            </w: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December 20, 2018</w:t>
            </w:r>
          </w:p>
        </w:tc>
        <w:tc>
          <w:tcPr>
            <w:tcW w:w="10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December 28, 2018</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4"/>
                <w:szCs w:val="24"/>
                <w:color w:val="auto"/>
              </w:rPr>
            </w:pPr>
          </w:p>
        </w:tc>
      </w:tr>
      <w:tr>
        <w:trPr>
          <w:trHeight w:val="242"/>
        </w:trPr>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w:t>
            </w: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r>
      <w:tr>
        <w:trPr>
          <w:trHeight w:val="262"/>
        </w:trPr>
        <w:tc>
          <w:tcPr>
            <w:tcW w:w="1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-6411595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-6411595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-6411595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-3171190</wp:posOffset>
            </wp:positionV>
            <wp:extent cx="5212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-5160010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-5160010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-5160010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-427990</wp:posOffset>
            </wp:positionV>
            <wp:extent cx="52120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-2416810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-2416810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-2416810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jc w:val="both"/>
        <w:ind w:left="1620" w:right="419" w:hanging="360"/>
        <w:spacing w:after="0" w:line="263"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73" w:lineRule="auto"/>
        <w:rPr>
          <w:sz w:val="20"/>
          <w:szCs w:val="20"/>
          <w:color w:val="auto"/>
        </w:rPr>
      </w:pPr>
      <w:r>
        <w:rPr>
          <w:rFonts w:ascii="Arial" w:cs="Arial" w:eastAsia="Arial" w:hAnsi="Arial"/>
          <w:sz w:val="17"/>
          <w:szCs w:val="17"/>
          <w:color w:val="auto"/>
        </w:rPr>
        <w:t>Tax characteristics of all distributions paid are reported to stockholders on Form 1099 after the end of the calendar year. For the year ended December 31, 2020, we estimate that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 For the year ended December 31, 2018, total distributions of $16.0 million were comprised 100% of ordinary income.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The following graph compares the cumulative return on shares of our common stock with that of the Standard &amp; Poor’s 500 Stock Index and the NASDAQ Financial 100 index, as we do not believe there is an appropriate index of companies with an investment strategy similar to our own with which to compare the return on shares of our common stock, for the period from December 31, 2015 through December 31, 2020. The graph assumes that on December 31, 2015, a person invested $100 in each share of our common stock, the Standard &amp; Poor’s 500 Stock Index and the NASDAQ Financial 100 index. The graph measures total stockholder return, which takes into account both changes in stock price and dividends. The graph also assumes that dividends paid are reinvested in the same class of equity securities at the frequency with which dividends are paid on such securities during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106680</wp:posOffset>
            </wp:positionV>
            <wp:extent cx="4963160" cy="2211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6316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1934 Act. The stock price performance included in the above graph is not necessarily indicative of future stock price performance.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FEES AND EXPENSES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“you”, “Capitala Finance”, or “us” or that “we” or “Capitala Finance” will pay fees or expenses, Capitala Finance will pay such fees and expenses out of our net assets and, consequently, you will indirectly bear such fees or expenses as an investor in Capitala Finance. However, you will not be required to deliver any money or otherwise bear personal liability or responsibility for such fees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500" w:type="dxa"/>
            <w:vAlign w:val="bottom"/>
            <w:shd w:val="clear" w:color="auto" w:fill="CCEEFF"/>
          </w:tcPr>
          <w:p>
            <w:pPr>
              <w:spacing w:after="0"/>
              <w:rPr>
                <w:sz w:val="17"/>
                <w:szCs w:val="17"/>
                <w:color w:val="auto"/>
              </w:rPr>
            </w:pPr>
          </w:p>
        </w:tc>
        <w:tc>
          <w:tcPr>
            <w:tcW w:w="320" w:type="dxa"/>
            <w:vAlign w:val="bottom"/>
            <w:vMerge w:val="restart"/>
          </w:tcPr>
          <w:p>
            <w:pPr>
              <w:jc w:val="right"/>
              <w:ind w:right="93"/>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56"/>
        </w:trPr>
        <w:tc>
          <w:tcPr>
            <w:tcW w:w="770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borne by us (as a percentage of offering price)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Pr>
          <w:p>
            <w:pPr>
              <w:jc w:val="right"/>
              <w:ind w:right="93"/>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63"/>
        </w:trPr>
        <w:tc>
          <w:tcPr>
            <w:tcW w:w="7700" w:type="dxa"/>
            <w:vAlign w:val="bottom"/>
            <w:gridSpan w:val="2"/>
          </w:tcPr>
          <w:p>
            <w:pPr>
              <w:spacing w:after="0"/>
              <w:rPr>
                <w:sz w:val="20"/>
                <w:szCs w:val="20"/>
                <w:color w:val="auto"/>
              </w:rPr>
            </w:pPr>
            <w:r>
              <w:rPr>
                <w:rFonts w:ascii="Arial" w:cs="Arial" w:eastAsia="Arial" w:hAnsi="Arial"/>
                <w:sz w:val="18"/>
                <w:szCs w:val="18"/>
                <w:color w:val="auto"/>
              </w:rPr>
              <w:t>Dividend reinvestment plan fees (per sales transaction fee)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$15.00</w:t>
            </w:r>
          </w:p>
        </w:tc>
        <w:tc>
          <w:tcPr>
            <w:tcW w:w="320" w:type="dxa"/>
            <w:vAlign w:val="bottom"/>
          </w:tcPr>
          <w:p>
            <w:pPr>
              <w:jc w:val="right"/>
              <w:ind w:right="93"/>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57"/>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 transaction expenses (as a percentage of offering price)</w:t>
            </w:r>
          </w:p>
        </w:tc>
        <w:tc>
          <w:tcPr>
            <w:tcW w:w="8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Annual expenses (as a percentage of net assets attributable to common stock):</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Base management fee</w:t>
            </w:r>
          </w:p>
        </w:tc>
        <w:tc>
          <w:tcPr>
            <w:tcW w:w="820" w:type="dxa"/>
            <w:vAlign w:val="bottom"/>
            <w:gridSpan w:val="2"/>
          </w:tcPr>
          <w:p>
            <w:pPr>
              <w:jc w:val="right"/>
              <w:spacing w:after="0" w:line="270" w:lineRule="exact"/>
              <w:rPr>
                <w:sz w:val="20"/>
                <w:szCs w:val="20"/>
                <w:color w:val="auto"/>
              </w:rPr>
            </w:pPr>
            <w:r>
              <w:rPr>
                <w:rFonts w:ascii="Arial" w:cs="Arial" w:eastAsia="Arial" w:hAnsi="Arial"/>
                <w:sz w:val="18"/>
                <w:szCs w:val="18"/>
                <w:color w:val="auto"/>
              </w:rPr>
              <w:t>5.61%</w:t>
            </w:r>
            <w:r>
              <w:rPr>
                <w:rFonts w:ascii="Arial" w:cs="Arial" w:eastAsia="Arial" w:hAnsi="Arial"/>
                <w:sz w:val="26"/>
                <w:szCs w:val="26"/>
                <w:color w:val="auto"/>
                <w:vertAlign w:val="superscript"/>
              </w:rPr>
              <w:t>(4)</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Incentive fees payable from Net Investment Income</w:t>
            </w:r>
          </w:p>
        </w:tc>
        <w:tc>
          <w:tcPr>
            <w:tcW w:w="820" w:type="dxa"/>
            <w:vAlign w:val="bottom"/>
            <w:gridSpan w:val="2"/>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Incentive fee payable from Capital Gains</w:t>
            </w:r>
          </w:p>
        </w:tc>
        <w:tc>
          <w:tcPr>
            <w:tcW w:w="820" w:type="dxa"/>
            <w:vAlign w:val="bottom"/>
            <w:gridSpan w:val="2"/>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820" w:type="dxa"/>
            <w:vAlign w:val="bottom"/>
            <w:gridSpan w:val="2"/>
          </w:tcPr>
          <w:p>
            <w:pPr>
              <w:jc w:val="right"/>
              <w:spacing w:after="0" w:line="270" w:lineRule="exact"/>
              <w:rPr>
                <w:sz w:val="20"/>
                <w:szCs w:val="20"/>
                <w:color w:val="auto"/>
              </w:rPr>
            </w:pPr>
            <w:r>
              <w:rPr>
                <w:rFonts w:ascii="Arial" w:cs="Arial" w:eastAsia="Arial" w:hAnsi="Arial"/>
                <w:sz w:val="18"/>
                <w:szCs w:val="18"/>
                <w:color w:val="auto"/>
              </w:rPr>
              <w:t>8.98%</w:t>
            </w:r>
            <w:r>
              <w:rPr>
                <w:rFonts w:ascii="Arial" w:cs="Arial" w:eastAsia="Arial" w:hAnsi="Arial"/>
                <w:sz w:val="26"/>
                <w:szCs w:val="26"/>
                <w:color w:val="auto"/>
                <w:vertAlign w:val="superscript"/>
              </w:rPr>
              <w:t>(6)</w:t>
            </w:r>
          </w:p>
        </w:tc>
        <w:tc>
          <w:tcPr>
            <w:tcW w:w="0" w:type="dxa"/>
            <w:vAlign w:val="bottom"/>
          </w:tcPr>
          <w:p>
            <w:pPr>
              <w:spacing w:after="0"/>
              <w:rPr>
                <w:sz w:val="1"/>
                <w:szCs w:val="1"/>
                <w:color w:val="auto"/>
              </w:rPr>
            </w:pPr>
          </w:p>
        </w:tc>
      </w:tr>
      <w:tr>
        <w:trPr>
          <w:trHeight w:val="283"/>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4"/>
                <w:szCs w:val="24"/>
                <w:color w:val="auto"/>
              </w:rPr>
            </w:pPr>
          </w:p>
        </w:tc>
        <w:tc>
          <w:tcPr>
            <w:tcW w:w="820" w:type="dxa"/>
            <w:vAlign w:val="bottom"/>
            <w:gridSpan w:val="2"/>
          </w:tcPr>
          <w:p>
            <w:pPr>
              <w:jc w:val="right"/>
              <w:spacing w:after="0" w:line="283" w:lineRule="exact"/>
              <w:rPr>
                <w:sz w:val="20"/>
                <w:szCs w:val="20"/>
                <w:color w:val="auto"/>
              </w:rPr>
            </w:pPr>
            <w:r>
              <w:rPr>
                <w:rFonts w:ascii="Arial" w:cs="Arial" w:eastAsia="Arial" w:hAnsi="Arial"/>
                <w:sz w:val="18"/>
                <w:szCs w:val="18"/>
                <w:color w:val="auto"/>
              </w:rPr>
              <w:t>4.21%</w:t>
            </w:r>
            <w:r>
              <w:rPr>
                <w:rFonts w:ascii="Arial" w:cs="Arial" w:eastAsia="Arial" w:hAnsi="Arial"/>
                <w:sz w:val="26"/>
                <w:szCs w:val="26"/>
                <w:color w:val="auto"/>
                <w:vertAlign w:val="superscript"/>
              </w:rPr>
              <w:t>(7)</w:t>
            </w:r>
          </w:p>
        </w:tc>
        <w:tc>
          <w:tcPr>
            <w:tcW w:w="0" w:type="dxa"/>
            <w:vAlign w:val="bottom"/>
          </w:tcPr>
          <w:p>
            <w:pPr>
              <w:spacing w:after="0"/>
              <w:rPr>
                <w:sz w:val="1"/>
                <w:szCs w:val="1"/>
                <w:color w:val="auto"/>
              </w:rPr>
            </w:pPr>
          </w:p>
        </w:tc>
      </w:tr>
      <w:tr>
        <w:trPr>
          <w:trHeight w:val="20"/>
        </w:trPr>
        <w:tc>
          <w:tcPr>
            <w:tcW w:w="7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annual expenses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18.80%</w:t>
            </w:r>
            <w:r>
              <w:rPr>
                <w:rFonts w:ascii="Arial" w:cs="Arial" w:eastAsia="Arial" w:hAnsi="Arial"/>
                <w:sz w:val="26"/>
                <w:szCs w:val="26"/>
                <w:color w:val="auto"/>
                <w:w w:val="97"/>
                <w:vertAlign w:val="superscript"/>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-1108075</wp:posOffset>
            </wp:positionV>
            <wp:extent cx="52120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-765175</wp:posOffset>
            </wp:positionV>
            <wp:extent cx="52120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-422275</wp:posOffset>
            </wp:positionV>
            <wp:extent cx="521208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-1442085</wp:posOffset>
            </wp:positionV>
            <wp:extent cx="52120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83185</wp:posOffset>
            </wp:positionV>
            <wp:extent cx="12344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8" w:lineRule="exact"/>
        <w:rPr>
          <w:sz w:val="20"/>
          <w:szCs w:val="20"/>
          <w:color w:val="auto"/>
        </w:rPr>
      </w:pPr>
    </w:p>
    <w:p>
      <w:pPr>
        <w:ind w:left="1620" w:right="419" w:hanging="360"/>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that any shares are sold to or through underwriters, a prospectus supplement will disclose the applicable sales load.</w:t>
      </w:r>
    </w:p>
    <w:p>
      <w:pPr>
        <w:spacing w:after="0" w:line="21" w:lineRule="exact"/>
        <w:rPr>
          <w:rFonts w:ascii="Arial" w:cs="Arial" w:eastAsia="Arial" w:hAnsi="Arial"/>
          <w:sz w:val="18"/>
          <w:szCs w:val="18"/>
          <w:color w:val="auto"/>
        </w:rPr>
      </w:pPr>
    </w:p>
    <w:p>
      <w:pPr>
        <w:jc w:val="both"/>
        <w:ind w:left="1620" w:right="419" w:hanging="360"/>
        <w:spacing w:after="0" w:line="263"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prospectus supplement corresponding to each offering will disclose the applicable estimated amount of offering expenses of the offering and the offering expenses borne by us as a percentage of the offering price.</w:t>
      </w:r>
    </w:p>
    <w:p>
      <w:pPr>
        <w:spacing w:after="0" w:line="35" w:lineRule="exact"/>
        <w:rPr>
          <w:rFonts w:ascii="Arial" w:cs="Arial" w:eastAsia="Arial" w:hAnsi="Arial"/>
          <w:sz w:val="18"/>
          <w:szCs w:val="18"/>
          <w:color w:val="auto"/>
        </w:rPr>
      </w:pPr>
    </w:p>
    <w:p>
      <w:pPr>
        <w:jc w:val="both"/>
        <w:ind w:left="1620" w:right="419" w:hanging="360"/>
        <w:spacing w:after="0" w:line="273"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$15.00 plus a $.10 per share brokerage commission from the proceeds. The expenses of the dividend reinvestment plan are included in “other expenses.” The plan administrator’s fees will be paid by us. There will be no brokerage charges or other charges to stockholders who participate in the plan.</w:t>
      </w:r>
    </w:p>
    <w:p>
      <w:pPr>
        <w:spacing w:after="0" w:line="29" w:lineRule="exact"/>
        <w:rPr>
          <w:rFonts w:ascii="Arial" w:cs="Arial" w:eastAsia="Arial" w:hAnsi="Arial"/>
          <w:sz w:val="17"/>
          <w:szCs w:val="17"/>
          <w:color w:val="auto"/>
        </w:rPr>
      </w:pPr>
    </w:p>
    <w:p>
      <w:pPr>
        <w:jc w:val="both"/>
        <w:ind w:left="1620" w:right="419" w:hanging="360"/>
        <w:spacing w:after="0" w:line="25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our gross base management fee as a percentage of net assets. Our base management fee under the Investment Advisory Agreement is calculated at an annual rate of 1.75% of our gross assets, which is our total assets as reflected on our balance sheet and includes any borrowings for investment purposes. The gross base management fee reflected in the table above is based on the fiscal year ended December 31, 2020. See “Investment Advisory Agreement.”</w:t>
      </w:r>
    </w:p>
    <w:p>
      <w:pPr>
        <w:spacing w:after="0" w:line="39" w:lineRule="exact"/>
        <w:rPr>
          <w:rFonts w:ascii="Arial" w:cs="Arial" w:eastAsia="Arial" w:hAnsi="Arial"/>
          <w:sz w:val="18"/>
          <w:szCs w:val="18"/>
          <w:color w:val="auto"/>
        </w:rPr>
      </w:pPr>
    </w:p>
    <w:p>
      <w:pPr>
        <w:jc w:val="both"/>
        <w:ind w:left="1620" w:right="419" w:hanging="360"/>
        <w:spacing w:after="0" w:line="267"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Assumes that annual incentive fees earned by Capitala Investment Advisors remain consistent with the incentive fees earned by Capitala Investment Advisors during the fiscal year ended December 31, 2020 and includes accrued capital gains incentive fee. As of December 31, 2020, Capitala Investment Advisors has accrued no capital gains incentive fee. As we cannot predict whether we will meet the thresholds for incentive fees under the Investment Advisory Agreement, the incentive fees paid in subsequent periods, if any, may be substantially different than the fees incurred during the fiscal year ended December 31, 2020. On January 4, 2016, Capitala Investment Advisors voluntarily agreed to waive all or such portion of the quarterly incentive fees earned by Capitala Investment Advisors that would otherwise cause the Company’s quarterly net investment income to be less than the distribution payments declared by the Company’s Board of Directors. Quarterly incentive fees are earned by Capitala Investment Advisors pursuant to the Investment Advisory Agreement. Incentive fees subject to the waiver cannot exceed the amount of incentive fees earned during the period, as calculated on a quarterly basis. Capitala Investment Advisors will not be entitled to recoup any amount of incentive fees that it waives. This waiver was effective in the fourth quarter of 2015 and will continue unless otherwise publicly disclosed by the Company. However, because this is a voluntary waiver that is not guaranteed to last indefinitely, the incentive fee reflected in the above table is presented on a gross basis and does not take into account the voluntary fee waiver. For more detailed information about the incentive fee calculations, see Part I, Item 1. Business, Agreements, Investment Advisory Agreement section of this Annual Report on Form 10-K.</w:t>
      </w:r>
    </w:p>
    <w:p>
      <w:pPr>
        <w:spacing w:after="0" w:line="39" w:lineRule="exact"/>
        <w:rPr>
          <w:rFonts w:ascii="Arial" w:cs="Arial" w:eastAsia="Arial" w:hAnsi="Arial"/>
          <w:sz w:val="17"/>
          <w:szCs w:val="17"/>
          <w:color w:val="auto"/>
        </w:rPr>
      </w:pPr>
    </w:p>
    <w:p>
      <w:pPr>
        <w:jc w:val="both"/>
        <w:ind w:left="1620" w:right="419" w:hanging="360"/>
        <w:spacing w:after="0" w:line="25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addition to our existing SBA-guaranteed debentures, 2022 Notes, and 2022 Convertible Notes, we may borrow funds from time to time to make investments to the extent we determine that additional capital would allow us to take advantage of additional investment opportunities or if the economic situation is otherwise conducive to doing so. The costs associated with any borrowings are indirectly borne by our</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620" w:right="419"/>
        <w:spacing w:after="0" w:line="225" w:lineRule="auto"/>
        <w:rPr>
          <w:sz w:val="20"/>
          <w:szCs w:val="20"/>
          <w:color w:val="auto"/>
        </w:rPr>
      </w:pPr>
      <w:r>
        <w:rPr>
          <w:rFonts w:ascii="Arial" w:cs="Arial" w:eastAsia="Arial" w:hAnsi="Arial"/>
          <w:sz w:val="18"/>
          <w:szCs w:val="18"/>
          <w:color w:val="auto"/>
        </w:rPr>
        <w:t>stockholders. As of December 31, 2020, we had $72.8 million of 2022 Notes, and $52.1 million of Convertible Notes outstanding. For purposes of this calculation, we have assumed that the December 31, 2020 amounts of 2022 Notes and 2022 Convertible Notes remain outstanding, and have computed interest expense using an assumed interest rate of 6.0% for the 2022 Notes, and 5.75% for the 2022 Convertible Notes which were the rates payable as of December 31, 2020. We have assumed $91.0 million of SBA -guaranteed debentures outstanding and have computed interest expense using an assumed interest rate of 3.21%. We have also assumed borrowings of $0.0 under the KeyBank Credit Facility.</w:t>
      </w:r>
    </w:p>
    <w:p>
      <w:pPr>
        <w:spacing w:after="0" w:line="27" w:lineRule="exact"/>
        <w:rPr>
          <w:sz w:val="20"/>
          <w:szCs w:val="20"/>
          <w:color w:val="auto"/>
        </w:rPr>
      </w:pPr>
    </w:p>
    <w:p>
      <w:pPr>
        <w:jc w:val="both"/>
        <w:ind w:left="1620" w:right="419" w:hanging="360"/>
        <w:spacing w:after="0" w:line="279"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“Other expenses” include our overhead expenses, including payments by us under the Administration Agreement based on the allocable portion of overhead and other expenses incurred by the Administrator in performing its obligations to us under the Administration Agreement, and expenses relating to the Dividend Reinvestment Plan, for the fiscal year ended December 31, 2020.</w:t>
      </w:r>
    </w:p>
    <w:p>
      <w:pPr>
        <w:spacing w:after="0" w:line="22" w:lineRule="exact"/>
        <w:rPr>
          <w:rFonts w:ascii="Arial" w:cs="Arial" w:eastAsia="Arial" w:hAnsi="Arial"/>
          <w:sz w:val="17"/>
          <w:szCs w:val="17"/>
          <w:color w:val="auto"/>
        </w:rPr>
      </w:pPr>
    </w:p>
    <w:p>
      <w:pPr>
        <w:ind w:left="1620" w:right="419" w:hanging="360"/>
        <w:spacing w:after="0" w:line="27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holders of shares of our common stock indirectly bear the cost associated with our annual expenses.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Example</w:t>
      </w:r>
    </w:p>
    <w:p>
      <w:pPr>
        <w:spacing w:after="0" w:line="135" w:lineRule="exact"/>
        <w:rPr>
          <w:sz w:val="20"/>
          <w:szCs w:val="20"/>
          <w:color w:val="auto"/>
        </w:rPr>
      </w:pPr>
    </w:p>
    <w:p>
      <w:pPr>
        <w:jc w:val="both"/>
        <w:ind w:left="1260" w:right="419" w:firstLine="360"/>
        <w:spacing w:after="0" w:line="225" w:lineRule="auto"/>
        <w:rPr>
          <w:sz w:val="20"/>
          <w:szCs w:val="20"/>
          <w:color w:val="auto"/>
        </w:rPr>
      </w:pPr>
      <w:r>
        <w:rPr>
          <w:rFonts w:ascii="Arial" w:cs="Arial" w:eastAsia="Arial" w:hAnsi="Arial"/>
          <w:sz w:val="18"/>
          <w:szCs w:val="18"/>
          <w:color w:val="auto"/>
        </w:rPr>
        <w:t>The following example demonstrates the projected dollar amount of total cumulative expenses that would be incurred over various periods with respect to a hypothetical investment in shares of our common stock. In calculating the following expense amounts, we have assumed that our borrowings and annual operating expenses would remain at the levels set forth in the table above. In the event that shares of our common stock are sold to or through underwriters, a prospectus supplement will restate this example to reflect the applicable sales load and offering expenses. See Note 6 above for additional information regarding certain assumptions regarding our level of leverage.</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3 Years</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5 Years</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83"/>
              </w:rPr>
              <w:t>10 Years</w:t>
            </w:r>
          </w:p>
        </w:tc>
      </w:tr>
      <w:tr>
        <w:trPr>
          <w:trHeight w:val="26"/>
        </w:trPr>
        <w:tc>
          <w:tcPr>
            <w:tcW w:w="5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2"/>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8"/>
              </w:rPr>
              <w:t>You would pay the following expenses on a $1,000 investment, assuming</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 5.0% annual return</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$188</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$490</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$714</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$1,054</w:t>
            </w:r>
          </w:p>
        </w:tc>
      </w:tr>
      <w:tr>
        <w:trPr>
          <w:trHeight w:val="40"/>
        </w:trPr>
        <w:tc>
          <w:tcPr>
            <w:tcW w:w="57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4877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151" w:lineRule="exact"/>
        <w:rPr>
          <w:sz w:val="20"/>
          <w:szCs w:val="20"/>
          <w:color w:val="auto"/>
        </w:rPr>
      </w:pPr>
    </w:p>
    <w:p>
      <w:pPr>
        <w:ind w:left="1260" w:right="539"/>
        <w:spacing w:after="0" w:line="250" w:lineRule="auto"/>
        <w:rPr>
          <w:sz w:val="20"/>
          <w:szCs w:val="20"/>
          <w:color w:val="auto"/>
        </w:rPr>
      </w:pPr>
      <w:r>
        <w:rPr>
          <w:rFonts w:ascii="Arial" w:cs="Arial" w:eastAsia="Arial" w:hAnsi="Arial"/>
          <w:sz w:val="18"/>
          <w:szCs w:val="18"/>
          <w:b w:val="1"/>
          <w:bCs w:val="1"/>
          <w:color w:val="auto"/>
        </w:rPr>
        <w:t>The example should not be considered a representation of future expenses, and actual expenses may be greater or less than those shown.</w:t>
      </w:r>
    </w:p>
    <w:p>
      <w:pPr>
        <w:spacing w:after="0" w:line="99" w:lineRule="exact"/>
        <w:rPr>
          <w:sz w:val="20"/>
          <w:szCs w:val="20"/>
          <w:color w:val="auto"/>
        </w:rPr>
      </w:pPr>
    </w:p>
    <w:p>
      <w:pPr>
        <w:jc w:val="both"/>
        <w:ind w:left="1260" w:right="419" w:firstLine="360"/>
        <w:spacing w:after="0" w:line="236" w:lineRule="auto"/>
        <w:rPr>
          <w:sz w:val="20"/>
          <w:szCs w:val="20"/>
          <w:color w:val="auto"/>
        </w:rPr>
      </w:pPr>
      <w:r>
        <w:rPr>
          <w:rFonts w:ascii="Arial" w:cs="Arial" w:eastAsia="Arial" w:hAnsi="Arial"/>
          <w:sz w:val="17"/>
          <w:szCs w:val="17"/>
          <w:color w:val="auto"/>
        </w:rPr>
        <w:t>While the example assumes, as required by the applicable rules of the SEC, a 5.0% annual return, our performance will vary and may result in a return greater or less than 5.0%. The incentive fee under the Investment Advisory Agreement, which, assuming a 5.0% annual return, would either not be payable or would have an insignificant impact on the expense amounts shown above, is not included in the above example. The above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For example, if we assumed that we received our 5.0% annual return completely in the form of net realized capital gains on our investments, computed net of all cumulative unrealized depreciation on our investments, the projected dollar amount of total cumulative expenses set forth in the above illustration would be as follows:</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3 Years</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5 Years</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83"/>
              </w:rPr>
              <w:t>10 Years</w:t>
            </w:r>
          </w:p>
        </w:tc>
      </w:tr>
      <w:tr>
        <w:trPr>
          <w:trHeight w:val="25"/>
        </w:trPr>
        <w:tc>
          <w:tcPr>
            <w:tcW w:w="5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2"/>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8"/>
              </w:rPr>
              <w:t>You would pay the following expenses on a $1,000 investment, assuming</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 5.0% annual return</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$198</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$511</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$737</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$1,068</w:t>
            </w:r>
          </w:p>
        </w:tc>
      </w:tr>
      <w:tr>
        <w:trPr>
          <w:trHeight w:val="40"/>
        </w:trPr>
        <w:tc>
          <w:tcPr>
            <w:tcW w:w="57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4877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101"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example assumes no sales load. However, in the event that securities are sold with a sales load, a prospectus supplement will provide a revised expense example that will include the effect of the sales load. In addition, while the examples assume reinvestment of all dividends and distributions at net asset value, participants in our dividend reinvestment plan will receive a number of shares of our common stock, generally determined by dividing the total dollar amount of the dividend payable to a participant by the market price per share of our common stock at the close of trading on the dividend payment date, which may be at, above or below net asset value.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OF UNREGISTERED SECURITIES</w:t>
      </w:r>
    </w:p>
    <w:p>
      <w:pPr>
        <w:spacing w:after="0" w:line="162" w:lineRule="exact"/>
        <w:rPr>
          <w:sz w:val="20"/>
          <w:szCs w:val="20"/>
          <w:color w:val="auto"/>
        </w:rPr>
      </w:pPr>
    </w:p>
    <w:p>
      <w:pPr>
        <w:jc w:val="both"/>
        <w:ind w:left="1260" w:right="419" w:firstLine="360"/>
        <w:spacing w:after="0" w:line="291" w:lineRule="auto"/>
        <w:rPr>
          <w:sz w:val="20"/>
          <w:szCs w:val="20"/>
          <w:color w:val="auto"/>
        </w:rPr>
      </w:pPr>
      <w:r>
        <w:rPr>
          <w:rFonts w:ascii="Arial" w:cs="Arial" w:eastAsia="Arial" w:hAnsi="Arial"/>
          <w:sz w:val="17"/>
          <w:szCs w:val="17"/>
          <w:color w:val="auto"/>
        </w:rPr>
        <w:t>During the year ended December 31, 2020, we issued 10,453 shares of common stock under our DRIP, after retroactively adjusting for the one-for-six reverse stock split. The issuances were not subject to the</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registration requirements under the Securities Act of 1933, as amended. The cash paid for shares of common stock issued under our DRIP during the year ended December 31, 2020 was approximately $0.3 million. Other than the shares issued under our DRIP during the year ended December 31, 2020, we did not sell any unregistered equity securities.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following selected consolidated financial data of the Company as of and for the years ended December 31, 2020, 2019, 2018, 2017, and 2016 are derived from our consolidated financial statements that have been audited by Ernst &amp; Young LLP, our independent registered public accounting firm. This consolidated financial data should be read in conjunction with our consolidated financial statements and related notes thereto included elsewhere in this Form 10-K and with Management’s Discussion and Analysis of Financial Condition and Results of Operations which follows (dollars in thousands except share and per share data):</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w w:val="87"/>
              </w:rPr>
              <w:t>As of and for the years ended December 31,</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26,446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44,035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47,293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51,089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68,312</w:t>
            </w:r>
          </w:p>
        </w:tc>
        <w:tc>
          <w:tcPr>
            <w:tcW w:w="0" w:type="dxa"/>
            <w:vAlign w:val="bottom"/>
          </w:tcPr>
          <w:p>
            <w:pPr>
              <w:spacing w:after="0"/>
              <w:rPr>
                <w:sz w:val="1"/>
                <w:szCs w:val="1"/>
                <w:color w:val="auto"/>
              </w:rPr>
            </w:pPr>
          </w:p>
        </w:tc>
      </w:tr>
      <w:tr>
        <w:trPr>
          <w:trHeight w:val="243"/>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 net of fee waivers</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26,388</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30,992</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31,271</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35,565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13,043</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16,022</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29,040</w:t>
            </w:r>
          </w:p>
        </w:tc>
        <w:tc>
          <w:tcPr>
            <w:tcW w:w="0" w:type="dxa"/>
            <w:vAlign w:val="bottom"/>
          </w:tcPr>
          <w:p>
            <w:pPr>
              <w:spacing w:after="0"/>
              <w:rPr>
                <w:sz w:val="1"/>
                <w:szCs w:val="1"/>
                <w:color w:val="auto"/>
              </w:rPr>
            </w:pPr>
          </w:p>
        </w:tc>
      </w:tr>
      <w:tr>
        <w:trPr>
          <w:trHeight w:val="229"/>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loss from investments</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(24,049)</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(19,756)</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(34,804)</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(24,189)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(22,766)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Net unrealized (depreciation) appreciation 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investments and written call option</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(11,611)</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(20,306)</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43"/>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0"/>
                <w:szCs w:val="20"/>
                <w:color w:val="auto"/>
              </w:rPr>
            </w:pPr>
            <w:r>
              <w:rPr>
                <w:rFonts w:ascii="Arial" w:cs="Arial" w:eastAsia="Arial" w:hAnsi="Arial"/>
                <w:sz w:val="18"/>
                <w:szCs w:val="18"/>
                <w:color w:val="auto"/>
              </w:rPr>
              <w:t>Net realized gain on extinguishment of debt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w:t>
            </w: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(35,447)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(27,647)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line="243"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Net (decrease) increase in net assets resulting</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83.46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25"/>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Consolidated statements of assets and liabilities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327,997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427,337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493,165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534,595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584,415</w:t>
            </w:r>
          </w:p>
        </w:tc>
        <w:tc>
          <w:tcPr>
            <w:tcW w:w="0" w:type="dxa"/>
            <w:vAlign w:val="bottom"/>
          </w:tcPr>
          <w:p>
            <w:pPr>
              <w:spacing w:after="0"/>
              <w:rPr>
                <w:sz w:val="1"/>
                <w:szCs w:val="1"/>
                <w:color w:val="auto"/>
              </w:rPr>
            </w:pPr>
          </w:p>
        </w:tc>
      </w:tr>
      <w:tr>
        <w:trPr>
          <w:trHeight w:val="243"/>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108,947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148,113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190,644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221,887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250,582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Pr>
          <w:p>
            <w:pPr>
              <w:spacing w:after="0" w:line="256" w:lineRule="exact"/>
              <w:rPr>
                <w:sz w:val="20"/>
                <w:szCs w:val="20"/>
                <w:color w:val="auto"/>
              </w:rPr>
            </w:pPr>
            <w:r>
              <w:rPr>
                <w:rFonts w:ascii="Arial" w:cs="Arial" w:eastAsia="Arial" w:hAnsi="Arial"/>
                <w:sz w:val="18"/>
                <w:szCs w:val="18"/>
                <w:color w:val="auto"/>
              </w:rPr>
              <w:t>Total return</w:t>
            </w:r>
            <w:r>
              <w:rPr>
                <w:rFonts w:ascii="Arial" w:cs="Arial" w:eastAsia="Arial" w:hAnsi="Arial"/>
                <w:sz w:val="26"/>
                <w:szCs w:val="26"/>
                <w:color w:val="auto"/>
                <w:vertAlign w:val="superscript"/>
              </w:rPr>
              <w:t>(1)</w:t>
            </w: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(71.10)%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Number of portfolio company investments at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year end</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portfolio investments for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107,802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120,844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Investment repayments for the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75,761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128,122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123,517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115,810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163,564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-770890</wp:posOffset>
            </wp:positionV>
            <wp:extent cx="521208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-2751455</wp:posOffset>
            </wp:positionV>
            <wp:extent cx="1460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-2751455</wp:posOffset>
            </wp:positionV>
            <wp:extent cx="1460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-2751455</wp:posOffset>
            </wp:positionV>
            <wp:extent cx="1460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-2751455</wp:posOffset>
            </wp:positionV>
            <wp:extent cx="3025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25775"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-4114165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-4114165</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-4114165</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-4114165</wp:posOffset>
            </wp:positionV>
            <wp:extent cx="30175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jc w:val="both"/>
        <w:ind w:left="1620" w:right="419" w:hanging="360"/>
        <w:spacing w:after="0" w:line="25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w:t>
      </w:r>
    </w:p>
    <w:p>
      <w:pPr>
        <w:spacing w:after="0" w:line="52" w:lineRule="exact"/>
        <w:rPr>
          <w:rFonts w:ascii="Arial" w:cs="Arial" w:eastAsia="Arial" w:hAnsi="Arial"/>
          <w:sz w:val="18"/>
          <w:szCs w:val="18"/>
          <w:color w:val="auto"/>
        </w:rPr>
      </w:pPr>
    </w:p>
    <w:p>
      <w:pPr>
        <w:jc w:val="both"/>
        <w:ind w:left="1620" w:right="419" w:hanging="360"/>
        <w:spacing w:after="0" w:line="263"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right="1039" w:hanging="863"/>
        <w:spacing w:after="0" w:line="282" w:lineRule="auto"/>
        <w:tabs>
          <w:tab w:leader="none" w:pos="21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85"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Annual Report on Form 10-K.</w:t>
      </w:r>
    </w:p>
    <w:p>
      <w:pPr>
        <w:spacing w:after="0" w:line="114"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Except as otherwise specified, references to “we,” “us,” “our,” “Capitala,” or the “Company”, refer to Capitala Finance Corp.</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contains forward-looking statements that involve substantial risks and uncertainties. These forward -looking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13"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Some of the statements in this Annual Report on Form 10-K constitute forward-looking statements, which relate to future events or our performance or financial condition. The forward -looking statements contained in our Annual Report on Form 10-K involve risks and uncertainties, including statements as to:</w:t>
      </w:r>
    </w:p>
    <w:p>
      <w:pPr>
        <w:spacing w:after="0" w:line="56" w:lineRule="exact"/>
        <w:rPr>
          <w:sz w:val="20"/>
          <w:szCs w:val="20"/>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future operating results and the impact of the COVID-19 pandemic thereon;</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pacing w:after="0" w:line="103"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0" w:lineRule="exact"/>
        <w:rPr>
          <w:sz w:val="20"/>
          <w:szCs w:val="20"/>
          <w:color w:val="auto"/>
        </w:rPr>
      </w:pPr>
    </w:p>
    <w:p>
      <w:pPr>
        <w:jc w:val="both"/>
        <w:ind w:left="1800" w:right="419" w:hanging="180"/>
        <w:spacing w:after="0" w:line="263"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 and the impact of the COVID-19 pandemic thereon;</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use leverage as part of our investment strategy; and</w:t>
      </w:r>
    </w:p>
    <w:p>
      <w:pPr>
        <w:spacing w:after="0" w:line="4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Annual Report on Form 10-K.</w:t>
      </w:r>
    </w:p>
    <w:p>
      <w:pPr>
        <w:spacing w:after="0" w:line="103"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w:t>
      </w:r>
    </w:p>
    <w:p>
      <w:pPr>
        <w:sectPr>
          <w:pgSz w:w="11900" w:h="16838" w:orient="portrait"/>
          <w:cols w:equalWidth="0" w:num="1">
            <w:col w:w="9879"/>
          </w:cols>
          <w:pgMar w:left="580" w:top="131" w:right="1440" w:bottom="1440" w:gutter="0" w:footer="0" w:header="0"/>
        </w:sect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our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U.S. Securities and Exchange Commission (“SEC”) rule or regulation.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1260" w:right="419" w:firstLine="360"/>
        <w:spacing w:after="0" w:line="275" w:lineRule="auto"/>
        <w:rPr>
          <w:sz w:val="20"/>
          <w:szCs w:val="20"/>
          <w:color w:val="auto"/>
        </w:rPr>
      </w:pPr>
      <w:r>
        <w:rPr>
          <w:rFonts w:ascii="Arial" w:cs="Arial" w:eastAsia="Arial" w:hAnsi="Arial"/>
          <w:sz w:val="17"/>
          <w:szCs w:val="17"/>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09"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25"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We invest in first lien loans, and, to a lesser extent, second lien loans and equity securities issued by lower middle-market and traditional middle-market companies.</w:t>
      </w:r>
    </w:p>
    <w:p>
      <w:pPr>
        <w:spacing w:after="0" w:line="89" w:lineRule="exact"/>
        <w:rPr>
          <w:sz w:val="20"/>
          <w:szCs w:val="20"/>
          <w:color w:val="auto"/>
        </w:rPr>
      </w:pPr>
    </w:p>
    <w:p>
      <w:pPr>
        <w:jc w:val="both"/>
        <w:ind w:left="1260" w:right="419" w:firstLine="360"/>
        <w:spacing w:after="0" w:line="267"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The Small Business Credit Availability Act (the “SBCA”) allows BDCs to decrease their asset coverage requirement from 200% to 150% (i.e. the amount of debt may not exceed 66.7% of the value of our total assets), if certain requirements are met. On November 1, 2018, our board of directors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December 31, 2020, our asset coverage ratio was 187.2%.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History</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w:t>
      </w:r>
    </w:p>
    <w:p>
      <w:pPr>
        <w:spacing w:after="0" w:line="108"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p>
    <w:p>
      <w:pPr>
        <w:spacing w:after="0" w:line="122"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05"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Capitala Finance Corp.</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Reverse Stock Split</w:t>
      </w:r>
    </w:p>
    <w:p>
      <w:pPr>
        <w:spacing w:after="0" w:line="148"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On July 30, 2020, the Company’s board of directors (the “Board”) approved a one- for-six reverse stock split of shares of the Company’s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 At the Effective Time, every six (6) issued and outstanding Shares were converted into one (1) Share. The Articles of Amendment also provided that there was no change in the par value of $0.01 per Share as a result of the Reverse Stock Split.</w:t>
      </w:r>
    </w:p>
    <w:p>
      <w:pPr>
        <w:spacing w:after="0" w:line="116"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Retroactive Adjustments for Reverse Stock Split</w:t>
      </w:r>
    </w:p>
    <w:p>
      <w:pPr>
        <w:spacing w:after="0" w:line="162"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share amount and per share amount of our common stock in the consolidated financial statements and notes have been retroactively adjusted for the Reverse Stock Split effected on August 21, 2020 for all periods presented. See Note 1 for more information regarding the Reverse Stock Split.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jc w:val="both"/>
        <w:ind w:left="1260" w:right="419" w:firstLine="360"/>
        <w:spacing w:after="0" w:line="291"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xml:space="preserve"> (“ASC 946”). The accompanying</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consolidated financial statements have been prepared on the accrual basis of accounting in 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w:t>
      </w:r>
    </w:p>
    <w:p>
      <w:pPr>
        <w:spacing w:after="0" w:line="107"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Company’s financial statements as of December 31, 2020 and 2019, and for the years ended December 31, 2020, 2019, and 2018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 the economic performance of the entity. See Note 4 to the consolidated financial statements for a description of the Company’s investment in CSLF II.</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Expenses</w:t>
      </w:r>
    </w:p>
    <w:p>
      <w:pPr>
        <w:spacing w:after="0" w:line="148"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83" w:lineRule="exact"/>
        <w:rPr>
          <w:sz w:val="20"/>
          <w:szCs w:val="20"/>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 of calculating our net asset value, including the cost of any third-party valuation services;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419" w:hanging="180"/>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jc w:val="both"/>
        <w:ind w:left="1800" w:right="419" w:hanging="180"/>
        <w:spacing w:after="0" w:line="254"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4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58"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25"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07"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620" w:right="419"/>
        <w:spacing w:after="0" w:line="24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unadjusted quoted prices in active markets for identical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that the Company has the ability to 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04" w:lineRule="exact"/>
        <w:rPr>
          <w:sz w:val="20"/>
          <w:szCs w:val="20"/>
          <w:color w:val="auto"/>
        </w:rPr>
      </w:pPr>
    </w:p>
    <w:p>
      <w:pPr>
        <w:jc w:val="both"/>
        <w:ind w:left="1620" w:right="419"/>
        <w:spacing w:after="0" w:line="266"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Valuations based on quoted prices in markets that are not active or for which all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inputs are observable, either directly or indirectly.</w:t>
      </w:r>
    </w:p>
    <w:p>
      <w:pPr>
        <w:spacing w:after="0" w:line="95" w:lineRule="exact"/>
        <w:rPr>
          <w:sz w:val="20"/>
          <w:szCs w:val="20"/>
          <w:color w:val="auto"/>
        </w:rPr>
      </w:pPr>
    </w:p>
    <w:p>
      <w:pPr>
        <w:jc w:val="both"/>
        <w:ind w:left="1620" w:right="419"/>
        <w:spacing w:after="0" w:line="266"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Valuations based on inputs that are unobservable and significant to the overall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w:t>
      </w:r>
    </w:p>
    <w:p>
      <w:pPr>
        <w:spacing w:after="0" w:line="99"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99"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23"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spacing w:after="0" w:line="120"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44"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w:t>
      </w:r>
    </w:p>
    <w:p>
      <w:pPr>
        <w:sectPr>
          <w:pgSz w:w="11900" w:h="16838" w:orient="portrait"/>
          <w:cols w:equalWidth="0" w:num="1">
            <w:col w:w="9879"/>
          </w:cols>
          <w:pgMar w:left="580" w:top="131"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may dilute the Company’s investment in the portfolio company. The adjusted enterprise value is then apportioned based on the seniority and privileges of the Company’s investments within the portfolio company.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Approach</w:t>
      </w:r>
    </w:p>
    <w:p>
      <w:pPr>
        <w:spacing w:after="0" w:line="144"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Asset Approach</w:t>
      </w:r>
    </w:p>
    <w:p>
      <w:pPr>
        <w:spacing w:after="0" w:line="158"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44"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i w:val="1"/>
          <w:iCs w:val="1"/>
          <w:color w:val="auto"/>
        </w:rPr>
        <w:t xml:space="preserve">Interest income and paid-in-kind interest income: </w:t>
      </w:r>
      <w:r>
        <w:rPr>
          <w:rFonts w:ascii="Arial" w:cs="Arial" w:eastAsia="Arial" w:hAnsi="Arial"/>
          <w:sz w:val="18"/>
          <w:szCs w:val="18"/>
          <w:color w:val="auto"/>
        </w:rPr>
        <w:t>Interest income is recorded on the accrual basis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such amounts are expected to 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25"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Management reviews all loans that become 90 days or more past due, or</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11"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using the specific identification method.</w:t>
      </w:r>
    </w:p>
    <w:p>
      <w:pPr>
        <w:spacing w:after="0" w:line="89"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i w:val="1"/>
          <w:iCs w:val="1"/>
          <w:color w:val="auto"/>
        </w:rPr>
        <w:t xml:space="preserve">Dividend income and paid-in-kind dividends: </w:t>
      </w:r>
      <w:r>
        <w:rPr>
          <w:rFonts w:ascii="Arial" w:cs="Arial" w:eastAsia="Arial" w:hAnsi="Arial"/>
          <w:sz w:val="18"/>
          <w:szCs w:val="18"/>
          <w:color w:val="auto"/>
        </w:rPr>
        <w:t>Dividend income is recognized on the date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income over the life of the loan. Any remaining discount is accreted into income upon prepayment of the loan.</w:t>
      </w:r>
    </w:p>
    <w:p>
      <w:pPr>
        <w:spacing w:after="0" w:line="103"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fees, consent fees, and other fees 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left="1260" w:right="419" w:firstLine="360"/>
        <w:spacing w:after="0" w:line="273" w:lineRule="auto"/>
        <w:rPr>
          <w:sz w:val="20"/>
          <w:szCs w:val="20"/>
          <w:color w:val="auto"/>
        </w:rPr>
      </w:pPr>
      <w:r>
        <w:rPr>
          <w:rFonts w:ascii="Arial" w:cs="Arial" w:eastAsia="Arial" w:hAnsi="Arial"/>
          <w:sz w:val="17"/>
          <w:szCs w:val="17"/>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10"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06"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27"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The tax years ended December 31, 2020, 2019, 2018, and 2017 remain subject to examination by U.S. federal, state, and local tax authorities. No interest expense or penalties have been assessed for the years ended December 31, 2020, 2019, and 2018. If the Company was required to recognize interest and penalties, if any, related to unrecognized tax benefits this would be recognized as income tax expense in the consolidated statements of operations.</w:t>
      </w:r>
    </w:p>
    <w:p>
      <w:pPr>
        <w:spacing w:after="0" w:line="107"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The Company’s Taxable Subsidiaries record deferred tax assets or liabilities related to temporary book versus tax differences on the income or loss generated by the underlying equity investments held by the Taxable Subsidiaries. As of December 31, 2020 and 2019, the Company recorded a net deferred tax asset of $0.0. For the years ended December 31, 2020, 2019 and 2018, the Company recorded a deferred tax benefit (provision) of $0.0, $(0.6) million, and $1.9 million, respectively. As of December 31, 2020 and 2019, the valuation allowance on the Company’s deferred tax asset was $4.6 million and $3.2 million, respectively. During the years ended December 31, 2020, 2019, and 2018 the Company recognized an increase in the valuation allowance of $1.4 million, $2.8 million, and $0.0 respectively.</w:t>
      </w:r>
    </w:p>
    <w:p>
      <w:pPr>
        <w:spacing w:after="0" w:line="111"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its entire distribution in cash. If these and certain other requirements are met, for U.S. federal income tax purposes, the amount of the dividend paid in stock will be equal to the amount of cash that could have been received instead of stock .</w:t>
      </w:r>
    </w:p>
    <w:p>
      <w:pPr>
        <w:spacing w:after="0" w:line="103"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2020 and 2019, there were no uncertain tax positions.</w:t>
      </w:r>
    </w:p>
    <w:p>
      <w:pPr>
        <w:spacing w:after="0" w:line="111"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25"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03"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December 31, 2020 or 2019.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Portfolio and Investment Activity</w:t>
      </w:r>
    </w:p>
    <w:p>
      <w:pPr>
        <w:spacing w:after="0" w:line="162"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December 31, 2020, our portfolio consisted of investments in 36 portfolio companies with a fair value of approximately $274.7 million.</w:t>
      </w:r>
    </w:p>
    <w:p>
      <w:pPr>
        <w:spacing w:after="0" w:line="110"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2020, 14.5% of the fair value of our first lien loans consisted of last-out loans. As of December 31, 2019, 18.1% of the fair value of our first lien loans consisted of last-out loans. In some cases, first lien loans may be subordinated, solely with respect to the payment of cash interest, to an asset based revolving credit facility.</w:t>
      </w:r>
    </w:p>
    <w:p>
      <w:pPr>
        <w:spacing w:after="0" w:line="104"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1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During the year ended December 31, 2020, we made approximately $21.1 million of investments and had approximately $75.8 million in repayments and sales of investments resulting in net repayments and sales of approximately $54.7 million for the year. During the year ended December 31, 2019, we made approximately</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260"/>
        <w:spacing w:after="0" w:line="261" w:lineRule="auto"/>
        <w:rPr>
          <w:sz w:val="20"/>
          <w:szCs w:val="20"/>
          <w:color w:val="auto"/>
        </w:rPr>
      </w:pPr>
      <w:r>
        <w:rPr>
          <w:rFonts w:ascii="Arial" w:cs="Arial" w:eastAsia="Arial" w:hAnsi="Arial"/>
          <w:sz w:val="18"/>
          <w:szCs w:val="18"/>
          <w:color w:val="auto"/>
        </w:rPr>
        <w:t>$77.8 million of investments and had approximately $128.1 million in repayments and sales resulting in net repayments and sales of approximately $50.3 million for the year.</w:t>
      </w:r>
    </w:p>
    <w:p>
      <w:pPr>
        <w:spacing w:after="0" w:line="90" w:lineRule="exact"/>
        <w:rPr>
          <w:sz w:val="20"/>
          <w:szCs w:val="20"/>
          <w:color w:val="auto"/>
        </w:rPr>
      </w:pPr>
    </w:p>
    <w:p>
      <w:pPr>
        <w:jc w:val="both"/>
        <w:ind w:left="1260" w:right="1260" w:firstLine="360"/>
        <w:spacing w:after="0" w:line="257" w:lineRule="auto"/>
        <w:rPr>
          <w:sz w:val="20"/>
          <w:szCs w:val="20"/>
          <w:color w:val="auto"/>
        </w:rPr>
      </w:pPr>
      <w:r>
        <w:rPr>
          <w:rFonts w:ascii="Arial" w:cs="Arial" w:eastAsia="Arial" w:hAnsi="Arial"/>
          <w:sz w:val="17"/>
          <w:szCs w:val="17"/>
          <w:color w:val="auto"/>
        </w:rPr>
        <w:t>As of December 31, 2020, our debt investment portfolio, which represented 75.2% of the fair value of our total portfolio, had a weighted average annualized yield of approximately 10.0%. As of December 31, 2020, 48.9% of the fair value of our debt investment portfolio was bearing a fixed rate of interest. As of December 31, 2019, our debt investment portfolio, which represented 78.6% of the fair value of our total portfolio, had a weighted average annualized yield of approximately 11.5%. As of December 31, 2019, 37.2% of the fair value of our debt investment portfolio was bearing a fixed rate of interest.</w:t>
      </w:r>
    </w:p>
    <w:p>
      <w:pPr>
        <w:spacing w:after="0" w:line="108" w:lineRule="exact"/>
        <w:rPr>
          <w:sz w:val="20"/>
          <w:szCs w:val="20"/>
          <w:color w:val="auto"/>
        </w:rPr>
      </w:pPr>
    </w:p>
    <w:p>
      <w:pPr>
        <w:jc w:val="both"/>
        <w:ind w:left="1260" w:right="1260" w:firstLine="360"/>
        <w:spacing w:after="0" w:line="259" w:lineRule="auto"/>
        <w:rPr>
          <w:sz w:val="20"/>
          <w:szCs w:val="20"/>
          <w:color w:val="auto"/>
        </w:rPr>
      </w:pPr>
      <w:r>
        <w:rPr>
          <w:rFonts w:ascii="Arial" w:cs="Arial" w:eastAsia="Arial" w:hAnsi="Arial"/>
          <w:sz w:val="17"/>
          <w:szCs w:val="17"/>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06" w:lineRule="exact"/>
        <w:rPr>
          <w:sz w:val="20"/>
          <w:szCs w:val="20"/>
          <w:color w:val="auto"/>
        </w:rPr>
      </w:pPr>
    </w:p>
    <w:p>
      <w:pPr>
        <w:jc w:val="both"/>
        <w:ind w:left="1260" w:right="1260" w:firstLine="360"/>
        <w:spacing w:after="0" w:line="238" w:lineRule="auto"/>
        <w:rPr>
          <w:sz w:val="20"/>
          <w:szCs w:val="20"/>
          <w:color w:val="auto"/>
        </w:rPr>
      </w:pPr>
      <w:r>
        <w:rPr>
          <w:rFonts w:ascii="Arial" w:cs="Arial" w:eastAsia="Arial" w:hAnsi="Arial"/>
          <w:sz w:val="18"/>
          <w:szCs w:val="18"/>
          <w:color w:val="auto"/>
        </w:rPr>
        <w:t>As of December 31, 2020, the Board approved the fair value of our investment portfolio of approximately $274.7 million in good faith in accordance with our valuation procedures. The Board approved the fair value of our investment portfolio as of December 31, 2020 with input from a third-party valuation firm and the Investment Advisor based on information known or knowable as of the valuation date, including trailing and forward-looking data. The COVID-19 pandemic is an unprecedented circumstance that materially impacts the fair value of our investments. As a result, the fair value of our portfolio investments may be further negatively impacted after December 31, 2020 by circumstances and events that are not yet known.</w:t>
      </w:r>
    </w:p>
    <w:p>
      <w:pPr>
        <w:spacing w:after="0" w:line="113" w:lineRule="exact"/>
        <w:rPr>
          <w:sz w:val="20"/>
          <w:szCs w:val="20"/>
          <w:color w:val="auto"/>
        </w:rPr>
      </w:pPr>
    </w:p>
    <w:p>
      <w:pPr>
        <w:jc w:val="both"/>
        <w:ind w:left="1260" w:right="1260" w:firstLine="360"/>
        <w:spacing w:after="0" w:line="241" w:lineRule="auto"/>
        <w:rPr>
          <w:sz w:val="20"/>
          <w:szCs w:val="20"/>
          <w:color w:val="auto"/>
        </w:rPr>
      </w:pPr>
      <w:r>
        <w:rPr>
          <w:rFonts w:ascii="Arial" w:cs="Arial" w:eastAsia="Arial" w:hAnsi="Arial"/>
          <w:sz w:val="18"/>
          <w:szCs w:val="18"/>
          <w:color w:val="auto"/>
        </w:rPr>
        <w:t>The COVID-19 pandemic may also impact our portfolio companies’ ability to pay their respective contractual obligations, including principal and interest due to us, and some portfolio companies may require interest or amortization deferrals in order to fulfill short-term liquidity needs in response to the COVID- 19 pandemic. We are working with each of our portfolio companies to help them access short-term liquidity through interest deferrals, funding on unused lines of credit, and other sources of liquidity.</w:t>
      </w:r>
    </w:p>
    <w:p>
      <w:pPr>
        <w:spacing w:after="0" w:line="122" w:lineRule="exact"/>
        <w:rPr>
          <w:sz w:val="20"/>
          <w:szCs w:val="20"/>
          <w:color w:val="auto"/>
        </w:rPr>
      </w:pPr>
    </w:p>
    <w:p>
      <w:pPr>
        <w:jc w:val="both"/>
        <w:ind w:left="1260" w:right="1260" w:firstLine="360"/>
        <w:spacing w:after="0" w:line="259" w:lineRule="auto"/>
        <w:rPr>
          <w:sz w:val="20"/>
          <w:szCs w:val="20"/>
          <w:color w:val="auto"/>
        </w:rPr>
      </w:pPr>
      <w:r>
        <w:rPr>
          <w:rFonts w:ascii="Arial" w:cs="Arial" w:eastAsia="Arial" w:hAnsi="Arial"/>
          <w:sz w:val="17"/>
          <w:szCs w:val="17"/>
          <w:color w:val="auto"/>
        </w:rPr>
        <w:t>As of December 31, 2020, we had debt investments in four portfolio companies on non-accrual status with an aggregate amortized cost of $37.5 million and an aggregate fair value of $20.8 million, which represented 13.5% and 7.6% of the investment portfolio, respectively. As of December 31, 2019, we had no investments on non -accrual status. The increase in non-accrual investments from December 31, 2019 to December 31, 2020 was largely driven by the economic impact of the COVID-19 pandemic.</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amortized  cost  and  the  fair  value  of  investments  as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(dollars in thousands):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Investments at</w:t>
            </w: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Percentage of</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Investments at</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Percentage of</w:t>
            </w:r>
          </w:p>
        </w:tc>
      </w:tr>
      <w:tr>
        <w:trPr>
          <w:trHeight w:val="186"/>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6"/>
                <w:szCs w:val="16"/>
                <w:color w:val="auto"/>
              </w:rPr>
            </w:pPr>
          </w:p>
        </w:tc>
        <w:tc>
          <w:tcPr>
            <w:tcW w:w="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6"/>
                <w:szCs w:val="16"/>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
        </w:trPr>
        <w:tc>
          <w:tcPr>
            <w:tcW w:w="3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$185,108</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$167,418</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r>
      <w:tr>
        <w:trPr>
          <w:trHeight w:val="257"/>
        </w:trPr>
        <w:tc>
          <w:tcPr>
            <w:tcW w:w="3800" w:type="dxa"/>
            <w:vAlign w:val="bottom"/>
          </w:tcPr>
          <w:p>
            <w:pPr>
              <w:spacing w:after="0"/>
              <w:rPr>
                <w:sz w:val="20"/>
                <w:szCs w:val="20"/>
                <w:color w:val="auto"/>
              </w:rPr>
            </w:pPr>
            <w:r>
              <w:rPr>
                <w:rFonts w:ascii="Arial" w:cs="Arial" w:eastAsia="Arial" w:hAnsi="Arial"/>
                <w:sz w:val="18"/>
                <w:szCs w:val="18"/>
                <w:color w:val="auto"/>
              </w:rPr>
              <w:t>Second Lien Debt</w:t>
            </w: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39,026</w:t>
            </w:r>
          </w:p>
        </w:tc>
        <w:tc>
          <w:tcPr>
            <w:tcW w:w="2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2"/>
                <w:szCs w:val="2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39,209</w:t>
            </w:r>
          </w:p>
        </w:tc>
        <w:tc>
          <w:tcPr>
            <w:tcW w:w="22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14.3</w:t>
            </w:r>
          </w:p>
        </w:tc>
      </w:tr>
      <w:tr>
        <w:trPr>
          <w:trHeight w:val="26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6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53,518</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68,065</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r>
      <w:tr>
        <w:trPr>
          <w:trHeight w:val="20"/>
        </w:trPr>
        <w:tc>
          <w:tcPr>
            <w:tcW w:w="3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4"/>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$277,652</w:t>
            </w:r>
          </w:p>
        </w:tc>
        <w:tc>
          <w:tcPr>
            <w:tcW w:w="220" w:type="dxa"/>
            <w:vAlign w:val="bottom"/>
          </w:tcPr>
          <w:p>
            <w:pPr>
              <w:spacing w:after="0"/>
              <w:rPr>
                <w:sz w:val="22"/>
                <w:szCs w:val="2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$274,692</w:t>
            </w:r>
          </w:p>
        </w:tc>
        <w:tc>
          <w:tcPr>
            <w:tcW w:w="22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-710565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-710565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-710565</wp:posOffset>
            </wp:positionV>
            <wp:extent cx="33000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amortized  cost  and  the  fair  value  of  investments  as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2019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Investments at</w:t>
            </w: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Percentage of</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Investments at</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Percentage of</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6"/>
                <w:szCs w:val="16"/>
                <w:color w:val="auto"/>
              </w:rPr>
            </w:pPr>
          </w:p>
        </w:tc>
        <w:tc>
          <w:tcPr>
            <w:tcW w:w="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6"/>
                <w:szCs w:val="16"/>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2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$235,646</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$231,203</w:t>
            </w: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Second Lien Debt</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54,079</w:t>
            </w:r>
          </w:p>
        </w:tc>
        <w:tc>
          <w:tcPr>
            <w:tcW w:w="22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53,857</w:t>
            </w:r>
          </w:p>
        </w:tc>
        <w:tc>
          <w:tcPr>
            <w:tcW w:w="2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14.8</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50,556</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63,841</w:t>
            </w: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1260" w:type="dxa"/>
            <w:vAlign w:val="bottom"/>
          </w:tcPr>
          <w:p>
            <w:pPr>
              <w:spacing w:after="0"/>
              <w:rPr>
                <w:sz w:val="19"/>
                <w:szCs w:val="19"/>
                <w:color w:val="auto"/>
              </w:rPr>
            </w:pPr>
          </w:p>
        </w:tc>
      </w:tr>
      <w:tr>
        <w:trPr>
          <w:trHeight w:val="277"/>
        </w:trPr>
        <w:tc>
          <w:tcPr>
            <w:tcW w:w="126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Capitala Senior Loan Fund II, LLC</w:t>
            </w:r>
          </w:p>
        </w:tc>
        <w:tc>
          <w:tcPr>
            <w:tcW w:w="840" w:type="dxa"/>
            <w:vAlign w:val="bottom"/>
            <w:gridSpan w:val="2"/>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13,600</w:t>
            </w:r>
          </w:p>
        </w:tc>
        <w:tc>
          <w:tcPr>
            <w:tcW w:w="220" w:type="dxa"/>
            <w:vAlign w:val="bottom"/>
          </w:tcPr>
          <w:p>
            <w:pPr>
              <w:spacing w:after="0"/>
              <w:rPr>
                <w:sz w:val="24"/>
                <w:szCs w:val="2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13,631</w:t>
            </w:r>
          </w:p>
        </w:tc>
        <w:tc>
          <w:tcPr>
            <w:tcW w:w="220" w:type="dxa"/>
            <w:vAlign w:val="bottom"/>
          </w:tcPr>
          <w:p>
            <w:pPr>
              <w:spacing w:after="0"/>
              <w:rPr>
                <w:sz w:val="24"/>
                <w:szCs w:val="2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$353,881</w:t>
            </w:r>
          </w:p>
        </w:tc>
        <w:tc>
          <w:tcPr>
            <w:tcW w:w="2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$362,532</w:t>
            </w:r>
          </w:p>
        </w:tc>
        <w:tc>
          <w:tcPr>
            <w:tcW w:w="2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08"/>
        </w:trPr>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20" w:type="dxa"/>
            <w:vAlign w:val="bottom"/>
            <w:gridSpan w:val="3"/>
          </w:tcPr>
          <w:p>
            <w:pPr>
              <w:jc w:val="right"/>
              <w:ind w:right="57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-873760</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-873760</wp:posOffset>
            </wp:positionV>
            <wp:extent cx="3429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-873760</wp:posOffset>
            </wp:positionV>
            <wp:extent cx="334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3437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-1499235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-1499235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-1499235</wp:posOffset>
            </wp:positionV>
            <wp:extent cx="33000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0" w:name="page91"/>
    <w:bookmarkEnd w:id="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shows the portfolio composition by industry grouping at fair value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and 2019 (dollars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7"/>
          </w:tcPr>
          <w:p>
            <w:pPr>
              <w:ind w:left="2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 2019</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260" w:type="dxa"/>
            <w:vAlign w:val="bottom"/>
          </w:tcPr>
          <w:p>
            <w:pPr>
              <w:spacing w:after="0"/>
              <w:rPr>
                <w:sz w:val="2"/>
                <w:szCs w:val="2"/>
                <w:color w:val="auto"/>
              </w:rPr>
            </w:pPr>
          </w:p>
        </w:tc>
      </w:tr>
      <w:tr>
        <w:trPr>
          <w:trHeight w:val="173"/>
        </w:trPr>
        <w:tc>
          <w:tcPr>
            <w:tcW w:w="12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Investments at</w:t>
            </w: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Percentage of</w:t>
            </w:r>
          </w:p>
        </w:tc>
        <w:tc>
          <w:tcPr>
            <w:tcW w:w="1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Investments at</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Percentage of</w:t>
            </w:r>
          </w:p>
        </w:tc>
        <w:tc>
          <w:tcPr>
            <w:tcW w:w="1260" w:type="dxa"/>
            <w:vAlign w:val="bottom"/>
          </w:tcPr>
          <w:p>
            <w:pPr>
              <w:spacing w:after="0"/>
              <w:rPr>
                <w:sz w:val="15"/>
                <w:szCs w:val="15"/>
                <w:color w:val="auto"/>
              </w:rPr>
            </w:pPr>
          </w:p>
        </w:tc>
      </w:tr>
      <w:tr>
        <w:trPr>
          <w:trHeight w:val="186"/>
        </w:trPr>
        <w:tc>
          <w:tcPr>
            <w:tcW w:w="1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Fair Value</w:t>
            </w: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 Portfolio</w:t>
            </w:r>
          </w:p>
        </w:tc>
        <w:tc>
          <w:tcPr>
            <w:tcW w:w="100" w:type="dxa"/>
            <w:vAlign w:val="bottom"/>
          </w:tcPr>
          <w:p>
            <w:pPr>
              <w:spacing w:after="0"/>
              <w:rPr>
                <w:sz w:val="16"/>
                <w:szCs w:val="16"/>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Total Portfolio</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36,794</w:t>
            </w:r>
          </w:p>
        </w:tc>
        <w:tc>
          <w:tcPr>
            <w:tcW w:w="1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40,410</w:t>
            </w: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Healthcare</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23,899</w:t>
            </w:r>
          </w:p>
        </w:tc>
        <w:tc>
          <w:tcPr>
            <w:tcW w:w="18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27,928</w:t>
            </w:r>
          </w:p>
        </w:tc>
        <w:tc>
          <w:tcPr>
            <w:tcW w:w="2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7.7</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20,947</w:t>
            </w:r>
          </w:p>
        </w:tc>
        <w:tc>
          <w:tcPr>
            <w:tcW w:w="18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19,291</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Financial Services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15,721</w:t>
            </w:r>
          </w:p>
        </w:tc>
        <w:tc>
          <w:tcPr>
            <w:tcW w:w="18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29,517</w:t>
            </w:r>
          </w:p>
        </w:tc>
        <w:tc>
          <w:tcPr>
            <w:tcW w:w="2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8.1</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15,649</w:t>
            </w:r>
          </w:p>
        </w:tc>
        <w:tc>
          <w:tcPr>
            <w:tcW w:w="18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25,118</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Automobile Part Manufacturer</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14,935</w:t>
            </w:r>
          </w:p>
        </w:tc>
        <w:tc>
          <w:tcPr>
            <w:tcW w:w="18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15,056</w:t>
            </w:r>
          </w:p>
        </w:tc>
        <w:tc>
          <w:tcPr>
            <w:tcW w:w="2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4.2</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Security System Services</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14,727</w:t>
            </w:r>
          </w:p>
        </w:tc>
        <w:tc>
          <w:tcPr>
            <w:tcW w:w="18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16,063</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IT Consulting</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13,199</w:t>
            </w:r>
          </w:p>
        </w:tc>
        <w:tc>
          <w:tcPr>
            <w:tcW w:w="18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2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3.8</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Multi-platform media and consumer products</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11,868</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11,564</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11,381</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11,279</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Information Technology</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11,154</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Healthcare Management</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10,673</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Entertainment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10,241</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10,912</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Electronic Machine Repair</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8,759</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Wireless Deployment Services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6,948</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Testing laboratories</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6,449</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7,026</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5,019</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4,904</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4,707</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4,212</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4,262</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Data Services</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3,856</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2,461</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2,489</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Footwear Retail</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0.9</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1,418</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5,908</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Household Product Manufacturer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Industrial</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Oil &amp; Gas Services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2,273</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0.6</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17,609</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4.9</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 Funds</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13,631</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10,045</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Logistics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2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0.8</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2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260" w:type="dxa"/>
            <w:vAlign w:val="bottom"/>
          </w:tcPr>
          <w:p>
            <w:pPr>
              <w:spacing w:after="0"/>
              <w:rPr>
                <w:sz w:val="23"/>
                <w:szCs w:val="23"/>
                <w:color w:val="auto"/>
              </w:rPr>
            </w:pPr>
          </w:p>
        </w:tc>
      </w:tr>
      <w:tr>
        <w:trPr>
          <w:trHeight w:val="277"/>
        </w:trPr>
        <w:tc>
          <w:tcPr>
            <w:tcW w:w="126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274,692</w:t>
            </w:r>
          </w:p>
        </w:tc>
        <w:tc>
          <w:tcPr>
            <w:tcW w:w="18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362,532</w:t>
            </w:r>
          </w:p>
        </w:tc>
        <w:tc>
          <w:tcPr>
            <w:tcW w:w="2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95"/>
        </w:trPr>
        <w:tc>
          <w:tcPr>
            <w:tcW w:w="1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-864870</wp:posOffset>
            </wp:positionV>
            <wp:extent cx="1543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-864870</wp:posOffset>
            </wp:positionV>
            <wp:extent cx="3600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-864870</wp:posOffset>
            </wp:positionV>
            <wp:extent cx="3429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-864870</wp:posOffset>
            </wp:positionV>
            <wp:extent cx="33947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-6985635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-6985635</wp:posOffset>
            </wp:positionV>
            <wp:extent cx="1289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-6985635</wp:posOffset>
            </wp:positionV>
            <wp:extent cx="32404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-7620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1" w:name="page92"/>
    <w:bookmarkEnd w:id="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All investments made by the Company as of December 31, 2020 and 2019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December 31, 2020 and 2019 (dollars in thousands):</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tcPr>
          <w:p>
            <w:pPr>
              <w:ind w:left="280"/>
              <w:spacing w:after="0"/>
              <w:rPr>
                <w:sz w:val="20"/>
                <w:szCs w:val="20"/>
                <w:color w:val="auto"/>
              </w:rPr>
            </w:pPr>
            <w:r>
              <w:rPr>
                <w:rFonts w:ascii="Arial" w:cs="Arial" w:eastAsia="Arial" w:hAnsi="Arial"/>
                <w:sz w:val="14"/>
                <w:szCs w:val="14"/>
                <w:b w:val="1"/>
                <w:bCs w:val="1"/>
                <w:color w:val="auto"/>
              </w:rPr>
              <w:t>At December 31, 2020</w:t>
            </w:r>
          </w:p>
        </w:tc>
        <w:tc>
          <w:tcPr>
            <w:tcW w:w="100" w:type="dxa"/>
            <w:vAlign w:val="bottom"/>
          </w:tcPr>
          <w:p>
            <w:pPr>
              <w:spacing w:after="0"/>
              <w:rPr>
                <w:sz w:val="16"/>
                <w:szCs w:val="16"/>
                <w:color w:val="auto"/>
              </w:rPr>
            </w:pPr>
          </w:p>
        </w:tc>
        <w:tc>
          <w:tcPr>
            <w:tcW w:w="19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At December 31, 2019</w:t>
            </w:r>
          </w:p>
        </w:tc>
      </w:tr>
      <w:tr>
        <w:trPr>
          <w:trHeight w:val="26"/>
        </w:trPr>
        <w:tc>
          <w:tcPr>
            <w:tcW w:w="3960" w:type="dxa"/>
            <w:vAlign w:val="bottom"/>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r>
      <w:tr>
        <w:trPr>
          <w:trHeight w:val="173"/>
        </w:trPr>
        <w:tc>
          <w:tcPr>
            <w:tcW w:w="3960" w:type="dxa"/>
            <w:vAlign w:val="bottom"/>
          </w:tcPr>
          <w:p>
            <w:pPr>
              <w:spacing w:after="0"/>
              <w:rPr>
                <w:sz w:val="15"/>
                <w:szCs w:val="15"/>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Investments at</w:t>
            </w: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Percentage of</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Investments at</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Percentage of</w:t>
            </w:r>
          </w:p>
        </w:tc>
      </w:tr>
      <w:tr>
        <w:trPr>
          <w:trHeight w:val="186"/>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Fair Value</w:t>
            </w: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 Portfolio</w:t>
            </w:r>
          </w:p>
        </w:tc>
        <w:tc>
          <w:tcPr>
            <w:tcW w:w="10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Total Portfolio</w:t>
            </w:r>
          </w:p>
        </w:tc>
      </w:tr>
      <w:tr>
        <w:trPr>
          <w:trHeight w:val="26"/>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$140,048</w:t>
            </w:r>
          </w:p>
        </w:tc>
        <w:tc>
          <w:tcPr>
            <w:tcW w:w="2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$165,963</w:t>
            </w: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West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50,212</w:t>
            </w:r>
          </w:p>
        </w:tc>
        <w:tc>
          <w:tcPr>
            <w:tcW w:w="20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2"/>
                <w:szCs w:val="22"/>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70,102</w:t>
            </w:r>
          </w:p>
        </w:tc>
        <w:tc>
          <w:tcPr>
            <w:tcW w:w="2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19.3</w:t>
            </w:r>
          </w:p>
        </w:tc>
      </w:tr>
      <w:tr>
        <w:trPr>
          <w:trHeight w:val="257"/>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48,255</w:t>
            </w:r>
          </w:p>
        </w:tc>
        <w:tc>
          <w:tcPr>
            <w:tcW w:w="2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55,283</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r>
      <w:tr>
        <w:trPr>
          <w:trHeight w:val="263"/>
        </w:trPr>
        <w:tc>
          <w:tcPr>
            <w:tcW w:w="3960" w:type="dxa"/>
            <w:vAlign w:val="bottom"/>
          </w:tcPr>
          <w:p>
            <w:pPr>
              <w:spacing w:after="0"/>
              <w:rPr>
                <w:sz w:val="20"/>
                <w:szCs w:val="20"/>
                <w:color w:val="auto"/>
              </w:rPr>
            </w:pPr>
            <w:r>
              <w:rPr>
                <w:rFonts w:ascii="Arial" w:cs="Arial" w:eastAsia="Arial" w:hAnsi="Arial"/>
                <w:sz w:val="18"/>
                <w:szCs w:val="18"/>
                <w:color w:val="auto"/>
              </w:rPr>
              <w:t>Northeast</w:t>
            </w:r>
          </w:p>
        </w:tc>
        <w:tc>
          <w:tcPr>
            <w:tcW w:w="1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36,177</w:t>
            </w:r>
          </w:p>
        </w:tc>
        <w:tc>
          <w:tcPr>
            <w:tcW w:w="20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2"/>
                <w:szCs w:val="22"/>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71,184</w:t>
            </w:r>
          </w:p>
        </w:tc>
        <w:tc>
          <w:tcPr>
            <w:tcW w:w="2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19.6</w:t>
            </w:r>
          </w:p>
        </w:tc>
      </w:tr>
      <w:tr>
        <w:trPr>
          <w:trHeight w:val="20"/>
        </w:trPr>
        <w:tc>
          <w:tcPr>
            <w:tcW w:w="3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$274,692</w:t>
            </w:r>
          </w:p>
        </w:tc>
        <w:tc>
          <w:tcPr>
            <w:tcW w:w="2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$362,532</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-205105</wp:posOffset>
            </wp:positionV>
            <wp:extent cx="154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-205105</wp:posOffset>
            </wp:positionV>
            <wp:extent cx="3600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-205105</wp:posOffset>
            </wp:positionV>
            <wp:extent cx="3511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-205105</wp:posOffset>
            </wp:positionV>
            <wp:extent cx="33858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-873760</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-873760</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32315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03"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9879"/>
          </w:cols>
          <w:pgMar w:left="580" w:top="131" w:right="1440" w:bottom="1440" w:gutter="0" w:footer="0" w:header="0"/>
        </w:sectPr>
      </w:pPr>
    </w:p>
    <w:p>
      <w:pPr>
        <w:spacing w:after="0" w:line="176"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Investment</w:t>
      </w:r>
    </w:p>
    <w:p>
      <w:pPr>
        <w:spacing w:after="0" w:line="40"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486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679"/>
        <w:spacing w:after="0"/>
        <w:rPr>
          <w:sz w:val="20"/>
          <w:szCs w:val="20"/>
          <w:color w:val="auto"/>
        </w:rPr>
      </w:pPr>
      <w:r>
        <w:rPr>
          <w:rFonts w:ascii="Arial" w:cs="Arial" w:eastAsia="Arial" w:hAnsi="Arial"/>
          <w:sz w:val="12"/>
          <w:szCs w:val="12"/>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-2082165</wp:posOffset>
            </wp:positionH>
            <wp:positionV relativeFrom="paragraph">
              <wp:posOffset>46990</wp:posOffset>
            </wp:positionV>
            <wp:extent cx="45262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4900" w:space="720"/>
            <w:col w:w="4259"/>
          </w:cols>
          <w:pgMar w:left="580" w:top="131" w:right="1440" w:bottom="1440" w:gutter="0" w:footer="0" w:header="0"/>
          <w:type w:val="continuous"/>
        </w:sectPr>
      </w:pPr>
    </w:p>
    <w:p>
      <w:pPr>
        <w:ind w:left="2340" w:right="579" w:hanging="695"/>
        <w:spacing w:after="0" w:line="273" w:lineRule="auto"/>
        <w:tabs>
          <w:tab w:leader="none" w:pos="2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2" w:lineRule="exact"/>
        <w:rPr>
          <w:sz w:val="20"/>
          <w:szCs w:val="20"/>
          <w:color w:val="auto"/>
        </w:rPr>
      </w:pPr>
    </w:p>
    <w:p>
      <w:pPr>
        <w:jc w:val="both"/>
        <w:ind w:left="2340" w:right="559" w:hanging="695"/>
        <w:spacing w:after="0" w:line="259" w:lineRule="auto"/>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1" w:lineRule="exact"/>
        <w:rPr>
          <w:sz w:val="20"/>
          <w:szCs w:val="20"/>
          <w:color w:val="auto"/>
        </w:rPr>
      </w:pPr>
    </w:p>
    <w:p>
      <w:pPr>
        <w:ind w:left="2340" w:right="579" w:hanging="695"/>
        <w:spacing w:after="0" w:line="277" w:lineRule="auto"/>
        <w:tabs>
          <w:tab w:leader="none" w:pos="2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2" w:lineRule="exact"/>
        <w:rPr>
          <w:sz w:val="20"/>
          <w:szCs w:val="20"/>
          <w:color w:val="auto"/>
        </w:rPr>
      </w:pPr>
    </w:p>
    <w:p>
      <w:pPr>
        <w:jc w:val="both"/>
        <w:ind w:left="2340" w:right="479" w:hanging="695"/>
        <w:spacing w:after="0" w:line="263" w:lineRule="auto"/>
        <w:tabs>
          <w:tab w:leader="none" w:pos="2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8" w:lineRule="exact"/>
        <w:rPr>
          <w:sz w:val="20"/>
          <w:szCs w:val="20"/>
          <w:color w:val="auto"/>
        </w:rPr>
      </w:pPr>
    </w:p>
    <w:p>
      <w:pPr>
        <w:jc w:val="both"/>
        <w:ind w:left="2340" w:right="659" w:hanging="695"/>
        <w:spacing w:after="0" w:line="263" w:lineRule="auto"/>
        <w:tabs>
          <w:tab w:leader="none" w:pos="2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43"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December 31, 2020 and 2019 (dollars in thousands):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7"/>
          </w:tcPr>
          <w:p>
            <w:pPr>
              <w:ind w:left="60"/>
              <w:spacing w:after="0"/>
              <w:rPr>
                <w:sz w:val="20"/>
                <w:szCs w:val="20"/>
                <w:color w:val="auto"/>
              </w:rPr>
            </w:pPr>
            <w:r>
              <w:rPr>
                <w:rFonts w:ascii="Arial" w:cs="Arial" w:eastAsia="Arial" w:hAnsi="Arial"/>
                <w:sz w:val="14"/>
                <w:szCs w:val="14"/>
                <w:b w:val="1"/>
                <w:bCs w:val="1"/>
                <w:color w:val="auto"/>
              </w:rPr>
              <w:t>As of December 31, 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9"/>
              </w:rPr>
              <w:t>As of December 31, 2019</w:t>
            </w:r>
          </w:p>
        </w:tc>
      </w:tr>
      <w:tr>
        <w:trPr>
          <w:trHeight w:val="26"/>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r>
      <w:tr>
        <w:trPr>
          <w:trHeight w:val="173"/>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Percentage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Percentage of</w:t>
            </w:r>
          </w:p>
        </w:tc>
      </w:tr>
      <w:tr>
        <w:trPr>
          <w:trHeight w:val="162"/>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Investments at</w:t>
            </w:r>
          </w:p>
        </w:tc>
        <w:tc>
          <w:tcPr>
            <w:tcW w:w="220" w:type="dxa"/>
            <w:vAlign w:val="bottom"/>
          </w:tcPr>
          <w:p>
            <w:pPr>
              <w:spacing w:after="0"/>
              <w:rPr>
                <w:sz w:val="14"/>
                <w:szCs w:val="14"/>
                <w:color w:val="auto"/>
              </w:rPr>
            </w:pPr>
          </w:p>
        </w:tc>
        <w:tc>
          <w:tcPr>
            <w:tcW w:w="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Investments at</w:t>
            </w:r>
          </w:p>
        </w:tc>
        <w:tc>
          <w:tcPr>
            <w:tcW w:w="2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86"/>
        </w:trPr>
        <w:tc>
          <w:tcPr>
            <w:tcW w:w="3860" w:type="dxa"/>
            <w:vAlign w:val="bottom"/>
          </w:tcPr>
          <w:p>
            <w:pPr>
              <w:spacing w:after="0"/>
              <w:rPr>
                <w:sz w:val="20"/>
                <w:szCs w:val="20"/>
                <w:color w:val="auto"/>
              </w:rPr>
            </w:pPr>
            <w:r>
              <w:rPr>
                <w:rFonts w:ascii="Arial" w:cs="Arial" w:eastAsia="Arial" w:hAnsi="Arial"/>
                <w:sz w:val="14"/>
                <w:szCs w:val="14"/>
                <w:b w:val="1"/>
                <w:bCs w:val="1"/>
                <w:color w:val="auto"/>
              </w:rPr>
              <w:t>Investment Rating</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6"/>
                <w:szCs w:val="16"/>
                <w:color w:val="auto"/>
              </w:rPr>
            </w:pP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Investments</w:t>
            </w:r>
          </w:p>
        </w:tc>
      </w:tr>
      <w:tr>
        <w:trPr>
          <w:trHeight w:val="26"/>
        </w:trPr>
        <w:tc>
          <w:tcPr>
            <w:tcW w:w="3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96,703</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85,688</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140,111</w:t>
            </w:r>
          </w:p>
        </w:tc>
        <w:tc>
          <w:tcPr>
            <w:tcW w:w="2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219,855</w:t>
            </w:r>
          </w:p>
        </w:tc>
        <w:tc>
          <w:tcPr>
            <w:tcW w:w="22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60.7</w:t>
            </w:r>
          </w:p>
        </w:tc>
      </w:tr>
      <w:tr>
        <w:trPr>
          <w:trHeight w:val="25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17,111</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56,989</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20,767</w:t>
            </w:r>
          </w:p>
        </w:tc>
        <w:tc>
          <w:tcPr>
            <w:tcW w:w="2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6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3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4"/>
        </w:trPr>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274,692</w:t>
            </w:r>
          </w:p>
        </w:tc>
        <w:tc>
          <w:tcPr>
            <w:tcW w:w="220" w:type="dxa"/>
            <w:vAlign w:val="bottom"/>
          </w:tcPr>
          <w:p>
            <w:pPr>
              <w:spacing w:after="0"/>
              <w:rPr>
                <w:sz w:val="22"/>
                <w:szCs w:val="2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362,532</w:t>
            </w:r>
          </w:p>
        </w:tc>
        <w:tc>
          <w:tcPr>
            <w:tcW w:w="22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-1036320</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-1036320</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-1036320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-1036320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15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10"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For the years ended December 31, 2020 and 2019, the Company received $0.0 and $1.0 million, respectively, in dividend income from its equity interest in CSLF II.</w:t>
      </w:r>
    </w:p>
    <w:p>
      <w:pPr>
        <w:spacing w:after="0" w:line="122"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As of December 31, 2019, $13.6 million and $3.4 million in equity capital had been contributed by the Company and Trinity, respectively. As of December 31, 2019, the Company and Trinity had $6.4 million and $1.6 million of unfunded equity capital commitments outstanding, respectively. The Company’s equity investment in CSLF II was not redeemable. On June 12, 2020, the capital commitments for the Company and Trinity were terminated.</w:t>
      </w:r>
    </w:p>
    <w:p>
      <w:pPr>
        <w:spacing w:after="0" w:line="122"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.35% when utilization of the CSLF II Credit Facility exceeded 50% and .65% when utilization of the CSLF II Credit Facility was less than 50%. On June 5, 2020, CSLF II terminated the CSLF II Credit Facility and repaid all amounts outstanding.</w:t>
      </w:r>
    </w:p>
    <w:p>
      <w:pPr>
        <w:spacing w:after="0" w:line="113"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As of December 31, 2019, $12.7 million was outstanding under the CSLF II Credit Facility. For the years ended December 31, 2020 and 2019, CSLF II incurred interest and financing expenses of $1.1 million and $0.2 million, respectively.</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spacing w:after="0" w:line="120" w:lineRule="exact"/>
        <w:rPr>
          <w:sz w:val="20"/>
          <w:szCs w:val="20"/>
          <w:color w:val="auto"/>
        </w:rPr>
      </w:pPr>
    </w:p>
    <w:p>
      <w:pPr>
        <w:jc w:val="both"/>
        <w:ind w:left="1260" w:right="419" w:firstLine="360"/>
        <w:spacing w:after="0" w:line="291" w:lineRule="auto"/>
        <w:rPr>
          <w:sz w:val="20"/>
          <w:szCs w:val="20"/>
          <w:color w:val="auto"/>
        </w:rPr>
      </w:pPr>
      <w:r>
        <w:rPr>
          <w:rFonts w:ascii="Arial" w:cs="Arial" w:eastAsia="Arial" w:hAnsi="Arial"/>
          <w:sz w:val="17"/>
          <w:szCs w:val="17"/>
          <w:color w:val="auto"/>
        </w:rPr>
        <w:t>As of December 31, 2019, $0.0 were outstanding on the Subordinated Notes. As of December 31, 2019, the Company and Trinity had $5.0 million and $20.0 million of unfunded commitments related to the</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60"/>
        <w:spacing w:after="0" w:line="261" w:lineRule="auto"/>
        <w:rPr>
          <w:sz w:val="20"/>
          <w:szCs w:val="20"/>
          <w:color w:val="auto"/>
        </w:rPr>
      </w:pPr>
      <w:r>
        <w:rPr>
          <w:rFonts w:ascii="Arial" w:cs="Arial" w:eastAsia="Arial" w:hAnsi="Arial"/>
          <w:sz w:val="18"/>
          <w:szCs w:val="18"/>
          <w:color w:val="auto"/>
        </w:rPr>
        <w:t>Subordinated Notes, respectively. For the years ended December 31, 2020 and 2019, CSLF II did not incur any interest and financing expenses related to the Subordinated Notes.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Below is a summary of CSLF II’s portfolio as of December 31, 2019 (dollars 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December 31, 2019</w:t>
            </w:r>
          </w:p>
        </w:tc>
      </w:tr>
      <w:tr>
        <w:trPr>
          <w:trHeight w:val="26"/>
        </w:trPr>
        <w:tc>
          <w:tcPr>
            <w:tcW w:w="7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704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First lien loans</w:t>
            </w:r>
            <w:r>
              <w:rPr>
                <w:rFonts w:ascii="Arial" w:cs="Arial" w:eastAsia="Arial" w:hAnsi="Arial"/>
                <w:sz w:val="26"/>
                <w:szCs w:val="26"/>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28,396</w:t>
            </w: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38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57"/>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r>
      <w:tr>
        <w:trPr>
          <w:trHeight w:val="270"/>
        </w:trPr>
        <w:tc>
          <w:tcPr>
            <w:tcW w:w="7040" w:type="dxa"/>
            <w:vAlign w:val="bottom"/>
          </w:tcPr>
          <w:p>
            <w:pPr>
              <w:spacing w:after="0" w:line="270" w:lineRule="exact"/>
              <w:rPr>
                <w:sz w:val="20"/>
                <w:szCs w:val="20"/>
                <w:color w:val="auto"/>
              </w:rPr>
            </w:pPr>
            <w:r>
              <w:rPr>
                <w:rFonts w:ascii="Arial" w:cs="Arial" w:eastAsia="Arial" w:hAnsi="Arial"/>
                <w:sz w:val="18"/>
                <w:szCs w:val="18"/>
                <w:color w:val="auto"/>
              </w:rPr>
              <w:t>Largest portfolio company investment</w:t>
            </w:r>
            <w:r>
              <w:rPr>
                <w:rFonts w:ascii="Arial" w:cs="Arial" w:eastAsia="Arial" w:hAnsi="Arial"/>
                <w:sz w:val="26"/>
                <w:szCs w:val="26"/>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7,443</w:t>
            </w:r>
          </w:p>
        </w:tc>
      </w:tr>
      <w:tr>
        <w:trPr>
          <w:trHeight w:val="270"/>
        </w:trPr>
        <w:tc>
          <w:tcPr>
            <w:tcW w:w="70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Total of five largest portfolio company investments</w:t>
            </w:r>
            <w:r>
              <w:rPr>
                <w:rFonts w:ascii="Arial" w:cs="Arial" w:eastAsia="Arial" w:hAnsi="Arial"/>
                <w:sz w:val="26"/>
                <w:szCs w:val="26"/>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28,396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-848360</wp:posOffset>
            </wp:positionV>
            <wp:extent cx="4474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15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Below is CSLF II’s schedule of investments as of December 31, 2019 (dollars 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Industry</w:t>
            </w:r>
          </w:p>
        </w:tc>
        <w:tc>
          <w:tcPr>
            <w:tcW w:w="258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Fair Value</w:t>
            </w:r>
          </w:p>
        </w:tc>
      </w:tr>
      <w:tr>
        <w:trPr>
          <w:trHeight w:val="26"/>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Investments at Fair</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8"/>
        </w:trPr>
        <w:tc>
          <w:tcPr>
            <w:tcW w:w="202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Value</w:t>
            </w: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9"/>
        </w:trPr>
        <w:tc>
          <w:tcPr>
            <w:tcW w:w="2020" w:type="dxa"/>
            <w:vAlign w:val="bottom"/>
            <w:gridSpan w:val="3"/>
          </w:tcPr>
          <w:p>
            <w:pPr>
              <w:spacing w:after="0"/>
              <w:rPr>
                <w:sz w:val="20"/>
                <w:szCs w:val="20"/>
                <w:color w:val="auto"/>
              </w:rPr>
            </w:pPr>
            <w:r>
              <w:rPr>
                <w:rFonts w:ascii="Arial" w:cs="Arial" w:eastAsia="Arial" w:hAnsi="Arial"/>
                <w:sz w:val="18"/>
                <w:szCs w:val="18"/>
                <w:color w:val="auto"/>
              </w:rPr>
              <w:t>Freedom Electronics,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Electronic</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First Lien Debt (7.0% Cash</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20" w:type="dxa"/>
            <w:vAlign w:val="bottom"/>
            <w:gridSpan w:val="3"/>
          </w:tcPr>
          <w:p>
            <w:pPr>
              <w:ind w:left="180"/>
              <w:spacing w:after="0"/>
              <w:rPr>
                <w:sz w:val="20"/>
                <w:szCs w:val="20"/>
                <w:color w:val="auto"/>
              </w:rPr>
            </w:pPr>
            <w:r>
              <w:rPr>
                <w:rFonts w:ascii="Arial" w:cs="Arial" w:eastAsia="Arial" w:hAnsi="Arial"/>
                <w:sz w:val="18"/>
                <w:szCs w:val="18"/>
                <w:color w:val="auto"/>
              </w:rPr>
              <w:t>LLC</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Machine</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(1 month LIBOR + 5.0%,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Repair</w:t>
            </w:r>
          </w:p>
        </w:tc>
        <w:tc>
          <w:tcPr>
            <w:tcW w:w="25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2.0% Floor), Due 12/20/23)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5,445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5,445</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5,445</w:t>
            </w:r>
          </w:p>
        </w:tc>
      </w:tr>
      <w:tr>
        <w:trPr>
          <w:trHeight w:val="235"/>
        </w:trPr>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Installs, LLC</w:t>
            </w: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Logistics</w:t>
            </w:r>
          </w:p>
        </w:tc>
        <w:tc>
          <w:tcPr>
            <w:tcW w:w="2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First Lien Debt (5.8% Cash</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7"/>
              </w:rPr>
              <w:t>(1 month LIBOR + 4.0%,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4"/>
        </w:trPr>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6"/>
              </w:rPr>
              <w:t>1.8% Floor), Due 6/20/23)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7,443</w:t>
            </w:r>
          </w:p>
        </w:tc>
      </w:tr>
      <w:tr>
        <w:trPr>
          <w:trHeight w:val="229"/>
        </w:trPr>
        <w:tc>
          <w:tcPr>
            <w:tcW w:w="2020" w:type="dxa"/>
            <w:vAlign w:val="bottom"/>
            <w:gridSpan w:val="3"/>
          </w:tcPr>
          <w:p>
            <w:pPr>
              <w:spacing w:after="0"/>
              <w:rPr>
                <w:sz w:val="20"/>
                <w:szCs w:val="20"/>
                <w:color w:val="auto"/>
              </w:rPr>
            </w:pPr>
            <w:r>
              <w:rPr>
                <w:rFonts w:ascii="Arial" w:cs="Arial" w:eastAsia="Arial" w:hAnsi="Arial"/>
                <w:sz w:val="18"/>
                <w:szCs w:val="18"/>
                <w:color w:val="auto"/>
              </w:rPr>
              <w:t>RAM Payment, LLC</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Financial</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First Lien Debt (6.7% Cash</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Services</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(1 month LIBOR + 5.0%,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1.5% Floor), Due 1/4/24)</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6,653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6,653</w:t>
            </w:r>
          </w:p>
        </w:tc>
      </w:tr>
      <w:tr>
        <w:trPr>
          <w:trHeight w:val="198"/>
        </w:trPr>
        <w:tc>
          <w:tcPr>
            <w:tcW w:w="2020" w:type="dxa"/>
            <w:vAlign w:val="bottom"/>
            <w:gridSpan w:val="3"/>
            <w:shd w:val="clear" w:color="auto" w:fill="CCEEFF"/>
          </w:tcPr>
          <w:p>
            <w:pPr>
              <w:spacing w:after="0" w:line="199" w:lineRule="exact"/>
              <w:rPr>
                <w:sz w:val="20"/>
                <w:szCs w:val="20"/>
                <w:color w:val="auto"/>
              </w:rPr>
            </w:pPr>
            <w:r>
              <w:rPr>
                <w:rFonts w:ascii="Arial" w:cs="Arial" w:eastAsia="Arial" w:hAnsi="Arial"/>
                <w:sz w:val="18"/>
                <w:szCs w:val="18"/>
                <w:color w:val="auto"/>
              </w:rPr>
              <w:t>Rapid Fire Protection,</w:t>
            </w:r>
          </w:p>
        </w:tc>
        <w:tc>
          <w:tcPr>
            <w:tcW w:w="1320" w:type="dxa"/>
            <w:vAlign w:val="bottom"/>
            <w:gridSpan w:val="2"/>
            <w:shd w:val="clear" w:color="auto" w:fill="CCEEFF"/>
          </w:tcPr>
          <w:p>
            <w:pPr>
              <w:jc w:val="center"/>
              <w:ind w:right="220"/>
              <w:spacing w:after="0" w:line="199" w:lineRule="exact"/>
              <w:rPr>
                <w:sz w:val="20"/>
                <w:szCs w:val="20"/>
                <w:color w:val="auto"/>
              </w:rPr>
            </w:pPr>
            <w:r>
              <w:rPr>
                <w:rFonts w:ascii="Arial" w:cs="Arial" w:eastAsia="Arial" w:hAnsi="Arial"/>
                <w:sz w:val="18"/>
                <w:szCs w:val="18"/>
                <w:color w:val="auto"/>
                <w:w w:val="95"/>
              </w:rPr>
              <w:t>Security</w:t>
            </w:r>
          </w:p>
        </w:tc>
        <w:tc>
          <w:tcPr>
            <w:tcW w:w="258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rPr>
              <w:t>First Lien Debt (5.5% Cash</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53"/>
        </w:trPr>
        <w:tc>
          <w:tcPr>
            <w:tcW w:w="2020" w:type="dxa"/>
            <w:vAlign w:val="bottom"/>
            <w:gridSpan w:val="3"/>
            <w:shd w:val="clear" w:color="auto" w:fill="CCEEFF"/>
          </w:tcPr>
          <w:p>
            <w:pPr>
              <w:ind w:left="180"/>
              <w:spacing w:after="0" w:line="253" w:lineRule="exact"/>
              <w:rPr>
                <w:sz w:val="20"/>
                <w:szCs w:val="20"/>
                <w:color w:val="auto"/>
              </w:rPr>
            </w:pPr>
            <w:r>
              <w:rPr>
                <w:rFonts w:ascii="Arial" w:cs="Arial" w:eastAsia="Arial" w:hAnsi="Arial"/>
                <w:sz w:val="18"/>
                <w:szCs w:val="18"/>
                <w:color w:val="auto"/>
              </w:rPr>
              <w:t>Inc.</w:t>
            </w:r>
            <w:r>
              <w:rPr>
                <w:rFonts w:ascii="Arial" w:cs="Arial" w:eastAsia="Arial" w:hAnsi="Arial"/>
                <w:sz w:val="26"/>
                <w:szCs w:val="26"/>
                <w:color w:val="auto"/>
                <w:vertAlign w:val="superscript"/>
              </w:rPr>
              <w:t>(1)</w:t>
            </w:r>
          </w:p>
        </w:tc>
        <w:tc>
          <w:tcPr>
            <w:tcW w:w="13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System</w:t>
            </w:r>
          </w:p>
        </w:tc>
        <w:tc>
          <w:tcPr>
            <w:tcW w:w="2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7"/>
              </w:rPr>
              <w:t>(1 month LIBOR + 3.8%,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4"/>
        </w:trPr>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Services</w:t>
            </w:r>
          </w:p>
        </w:tc>
        <w:tc>
          <w:tcPr>
            <w:tcW w:w="2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5"/>
              </w:rPr>
              <w:t>1.8% Floor), Due 11/22/24)</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4,400</w:t>
            </w:r>
          </w:p>
        </w:tc>
      </w:tr>
      <w:tr>
        <w:trPr>
          <w:trHeight w:val="229"/>
        </w:trPr>
        <w:tc>
          <w:tcPr>
            <w:tcW w:w="2020" w:type="dxa"/>
            <w:vAlign w:val="bottom"/>
            <w:gridSpan w:val="3"/>
          </w:tcPr>
          <w:p>
            <w:pPr>
              <w:spacing w:after="0"/>
              <w:rPr>
                <w:sz w:val="20"/>
                <w:szCs w:val="20"/>
                <w:color w:val="auto"/>
              </w:rPr>
            </w:pPr>
            <w:r>
              <w:rPr>
                <w:rFonts w:ascii="Arial" w:cs="Arial" w:eastAsia="Arial" w:hAnsi="Arial"/>
                <w:sz w:val="18"/>
                <w:szCs w:val="18"/>
                <w:color w:val="auto"/>
              </w:rPr>
              <w:t>U.S. BioTek</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Testing</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First Lien Debt (7.0% Cash</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20" w:type="dxa"/>
            <w:vAlign w:val="bottom"/>
            <w:gridSpan w:val="3"/>
          </w:tcPr>
          <w:p>
            <w:pPr>
              <w:ind w:left="180"/>
              <w:spacing w:after="0"/>
              <w:rPr>
                <w:sz w:val="20"/>
                <w:szCs w:val="20"/>
                <w:color w:val="auto"/>
              </w:rPr>
            </w:pPr>
            <w:r>
              <w:rPr>
                <w:rFonts w:ascii="Arial" w:cs="Arial" w:eastAsia="Arial" w:hAnsi="Arial"/>
                <w:sz w:val="18"/>
                <w:szCs w:val="18"/>
                <w:color w:val="auto"/>
              </w:rPr>
              <w:t>Laboratories, LLC</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5"/>
              </w:rPr>
              <w:t>Laboratories</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(3 month LIBOR + 5.0%,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2.0% Floor), Due 12/14/23)</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4,455</w:t>
            </w:r>
          </w:p>
        </w:tc>
      </w:tr>
      <w:tr>
        <w:trPr>
          <w:trHeight w:val="27"/>
        </w:trPr>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18"/>
        </w:trPr>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66"/>
        </w:trPr>
        <w:tc>
          <w:tcPr>
            <w:tcW w:w="20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w:t>
            </w:r>
          </w:p>
        </w:tc>
        <w:tc>
          <w:tcPr>
            <w:tcW w:w="1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28,396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28,396</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28,396</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115"/>
        </w:trPr>
        <w:tc>
          <w:tcPr>
            <w:tcW w:w="1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-436245</wp:posOffset>
            </wp:positionV>
            <wp:extent cx="171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-436245</wp:posOffset>
            </wp:positionV>
            <wp:extent cx="4817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17745"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-2939415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-2939415</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-2939415</wp:posOffset>
            </wp:positionV>
            <wp:extent cx="1289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-2939415</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-2939415</wp:posOffset>
            </wp:positionV>
            <wp:extent cx="12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The investment has a $3.0 million unfunded commitment.</w:t>
      </w:r>
    </w:p>
    <w:p>
      <w:pPr>
        <w:spacing w:after="0" w:line="158" w:lineRule="exact"/>
        <w:rPr>
          <w:sz w:val="20"/>
          <w:szCs w:val="20"/>
          <w:color w:val="auto"/>
        </w:rPr>
      </w:pPr>
    </w:p>
    <w:p>
      <w:pPr>
        <w:jc w:val="both"/>
        <w:ind w:left="1260" w:right="1260" w:firstLine="360"/>
        <w:spacing w:after="0" w:line="261" w:lineRule="auto"/>
        <w:rPr>
          <w:sz w:val="20"/>
          <w:szCs w:val="20"/>
          <w:color w:val="auto"/>
        </w:rPr>
      </w:pPr>
      <w:r>
        <w:rPr>
          <w:rFonts w:ascii="Arial" w:cs="Arial" w:eastAsia="Arial" w:hAnsi="Arial"/>
          <w:sz w:val="18"/>
          <w:szCs w:val="18"/>
          <w:color w:val="auto"/>
        </w:rPr>
        <w:t>Below are the statements of assets and liabilities for CSLF II as of December 31, 2020 and 2019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December 31, 2019</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Investments at fair value (amortized cost of $0 and $28,396,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7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$28,396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704</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151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29,258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40" w:type="dxa"/>
            <w:vAlign w:val="bottom"/>
            <w:vMerge w:val="restart"/>
          </w:tcPr>
          <w:p>
            <w:pPr>
              <w:ind w:left="398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-1757045</wp:posOffset>
            </wp:positionV>
            <wp:extent cx="44748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4" w:name="page95"/>
    <w:bookmarkEnd w:id="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w:t>
            </w:r>
          </w:p>
        </w:tc>
      </w:tr>
      <w:tr>
        <w:trPr>
          <w:trHeight w:val="26"/>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December 31, 2020</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December 31, 2019</w:t>
            </w:r>
          </w:p>
        </w:tc>
      </w:tr>
      <w:tr>
        <w:trPr>
          <w:trHeight w:val="22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Credit facility (net of deferred financing costs of $0 and $621,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$12,079</w:t>
            </w:r>
          </w:p>
        </w:tc>
        <w:tc>
          <w:tcPr>
            <w:tcW w:w="280" w:type="dxa"/>
            <w:vAlign w:val="bottom"/>
          </w:tcPr>
          <w:p>
            <w:pPr>
              <w:spacing w:after="0"/>
              <w:rPr>
                <w:sz w:val="20"/>
                <w:szCs w:val="20"/>
                <w:color w:val="auto"/>
              </w:rPr>
            </w:pPr>
          </w:p>
        </w:tc>
      </w:tr>
      <w:tr>
        <w:trPr>
          <w:trHeight w:val="24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21"/>
                <w:szCs w:val="21"/>
                <w:color w:val="auto"/>
              </w:rPr>
            </w:pPr>
          </w:p>
        </w:tc>
      </w:tr>
      <w:tr>
        <w:trPr>
          <w:trHeight w:val="25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600" w:type="dxa"/>
            <w:vAlign w:val="bottom"/>
            <w:tcBorders>
              <w:bottom w:val="single" w:sz="8" w:color="CCEEFF"/>
            </w:tcBorders>
            <w:gridSpan w:val="2"/>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tcPr>
          <w:p>
            <w:pPr>
              <w:spacing w:after="0"/>
              <w:rPr>
                <w:sz w:val="22"/>
                <w:szCs w:val="22"/>
                <w:color w:val="auto"/>
              </w:rPr>
            </w:pPr>
          </w:p>
        </w:tc>
      </w:tr>
      <w:tr>
        <w:trPr>
          <w:trHeight w:val="23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12,219</w:t>
            </w:r>
          </w:p>
        </w:tc>
        <w:tc>
          <w:tcPr>
            <w:tcW w:w="280" w:type="dxa"/>
            <w:vAlign w:val="bottom"/>
            <w:shd w:val="clear" w:color="auto" w:fill="CCEEFF"/>
          </w:tcPr>
          <w:p>
            <w:pPr>
              <w:spacing w:after="0"/>
              <w:rPr>
                <w:sz w:val="20"/>
                <w:szCs w:val="20"/>
                <w:color w:val="auto"/>
              </w:rPr>
            </w:pPr>
          </w:p>
        </w:tc>
      </w:tr>
      <w:tr>
        <w:trPr>
          <w:trHeight w:val="223"/>
        </w:trPr>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w:t>
            </w:r>
          </w:p>
        </w:tc>
        <w:tc>
          <w:tcPr>
            <w:tcW w:w="2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58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600" w:type="dxa"/>
            <w:vAlign w:val="bottom"/>
            <w:tcBorders>
              <w:bottom w:val="single" w:sz="8" w:color="CCEEFF"/>
            </w:tcBorders>
            <w:gridSpan w:val="2"/>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17,039</w:t>
            </w:r>
          </w:p>
        </w:tc>
        <w:tc>
          <w:tcPr>
            <w:tcW w:w="280" w:type="dxa"/>
            <w:vAlign w:val="bottom"/>
            <w:tcBorders>
              <w:bottom w:val="single" w:sz="8" w:color="CCEEFF"/>
            </w:tcBorders>
            <w:shd w:val="clear" w:color="auto" w:fill="CCEEFF"/>
          </w:tcPr>
          <w:p>
            <w:pPr>
              <w:spacing w:after="0"/>
              <w:rPr>
                <w:sz w:val="22"/>
                <w:szCs w:val="22"/>
                <w:color w:val="auto"/>
              </w:rPr>
            </w:pPr>
          </w:p>
        </w:tc>
      </w:tr>
      <w:tr>
        <w:trPr>
          <w:trHeight w:val="236"/>
        </w:trPr>
        <w:tc>
          <w:tcPr>
            <w:tcW w:w="5480" w:type="dxa"/>
            <w:vAlign w:val="bottom"/>
          </w:tcPr>
          <w:p>
            <w:pPr>
              <w:ind w:left="180"/>
              <w:spacing w:after="0"/>
              <w:rPr>
                <w:sz w:val="20"/>
                <w:szCs w:val="20"/>
                <w:color w:val="auto"/>
              </w:rPr>
            </w:pPr>
            <w:r>
              <w:rPr>
                <w:rFonts w:ascii="Arial" w:cs="Arial" w:eastAsia="Arial" w:hAnsi="Arial"/>
                <w:sz w:val="18"/>
                <w:szCs w:val="18"/>
                <w:color w:val="auto"/>
              </w:rPr>
              <w:t>Total net assets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17,039</w:t>
            </w:r>
          </w:p>
        </w:tc>
        <w:tc>
          <w:tcPr>
            <w:tcW w:w="28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-668020</wp:posOffset>
            </wp:positionV>
            <wp:extent cx="52120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-1430655</wp:posOffset>
            </wp:positionV>
            <wp:extent cx="44659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Below are the statements of operations for CSLF II (dollars in thousands):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For the Year Ended</w:t>
            </w:r>
          </w:p>
        </w:tc>
        <w:tc>
          <w:tcPr>
            <w:tcW w:w="12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0"/>
              </w:rPr>
              <w:t>For the Year Ended</w:t>
            </w:r>
          </w:p>
        </w:tc>
      </w:tr>
      <w:tr>
        <w:trPr>
          <w:trHeight w:val="186"/>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December 31, 2020</w:t>
            </w:r>
          </w:p>
        </w:tc>
        <w:tc>
          <w:tcPr>
            <w:tcW w:w="12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0"/>
              </w:rPr>
              <w:t>December 31, 2019</w:t>
            </w:r>
          </w:p>
        </w:tc>
      </w:tr>
      <w:tr>
        <w:trPr>
          <w:trHeight w:val="26"/>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1,372</w:t>
            </w:r>
          </w:p>
        </w:tc>
        <w:tc>
          <w:tcPr>
            <w:tcW w:w="320" w:type="dxa"/>
            <w:vAlign w:val="bottom"/>
          </w:tcPr>
          <w:p>
            <w:pPr>
              <w:spacing w:after="0"/>
              <w:rPr>
                <w:sz w:val="22"/>
                <w:szCs w:val="22"/>
                <w:color w:val="auto"/>
              </w:rPr>
            </w:pPr>
          </w:p>
        </w:tc>
      </w:tr>
      <w:tr>
        <w:trPr>
          <w:trHeight w:val="263"/>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Borders>
              <w:bottom w:val="single" w:sz="8" w:color="CCEEFF"/>
            </w:tcBorders>
            <w:gridSpan w:val="2"/>
            <w:shd w:val="clear" w:color="auto" w:fill="CCEEFF"/>
          </w:tcPr>
          <w:p>
            <w:pPr>
              <w:spacing w:after="0"/>
              <w:rPr>
                <w:sz w:val="22"/>
                <w:szCs w:val="22"/>
                <w:color w:val="auto"/>
              </w:rPr>
            </w:pPr>
          </w:p>
        </w:tc>
      </w:tr>
      <w:tr>
        <w:trPr>
          <w:trHeight w:val="263"/>
        </w:trPr>
        <w:tc>
          <w:tcPr>
            <w:tcW w:w="5380" w:type="dxa"/>
            <w:vAlign w:val="bottom"/>
          </w:tcPr>
          <w:p>
            <w:pPr>
              <w:ind w:left="180"/>
              <w:spacing w:after="0"/>
              <w:rPr>
                <w:sz w:val="20"/>
                <w:szCs w:val="20"/>
                <w:color w:val="auto"/>
              </w:rPr>
            </w:pPr>
            <w:r>
              <w:rPr>
                <w:rFonts w:ascii="Arial" w:cs="Arial" w:eastAsia="Arial" w:hAnsi="Arial"/>
                <w:sz w:val="18"/>
                <w:szCs w:val="18"/>
                <w:color w:val="auto"/>
              </w:rPr>
              <w:t>Total investment income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1,547</w:t>
            </w:r>
          </w:p>
        </w:tc>
        <w:tc>
          <w:tcPr>
            <w:tcW w:w="320" w:type="dxa"/>
            <w:vAlign w:val="bottom"/>
          </w:tcPr>
          <w:p>
            <w:pPr>
              <w:spacing w:after="0"/>
              <w:rPr>
                <w:sz w:val="22"/>
                <w:szCs w:val="22"/>
                <w:color w:val="auto"/>
              </w:rPr>
            </w:pPr>
          </w:p>
        </w:tc>
      </w:tr>
      <w:tr>
        <w:trPr>
          <w:trHeight w:val="257"/>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1,135</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151</w:t>
            </w:r>
          </w:p>
        </w:tc>
      </w:tr>
      <w:tr>
        <w:trPr>
          <w:trHeight w:val="263"/>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Borders>
              <w:bottom w:val="single" w:sz="8" w:color="CCEEFF"/>
            </w:tcBorders>
            <w:gridSpan w:val="2"/>
            <w:shd w:val="clear" w:color="auto" w:fill="CCEEFF"/>
          </w:tcPr>
          <w:p>
            <w:pPr>
              <w:spacing w:after="0"/>
              <w:rPr>
                <w:sz w:val="22"/>
                <w:szCs w:val="22"/>
                <w:color w:val="auto"/>
              </w:rPr>
            </w:pPr>
          </w:p>
        </w:tc>
      </w:tr>
      <w:tr>
        <w:trPr>
          <w:trHeight w:val="263"/>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540" w:type="dxa"/>
            <w:vAlign w:val="bottom"/>
            <w:tcBorders>
              <w:bottom w:val="single" w:sz="8" w:color="CCEEFF"/>
            </w:tcBorders>
            <w:gridSpan w:val="2"/>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1,299</w:t>
            </w:r>
          </w:p>
        </w:tc>
        <w:tc>
          <w:tcPr>
            <w:tcW w:w="3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340" w:type="dxa"/>
            <w:vAlign w:val="bottom"/>
            <w:tcBorders>
              <w:bottom w:val="single" w:sz="8" w:color="CCEEFF"/>
            </w:tcBorders>
            <w:gridSpan w:val="2"/>
          </w:tcPr>
          <w:p>
            <w:pPr>
              <w:spacing w:after="0"/>
              <w:rPr>
                <w:sz w:val="22"/>
                <w:szCs w:val="22"/>
                <w:color w:val="auto"/>
              </w:rPr>
            </w:pPr>
          </w:p>
        </w:tc>
      </w:tr>
      <w:tr>
        <w:trPr>
          <w:trHeight w:val="263"/>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(LOSS) INCOME</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1,220</w:t>
            </w:r>
          </w:p>
        </w:tc>
        <w:tc>
          <w:tcPr>
            <w:tcW w:w="320" w:type="dxa"/>
            <w:vAlign w:val="bottom"/>
            <w:shd w:val="clear" w:color="auto" w:fill="CCEEFF"/>
          </w:tcPr>
          <w:p>
            <w:pPr>
              <w:spacing w:after="0"/>
              <w:rPr>
                <w:sz w:val="22"/>
                <w:szCs w:val="22"/>
                <w:color w:val="auto"/>
              </w:rPr>
            </w:pPr>
          </w:p>
        </w:tc>
      </w:tr>
      <w:tr>
        <w:trPr>
          <w:trHeight w:val="229"/>
        </w:trPr>
        <w:tc>
          <w:tcPr>
            <w:tcW w:w="5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INCREASE IN NET ASSETS RESULTING</w:t>
            </w: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FROM OPERATIONS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1,220</w:t>
            </w:r>
          </w:p>
        </w:tc>
        <w:tc>
          <w:tcPr>
            <w:tcW w:w="3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52120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-1893570</wp:posOffset>
            </wp:positionV>
            <wp:extent cx="44488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Our operating results for the years ended December 31, 2020 and 2019 were as follows (dollars in thousands):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9"/>
              </w:rPr>
              <w:t>For the Years Ended December 31,</w:t>
            </w:r>
          </w:p>
        </w:tc>
      </w:tr>
      <w:tr>
        <w:trPr>
          <w:trHeight w:val="25"/>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10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r>
      <w:tr>
        <w:trPr>
          <w:trHeight w:val="25"/>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$ 26,446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$ 44,035</w:t>
            </w:r>
          </w:p>
        </w:tc>
      </w:tr>
      <w:tr>
        <w:trPr>
          <w:trHeight w:val="263"/>
        </w:trPr>
        <w:tc>
          <w:tcPr>
            <w:tcW w:w="5860" w:type="dxa"/>
            <w:vAlign w:val="bottom"/>
          </w:tcPr>
          <w:p>
            <w:pPr>
              <w:spacing w:after="0"/>
              <w:rPr>
                <w:sz w:val="20"/>
                <w:szCs w:val="20"/>
                <w:color w:val="auto"/>
              </w:rPr>
            </w:pPr>
            <w:r>
              <w:rPr>
                <w:rFonts w:ascii="Arial" w:cs="Arial" w:eastAsia="Arial" w:hAnsi="Arial"/>
                <w:sz w:val="18"/>
                <w:szCs w:val="18"/>
                <w:color w:val="auto"/>
              </w:rPr>
              <w:t>Total expenses, net of incentive fee waiver</w:t>
            </w:r>
          </w:p>
        </w:tc>
        <w:tc>
          <w:tcPr>
            <w:tcW w:w="360" w:type="dxa"/>
            <w:vAlign w:val="bottom"/>
            <w:gridSpan w:val="2"/>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26,388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30,992</w:t>
            </w:r>
          </w:p>
        </w:tc>
      </w:tr>
      <w:tr>
        <w:trPr>
          <w:trHeight w:val="20"/>
        </w:trPr>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6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13,043</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(24,049)</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(19,756)</w:t>
            </w: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(11,611)</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(20,306)</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Tax provision</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(628)</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extinguishment of debt</w:t>
            </w:r>
          </w:p>
        </w:tc>
        <w:tc>
          <w:tcPr>
            <w:tcW w:w="36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58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60" w:type="dxa"/>
            <w:vAlign w:val="bottom"/>
            <w:gridSpan w:val="2"/>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$(35,447)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$(27,647)</w:t>
            </w: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-1036320</wp:posOffset>
            </wp:positionV>
            <wp:extent cx="52120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-1379220</wp:posOffset>
            </wp:positionV>
            <wp:extent cx="46031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44"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composition of our investment income for the years ended December 31, 2020 and 2019 was as follows (dollars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7"/>
          </w:tcPr>
          <w:p>
            <w:pPr>
              <w:ind w:left="40"/>
              <w:spacing w:after="0"/>
              <w:rPr>
                <w:sz w:val="20"/>
                <w:szCs w:val="20"/>
                <w:color w:val="auto"/>
              </w:rPr>
            </w:pPr>
            <w:r>
              <w:rPr>
                <w:rFonts w:ascii="Arial" w:cs="Arial" w:eastAsia="Arial" w:hAnsi="Arial"/>
                <w:sz w:val="14"/>
                <w:szCs w:val="14"/>
                <w:b w:val="1"/>
                <w:bCs w:val="1"/>
                <w:color w:val="auto"/>
                <w:w w:val="88"/>
              </w:rPr>
              <w:t>For the Years Ended December 31,</w:t>
            </w:r>
          </w:p>
        </w:tc>
      </w:tr>
      <w:tr>
        <w:trPr>
          <w:trHeight w:val="26"/>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8"/>
        </w:trPr>
        <w:tc>
          <w:tcPr>
            <w:tcW w:w="5880" w:type="dxa"/>
            <w:vAlign w:val="bottom"/>
          </w:tcPr>
          <w:p>
            <w:pPr>
              <w:spacing w:after="0"/>
              <w:rPr>
                <w:sz w:val="17"/>
                <w:szCs w:val="17"/>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r>
      <w:tr>
        <w:trPr>
          <w:trHeight w:val="26"/>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$23,669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$36,106</w:t>
            </w:r>
          </w:p>
        </w:tc>
        <w:tc>
          <w:tcPr>
            <w:tcW w:w="160" w:type="dxa"/>
            <w:vAlign w:val="bottom"/>
            <w:shd w:val="clear" w:color="auto" w:fill="CCEEFF"/>
          </w:tcPr>
          <w:p>
            <w:pPr>
              <w:spacing w:after="0"/>
              <w:rPr>
                <w:sz w:val="21"/>
                <w:szCs w:val="21"/>
                <w:color w:val="auto"/>
              </w:rPr>
            </w:pPr>
          </w:p>
        </w:tc>
      </w:tr>
      <w:tr>
        <w:trPr>
          <w:trHeight w:val="257"/>
        </w:trPr>
        <w:tc>
          <w:tcPr>
            <w:tcW w:w="5880" w:type="dxa"/>
            <w:vAlign w:val="bottom"/>
          </w:tcPr>
          <w:p>
            <w:pPr>
              <w:spacing w:after="0"/>
              <w:rPr>
                <w:sz w:val="20"/>
                <w:szCs w:val="20"/>
                <w:color w:val="auto"/>
              </w:rPr>
            </w:pPr>
            <w:r>
              <w:rPr>
                <w:rFonts w:ascii="Arial" w:cs="Arial" w:eastAsia="Arial" w:hAnsi="Arial"/>
                <w:sz w:val="18"/>
                <w:szCs w:val="18"/>
                <w:color w:val="auto"/>
              </w:rPr>
              <w:t>Fee income</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1,470</w:t>
            </w:r>
          </w:p>
        </w:tc>
        <w:tc>
          <w:tcPr>
            <w:tcW w:w="160" w:type="dxa"/>
            <w:vAlign w:val="bottom"/>
          </w:tcPr>
          <w:p>
            <w:pPr>
              <w:spacing w:after="0"/>
              <w:rPr>
                <w:sz w:val="22"/>
                <w:szCs w:val="22"/>
                <w:color w:val="auto"/>
              </w:rPr>
            </w:pPr>
          </w:p>
        </w:tc>
      </w:tr>
      <w:tr>
        <w:trPr>
          <w:trHeight w:val="25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1,923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60" w:type="dxa"/>
            <w:vAlign w:val="bottom"/>
            <w:shd w:val="clear" w:color="auto" w:fill="CCEEFF"/>
          </w:tcPr>
          <w:p>
            <w:pPr>
              <w:spacing w:after="0"/>
              <w:rPr>
                <w:sz w:val="22"/>
                <w:szCs w:val="22"/>
                <w:color w:val="auto"/>
              </w:rPr>
            </w:pPr>
          </w:p>
        </w:tc>
      </w:tr>
      <w:tr>
        <w:trPr>
          <w:trHeight w:val="256"/>
        </w:trPr>
        <w:tc>
          <w:tcPr>
            <w:tcW w:w="5880" w:type="dxa"/>
            <w:vAlign w:val="bottom"/>
          </w:tcPr>
          <w:p>
            <w:pPr>
              <w:spacing w:after="0"/>
              <w:rPr>
                <w:sz w:val="20"/>
                <w:szCs w:val="20"/>
                <w:color w:val="auto"/>
              </w:rPr>
            </w:pPr>
            <w:r>
              <w:rPr>
                <w:rFonts w:ascii="Arial" w:cs="Arial" w:eastAsia="Arial" w:hAnsi="Arial"/>
                <w:sz w:val="18"/>
                <w:szCs w:val="18"/>
                <w:color w:val="auto"/>
              </w:rPr>
              <w:t>Dividend income</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3,299</w:t>
            </w:r>
          </w:p>
        </w:tc>
        <w:tc>
          <w:tcPr>
            <w:tcW w:w="160" w:type="dxa"/>
            <w:vAlign w:val="bottom"/>
          </w:tcPr>
          <w:p>
            <w:pPr>
              <w:spacing w:after="0"/>
              <w:rPr>
                <w:sz w:val="22"/>
                <w:szCs w:val="22"/>
                <w:color w:val="auto"/>
              </w:rPr>
            </w:pPr>
          </w:p>
        </w:tc>
      </w:tr>
      <w:tr>
        <w:trPr>
          <w:trHeight w:val="264"/>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63"/>
        </w:trPr>
        <w:tc>
          <w:tcPr>
            <w:tcW w:w="58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$26,446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$44,035</w:t>
            </w:r>
          </w:p>
        </w:tc>
        <w:tc>
          <w:tcPr>
            <w:tcW w:w="160" w:type="dxa"/>
            <w:vAlign w:val="bottom"/>
          </w:tcPr>
          <w:p>
            <w:pPr>
              <w:spacing w:after="0"/>
              <w:rPr>
                <w:sz w:val="22"/>
                <w:szCs w:val="22"/>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-1036320</wp:posOffset>
            </wp:positionV>
            <wp:extent cx="46120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2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06"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20"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spacing w:after="0" w:line="119"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For the year ended December 31, 2020, total investment income decreased by $17.6 million, or 39.9%, compared to the year ended December 31, 2019. The decrease from the prior year was driven primarily by a decrease in interest income, from $36.1 million for the year ended December 31, 2019 to $23.7 million for the year ended December 31, 2020. The decline in interest income is primarily due to lower average outstanding debt investments for the year ended December 31, 2020 compared to the year ended December 31, 2019. PIK income declined from $3.0 million for the year ended December 31, 2019 to $1.9 million for the year ended December 31, 2020. The decrease in PIK income was due to a decline in investments with a contractual PIK rate. For the year ended December 31, 2020, we generated $0.2 million in origination fees from new deployments and $0.6 million in other fees. Comparatively, for the year ended December 31, 2019, we generated $1.2 million in origination fees from new deployments and $0.3 million in other fees. Dividend income decreased from $3.3 million for the year ended December 31, 2019 to $25.0 thousand for the year ended December 31, 2020 due to $1.0 million in dividends from our investment in CSLF II and several one-time dividends received from portfolio companies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composition of our expenses for the years ended December 31, 2020 and 2019 was as follows (dollars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7"/>
          </w:tcPr>
          <w:p>
            <w:pPr>
              <w:ind w:left="20"/>
              <w:spacing w:after="0"/>
              <w:rPr>
                <w:sz w:val="20"/>
                <w:szCs w:val="20"/>
                <w:color w:val="auto"/>
              </w:rPr>
            </w:pPr>
            <w:r>
              <w:rPr>
                <w:rFonts w:ascii="Arial" w:cs="Arial" w:eastAsia="Arial" w:hAnsi="Arial"/>
                <w:sz w:val="14"/>
                <w:szCs w:val="14"/>
                <w:b w:val="1"/>
                <w:bCs w:val="1"/>
                <w:color w:val="auto"/>
                <w:w w:val="89"/>
              </w:rPr>
              <w:t>For the Years Ended December 31,</w:t>
            </w:r>
          </w:p>
        </w:tc>
      </w:tr>
      <w:tr>
        <w:trPr>
          <w:trHeight w:val="26"/>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8"/>
        </w:trPr>
        <w:tc>
          <w:tcPr>
            <w:tcW w:w="5160" w:type="dxa"/>
            <w:vAlign w:val="bottom"/>
          </w:tcPr>
          <w:p>
            <w:pPr>
              <w:spacing w:after="0"/>
              <w:rPr>
                <w:sz w:val="17"/>
                <w:szCs w:val="17"/>
                <w:color w:val="auto"/>
              </w:rPr>
            </w:pPr>
          </w:p>
        </w:tc>
        <w:tc>
          <w:tcPr>
            <w:tcW w:w="9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$17,121</w:t>
            </w:r>
          </w:p>
        </w:tc>
        <w:tc>
          <w:tcPr>
            <w:tcW w:w="180" w:type="dxa"/>
            <w:vAlign w:val="bottom"/>
            <w:shd w:val="clear" w:color="auto" w:fill="CCEEFF"/>
          </w:tcPr>
          <w:p>
            <w:pPr>
              <w:spacing w:after="0"/>
              <w:rPr>
                <w:sz w:val="21"/>
                <w:szCs w:val="21"/>
                <w:color w:val="auto"/>
              </w:rPr>
            </w:pPr>
          </w:p>
        </w:tc>
      </w:tr>
      <w:tr>
        <w:trPr>
          <w:trHeight w:val="256"/>
        </w:trPr>
        <w:tc>
          <w:tcPr>
            <w:tcW w:w="5160" w:type="dxa"/>
            <w:vAlign w:val="bottom"/>
          </w:tcPr>
          <w:p>
            <w:pPr>
              <w:spacing w:after="0"/>
              <w:rPr>
                <w:sz w:val="20"/>
                <w:szCs w:val="20"/>
                <w:color w:val="auto"/>
              </w:rPr>
            </w:pPr>
            <w:r>
              <w:rPr>
                <w:rFonts w:ascii="Arial" w:cs="Arial" w:eastAsia="Arial" w:hAnsi="Arial"/>
                <w:sz w:val="18"/>
                <w:szCs w:val="18"/>
                <w:color w:val="auto"/>
              </w:rPr>
              <w:t>Base management fee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6,428</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7,967</w:t>
            </w:r>
          </w:p>
        </w:tc>
        <w:tc>
          <w:tcPr>
            <w:tcW w:w="180" w:type="dxa"/>
            <w:vAlign w:val="bottom"/>
          </w:tcPr>
          <w:p>
            <w:pPr>
              <w:spacing w:after="0"/>
              <w:rPr>
                <w:sz w:val="22"/>
                <w:szCs w:val="22"/>
                <w:color w:val="auto"/>
              </w:rPr>
            </w:pPr>
          </w:p>
        </w:tc>
      </w:tr>
      <w:tr>
        <w:trPr>
          <w:trHeight w:val="25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net of incentive fee waiver</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80" w:type="dxa"/>
            <w:vAlign w:val="bottom"/>
            <w:shd w:val="clear" w:color="auto" w:fill="CCEEFF"/>
          </w:tcPr>
          <w:p>
            <w:pPr>
              <w:spacing w:after="0"/>
              <w:rPr>
                <w:sz w:val="22"/>
                <w:szCs w:val="22"/>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Administrative service fees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22"/>
                <w:szCs w:val="22"/>
                <w:color w:val="auto"/>
              </w:rPr>
            </w:pPr>
          </w:p>
        </w:tc>
      </w:tr>
      <w:tr>
        <w:trPr>
          <w:trHeight w:val="26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spacing w:after="0"/>
              <w:rPr>
                <w:sz w:val="20"/>
                <w:szCs w:val="20"/>
                <w:color w:val="auto"/>
              </w:rPr>
            </w:pPr>
            <w:r>
              <w:rPr>
                <w:rFonts w:ascii="Arial" w:cs="Arial" w:eastAsia="Arial" w:hAnsi="Arial"/>
                <w:sz w:val="18"/>
                <w:szCs w:val="18"/>
                <w:color w:val="auto"/>
              </w:rPr>
              <w:t>Total expenses, net of fee waiver</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$26,388</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$30,992</w:t>
            </w:r>
          </w:p>
        </w:tc>
        <w:tc>
          <w:tcPr>
            <w:tcW w:w="18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-1036320</wp:posOffset>
            </wp:positionV>
            <wp:extent cx="41490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For the year ended December 31, 2020, operating expenses decreased by $4.6 million, or 14.9%, compared to the year ended December 31, 2019. Interest and financing expenses declined from $17.1 million for the year ended December 31, 2019 to $15.1 million for the year ended December 31, 2020 due primarily to lower average debt outstanding during the period, offset in part by $1.1 million in accelerated deferred financing expenses from the termination of the ING Credit Facility during the year ended December 31, 2020. Our base management fee declined from $8.0 million for the year ended December 31, 2019 to $6.4 million for the year ended December 31, 2020 due to lower average assets under management. Incentive fees, net of incentive fee waiver, decreased from $1.2 million to $0.0 primarily due to better net investment income returns in relation to our net asset value for the year ended December 31, 2019. Administrative services fees were the same for the years ended December 31, 2020 and 2019 at $1.4 million. General and administrative expenses increased from $3.3 million for the year ended December 31, 2019 to $3.4 million for the year ended December 31, 2020.</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realized losses on sales of investments</w:t>
      </w:r>
    </w:p>
    <w:p>
      <w:pPr>
        <w:spacing w:after="0" w:line="144"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During the years ended December 31, 2020 and 2019, we recognized $(24.0) million and $(19.8) million of net realized losses on our portfolio investments, respectively.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unrealized depreciation on investments</w:t>
      </w:r>
    </w:p>
    <w:p>
      <w:pPr>
        <w:spacing w:after="0" w:line="15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Net change in unrealized depreciation on investments reflects the net change in the fair value of our investment portfolio. For the years ended December 31, 2020 and 2019, we had $(11.6) million and $(20.3) million of unrealized depreciation on investments, respectively.</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provision</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For the years ended December 31, 2020 and 2019, we recorded a tax provision of $0.0 and $(0.6) million, respectively.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44"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For the years ended December 31, 2020 and 2019, we recorded a net decrease in net assets resulting from operations of $(35.4) million and $(27.6) million, respectively. Based on the weighted average shares of common stock outstanding for the years ended December 31, 2020 and 2019, our per share net decrease in net assets resulting from operations was $(13.08) and $(10.29), respectively. Per share data has been adjusted for the periods shown to reflect the one-for-six reverse stock split effected on August 21, 2020 on a retroactive basis.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 the years ended December 31, 2019 and 2018</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The comparison of the fiscal years ended December 31, 2019 and 2018 can be found in our annual report on Form 10-K for the fiscal year ended December 31, 2019 located within Part II, Item 7. Management’s Discussion and Analysis of Financial Condition and Results of Operations, which is incorporated by reference herein.</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03"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Since our IPO, we have raised approximately $136.0 million in net proceeds from equity offerings through December 31, 2020.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ING Credit Facility</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“ING Credit Facility”) with ING Capital, LLC, as administrative agent, arranger, and bookrunner, and the lenders party thereto. The ING Credit Facility was set to mature on April 30, 2022. On June 19, 2020, the Company unilaterally terminated the ING Credit Facility.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KeyBank Credit Facility</w:t>
      </w:r>
    </w:p>
    <w:p>
      <w:pPr>
        <w:spacing w:after="0" w:line="14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On October 30, 2020, CBL, a direct, wholly owned, consolidated subsidiary of the Company, entered into the KeyBank Credit Facility with the Investment Adviser,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As of December 31, 2020, the Company had $0 outstanding and $25.0 million available under the KeyBank Credit Facility.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2022 Notes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 As of December 31, 2020, the Company had approximately $72.8 million in aggregate principal amount of 2022 Notes outstanding.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2022 Convertible Notes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 As of December 31, 2020, the Company had approximately $52.1 million in aggregate principal amount of 2022 Convertible Notes outstanding.</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Bond Repurchase Program</w:t>
      </w:r>
    </w:p>
    <w:p>
      <w:pPr>
        <w:spacing w:after="0" w:line="148" w:lineRule="exact"/>
        <w:rPr>
          <w:sz w:val="20"/>
          <w:szCs w:val="20"/>
          <w:color w:val="auto"/>
        </w:rPr>
      </w:pPr>
    </w:p>
    <w:p>
      <w:pPr>
        <w:jc w:val="both"/>
        <w:ind w:left="1260" w:right="419" w:firstLine="360"/>
        <w:spacing w:after="0" w:line="286" w:lineRule="auto"/>
        <w:rPr>
          <w:sz w:val="20"/>
          <w:szCs w:val="20"/>
          <w:color w:val="auto"/>
        </w:rPr>
      </w:pPr>
      <w:r>
        <w:rPr>
          <w:rFonts w:ascii="Arial" w:cs="Arial" w:eastAsia="Arial" w:hAnsi="Arial"/>
          <w:sz w:val="17"/>
          <w:szCs w:val="17"/>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 earlier of (i) July 30, 2021 or (ii) the repurchase of an aggregate of $10.0 million worth of 2022 Notes and/or 2022 Convertible Notes. During the year ended December 31, 2020, the Company purchased approximately $2.2 million of outstanding principal of the 2022 Notes under the Bond Repurchase Program, resulting in a net realized gain of $0.2 million. During the year ended December 31, 2020, the Company did not purchase any of the 2022 Convertible Notes.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SBA-guaranteed debentures</w:t>
      </w:r>
    </w:p>
    <w:p>
      <w:pPr>
        <w:spacing w:after="0" w:line="148"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As of December 31, 2020, Fund III had $75.0 million in regulatory capital and $91.0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ATM Program</w:t>
      </w:r>
    </w:p>
    <w:p>
      <w:pPr>
        <w:spacing w:after="0" w:line="125"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On December 31, 2019, we entered into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with Jefferies LLC pursuant to which we may issue and sell up to $50.0 million in aggregate amount of shares of our common stock in amounts, and at times, to be determined by us (the “ATM Program”). Actual sales in this ATM Program will depend on a variety of factors to be determined by us including market conditions, the trading price of our common stock and determinations by us of the appropriate sources of funding. We may issue shares of our common stock at a price below the then current NAV per share pursuant to the ATM Program. There were no sales of shares of our common stock under the ATM Program during the year ended December 31, 2020.</w:t>
      </w:r>
    </w:p>
    <w:p>
      <w:pPr>
        <w:spacing w:after="0" w:line="117"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We are only allowed to borrow money such that our asset coverage, as defined in the 1940 Act, equals at least 150% if certain requirements are met, after such borrowing, with certain limited exceptions. The SBCA allows BDCs to decrease their asset coverage requirement from 200% to 150% (i.e. the amount of debt may not exceed 66.7% of the value of total assets), if certain requirements are met. On November 1, 2018,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December 31, 2020, our asset coverage ratio was 187.2%. If our asset coverage ratio falls below 150% due a decline in the fair market of our portfolio, including as the result of the economic impact caused by the COVID-19 pandemic, we may be limited in our ability to raise additional debt.</w:t>
      </w:r>
    </w:p>
    <w:p>
      <w:pPr>
        <w:spacing w:after="0" w:line="104"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As of December 31, 2020, we had $49.9 million in cash and cash equivalents, and our net assets totaled $108.9 million.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w:t>
      </w:r>
    </w:p>
    <w:p>
      <w:pPr>
        <w:spacing w:after="0" w:line="3" w:lineRule="exact"/>
        <w:rPr>
          <w:sz w:val="20"/>
          <w:szCs w:val="20"/>
          <w:color w:val="auto"/>
        </w:rPr>
      </w:pPr>
    </w:p>
    <w:p>
      <w:pPr>
        <w:ind w:left="1260" w:right="419"/>
        <w:spacing w:after="0" w:line="260" w:lineRule="auto"/>
        <w:tabs>
          <w:tab w:leader="none" w:pos="15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incentive fee based on our performance. Payments under the Administration Agreement will occur on an ongoing basis as expenses are incurred on our behalf by our Administrator.</w:t>
      </w:r>
    </w:p>
    <w:p>
      <w:pPr>
        <w:spacing w:after="0" w:line="118"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A summary of our significant contractual payment obligations as of December 31, 2020 are as follows (dollars in thousands):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940" w:type="dxa"/>
            <w:vAlign w:val="bottom"/>
            <w:gridSpan w:val="16"/>
          </w:tcPr>
          <w:p>
            <w:pPr>
              <w:jc w:val="right"/>
              <w:ind w:right="453"/>
              <w:spacing w:after="0"/>
              <w:rPr>
                <w:sz w:val="20"/>
                <w:szCs w:val="20"/>
                <w:color w:val="auto"/>
              </w:rPr>
            </w:pPr>
            <w:r>
              <w:rPr>
                <w:rFonts w:ascii="Arial" w:cs="Arial" w:eastAsia="Arial" w:hAnsi="Arial"/>
                <w:sz w:val="14"/>
                <w:szCs w:val="14"/>
                <w:b w:val="1"/>
                <w:bCs w:val="1"/>
                <w:color w:val="auto"/>
              </w:rPr>
              <w:t>Contractual Obligations Payments Due by Period</w:t>
            </w:r>
          </w:p>
        </w:tc>
      </w:tr>
      <w:tr>
        <w:trPr>
          <w:trHeight w:val="26"/>
        </w:trPr>
        <w:tc>
          <w:tcPr>
            <w:tcW w:w="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73"/>
        </w:trPr>
        <w:tc>
          <w:tcPr>
            <w:tcW w:w="4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0"/>
              </w:rPr>
              <w:t>Less Than</w:t>
            </w:r>
          </w:p>
        </w:tc>
        <w:tc>
          <w:tcPr>
            <w:tcW w:w="100" w:type="dxa"/>
            <w:vAlign w:val="bottom"/>
          </w:tcPr>
          <w:p>
            <w:pPr>
              <w:spacing w:after="0"/>
              <w:rPr>
                <w:sz w:val="15"/>
                <w:szCs w:val="15"/>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1 – 3</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3 – 5</w:t>
            </w:r>
          </w:p>
        </w:tc>
        <w:tc>
          <w:tcPr>
            <w:tcW w:w="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6"/>
        </w:trPr>
        <w:tc>
          <w:tcPr>
            <w:tcW w:w="4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1 Year</w:t>
            </w:r>
          </w:p>
        </w:tc>
        <w:tc>
          <w:tcPr>
            <w:tcW w:w="10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Years</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5 Years</w:t>
            </w:r>
          </w:p>
        </w:tc>
        <w:tc>
          <w:tcPr>
            <w:tcW w:w="100" w:type="dxa"/>
            <w:vAlign w:val="bottom"/>
          </w:tcPr>
          <w:p>
            <w:pPr>
              <w:spacing w:after="0"/>
              <w:rPr>
                <w:sz w:val="16"/>
                <w:szCs w:val="16"/>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Total</w:t>
            </w:r>
          </w:p>
        </w:tc>
      </w:tr>
      <w:tr>
        <w:trPr>
          <w:trHeight w:val="26"/>
        </w:trPr>
        <w:tc>
          <w:tcPr>
            <w:tcW w:w="426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$6,000</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4"/>
              </w:rPr>
              <w:t>2022</w:t>
            </w:r>
          </w:p>
        </w:tc>
        <w:tc>
          <w:tcPr>
            <w:tcW w:w="3860" w:type="dxa"/>
            <w:vAlign w:val="bottom"/>
          </w:tcPr>
          <w:p>
            <w:pPr>
              <w:ind w:left="20"/>
              <w:spacing w:after="0"/>
              <w:rPr>
                <w:sz w:val="20"/>
                <w:szCs w:val="20"/>
                <w:color w:val="auto"/>
              </w:rPr>
            </w:pPr>
            <w:r>
              <w:rPr>
                <w:rFonts w:ascii="Arial" w:cs="Arial" w:eastAsia="Arial" w:hAnsi="Arial"/>
                <w:sz w:val="18"/>
                <w:szCs w:val="18"/>
                <w:color w:val="auto"/>
              </w:rPr>
              <w:t>Notes</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72,833</w:t>
            </w:r>
          </w:p>
        </w:tc>
        <w:tc>
          <w:tcPr>
            <w:tcW w:w="140" w:type="dxa"/>
            <w:vAlign w:val="bottom"/>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72,833</w:t>
            </w:r>
          </w:p>
        </w:tc>
      </w:tr>
      <w:tr>
        <w:trPr>
          <w:trHeight w:val="257"/>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2022</w:t>
            </w:r>
          </w:p>
        </w:tc>
        <w:tc>
          <w:tcPr>
            <w:tcW w:w="3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8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52,088</w:t>
            </w:r>
          </w:p>
        </w:tc>
      </w:tr>
      <w:tr>
        <w:trPr>
          <w:trHeight w:val="263"/>
        </w:trPr>
        <w:tc>
          <w:tcPr>
            <w:tcW w:w="4260" w:type="dxa"/>
            <w:vAlign w:val="bottom"/>
            <w:gridSpan w:val="2"/>
          </w:tcPr>
          <w:p>
            <w:pPr>
              <w:spacing w:after="0"/>
              <w:rPr>
                <w:sz w:val="20"/>
                <w:szCs w:val="20"/>
                <w:color w:val="auto"/>
              </w:rPr>
            </w:pPr>
            <w:r>
              <w:rPr>
                <w:rFonts w:ascii="Arial" w:cs="Arial" w:eastAsia="Arial" w:hAnsi="Arial"/>
                <w:sz w:val="18"/>
                <w:szCs w:val="18"/>
                <w:color w:val="auto"/>
              </w:rPr>
              <w:t>KeyBank Credit Facility</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Borders>
              <w:right w:val="single" w:sz="8" w:color="CCEEFF"/>
            </w:tcBorders>
            <w:gridSpan w:val="2"/>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63"/>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209,921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215,921</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-205105</wp:posOffset>
            </wp:positionV>
            <wp:extent cx="2571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-205105</wp:posOffset>
            </wp:positionV>
            <wp:extent cx="2400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-205105</wp:posOffset>
            </wp:positionV>
            <wp:extent cx="38061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0619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-873760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-873760</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-873760</wp:posOffset>
            </wp:positionV>
            <wp:extent cx="137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32143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Senior Securities</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Information about the Company’s senior securities as of December 31, 2020, 2019, 2018, 2017, 2016, 2015, 2014 and 2013, and information about Fund II’s and Fund III’s senior securities as of December 31, 2012 and 2011 are shown in the following table.</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Assets</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Involuntary</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Total Amount</w:t>
            </w:r>
          </w:p>
        </w:tc>
        <w:tc>
          <w:tcPr>
            <w:tcW w:w="9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7"/>
              </w:rPr>
              <w:t>Coverage</w:t>
            </w: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Liquidation</w:t>
            </w:r>
          </w:p>
        </w:tc>
        <w:tc>
          <w:tcPr>
            <w:tcW w:w="1000" w:type="dxa"/>
            <w:vAlign w:val="bottom"/>
            <w:gridSpan w:val="2"/>
          </w:tcPr>
          <w:p>
            <w:pPr>
              <w:ind w:left="260"/>
              <w:spacing w:after="0" w:line="14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Class and Year</w:t>
            </w:r>
          </w:p>
        </w:tc>
        <w:tc>
          <w:tcPr>
            <w:tcW w:w="220" w:type="dxa"/>
            <w:vAlign w:val="bottom"/>
          </w:tcPr>
          <w:p>
            <w:pPr>
              <w:spacing w:after="0"/>
              <w:rPr>
                <w:sz w:val="21"/>
                <w:szCs w:val="21"/>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Outstanding</w:t>
            </w:r>
            <w:r>
              <w:rPr>
                <w:rFonts w:ascii="Arial" w:cs="Arial" w:eastAsia="Arial" w:hAnsi="Arial"/>
                <w:sz w:val="21"/>
                <w:szCs w:val="21"/>
                <w:b w:val="1"/>
                <w:bCs w:val="1"/>
                <w:color w:val="auto"/>
                <w:w w:val="86"/>
                <w:vertAlign w:val="superscript"/>
              </w:rPr>
              <w:t>(1)</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Per Unit</w:t>
            </w:r>
            <w:r>
              <w:rPr>
                <w:rFonts w:ascii="Arial" w:cs="Arial" w:eastAsia="Arial" w:hAnsi="Arial"/>
                <w:sz w:val="21"/>
                <w:szCs w:val="21"/>
                <w:b w:val="1"/>
                <w:bCs w:val="1"/>
                <w:color w:val="auto"/>
                <w:w w:val="84"/>
                <w:vertAlign w:val="superscript"/>
              </w:rPr>
              <w:t>(2)(7)</w:t>
            </w:r>
          </w:p>
        </w:tc>
        <w:tc>
          <w:tcPr>
            <w:tcW w:w="22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Preference per Unit</w:t>
            </w:r>
            <w:r>
              <w:rPr>
                <w:rFonts w:ascii="Arial" w:cs="Arial" w:eastAsia="Arial" w:hAnsi="Arial"/>
                <w:sz w:val="21"/>
                <w:szCs w:val="21"/>
                <w:b w:val="1"/>
                <w:bCs w:val="1"/>
                <w:color w:val="auto"/>
                <w:w w:val="87"/>
                <w:vertAlign w:val="superscript"/>
              </w:rPr>
              <w:t>(3)</w:t>
            </w:r>
          </w:p>
        </w:tc>
        <w:tc>
          <w:tcPr>
            <w:tcW w:w="220" w:type="dxa"/>
            <w:vAlign w:val="bottom"/>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Value per Unit</w:t>
            </w:r>
            <w:r>
              <w:rPr>
                <w:rFonts w:ascii="Arial" w:cs="Arial" w:eastAsia="Arial" w:hAnsi="Arial"/>
                <w:sz w:val="21"/>
                <w:szCs w:val="21"/>
                <w:b w:val="1"/>
                <w:bCs w:val="1"/>
                <w:color w:val="auto"/>
                <w:w w:val="88"/>
                <w:vertAlign w:val="superscript"/>
              </w:rPr>
              <w:t>(4)</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Capitala Finance Corp.</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88"/>
              </w:rPr>
              <w:t>KeyBank Credit Facility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(5)</w:t>
            </w:r>
          </w:p>
        </w:tc>
        <w:tc>
          <w:tcPr>
            <w:tcW w:w="1620" w:type="dxa"/>
            <w:vAlign w:val="bottom"/>
            <w:gridSpan w:val="3"/>
            <w:vMerge w:val="restart"/>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00" w:type="dxa"/>
            <w:vAlign w:val="bottom"/>
            <w:tcBorders>
              <w:bottom w:val="single" w:sz="8" w:color="auto"/>
            </w:tcBorders>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$1,900</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6"/>
        </w:trPr>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ING Credit Facility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5"/>
              </w:rPr>
              <w:t>(6)</w:t>
            </w:r>
          </w:p>
        </w:tc>
        <w:tc>
          <w:tcPr>
            <w:tcW w:w="2000" w:type="dxa"/>
            <w:vAlign w:val="bottom"/>
            <w:gridSpan w:val="6"/>
            <w:vMerge w:val="restart"/>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440" w:type="dxa"/>
            <w:vAlign w:val="bottom"/>
            <w:tcBorders>
              <w:bottom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gridSpan w:val="6"/>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2,400</w:t>
            </w:r>
          </w:p>
        </w:tc>
        <w:tc>
          <w:tcPr>
            <w:tcW w:w="220" w:type="dxa"/>
            <w:vAlign w:val="bottom"/>
          </w:tcPr>
          <w:p>
            <w:pPr>
              <w:spacing w:after="0"/>
              <w:rPr>
                <w:sz w:val="22"/>
                <w:szCs w:val="22"/>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2"/>
                <w:szCs w:val="22"/>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800" w:type="dxa"/>
            <w:vAlign w:val="bottom"/>
          </w:tcPr>
          <w:p>
            <w:pPr>
              <w:spacing w:after="0"/>
              <w:rPr>
                <w:sz w:val="20"/>
                <w:szCs w:val="20"/>
                <w:color w:val="auto"/>
              </w:rPr>
            </w:pPr>
            <w:r>
              <w:rPr>
                <w:rFonts w:ascii="Arial" w:cs="Arial" w:eastAsia="Arial" w:hAnsi="Arial"/>
                <w:sz w:val="18"/>
                <w:szCs w:val="18"/>
                <w:color w:val="auto"/>
              </w:rPr>
              <w:t>2016</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44,000</w:t>
            </w:r>
          </w:p>
        </w:tc>
        <w:tc>
          <w:tcPr>
            <w:tcW w:w="22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22"/>
                <w:szCs w:val="22"/>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2"/>
                <w:szCs w:val="22"/>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800" w:type="dxa"/>
            <w:vAlign w:val="bottom"/>
          </w:tcPr>
          <w:p>
            <w:pPr>
              <w:spacing w:after="0"/>
              <w:rPr>
                <w:sz w:val="20"/>
                <w:szCs w:val="20"/>
                <w:color w:val="auto"/>
              </w:rPr>
            </w:pPr>
            <w:r>
              <w:rPr>
                <w:rFonts w:ascii="Arial" w:cs="Arial" w:eastAsia="Arial" w:hAnsi="Arial"/>
                <w:sz w:val="18"/>
                <w:szCs w:val="18"/>
                <w:color w:val="auto"/>
              </w:rPr>
              <w:t>2014</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2"/>
                <w:szCs w:val="22"/>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2"/>
                <w:szCs w:val="22"/>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35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2022 Notes</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6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72,833</w:t>
            </w:r>
          </w:p>
        </w:tc>
        <w:tc>
          <w:tcPr>
            <w:tcW w:w="22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$1,900</w:t>
            </w:r>
          </w:p>
        </w:tc>
        <w:tc>
          <w:tcPr>
            <w:tcW w:w="220" w:type="dxa"/>
            <w:vAlign w:val="bottom"/>
            <w:tcBorders>
              <w:top w:val="single" w:sz="8" w:color="CCEEFF"/>
            </w:tcBorders>
          </w:tcPr>
          <w:p>
            <w:pPr>
              <w:spacing w:after="0"/>
              <w:rPr>
                <w:sz w:val="22"/>
                <w:szCs w:val="22"/>
                <w:color w:val="auto"/>
              </w:rPr>
            </w:pPr>
          </w:p>
        </w:tc>
        <w:tc>
          <w:tcPr>
            <w:tcW w:w="1540" w:type="dxa"/>
            <w:vAlign w:val="bottom"/>
            <w:tcBorders>
              <w:top w:val="single" w:sz="8" w:color="CCEEFF"/>
            </w:tcBorders>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23"/>
                <w:szCs w:val="23"/>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2,400</w:t>
            </w:r>
          </w:p>
        </w:tc>
        <w:tc>
          <w:tcPr>
            <w:tcW w:w="220" w:type="dxa"/>
            <w:vAlign w:val="bottom"/>
          </w:tcPr>
          <w:p>
            <w:pPr>
              <w:spacing w:after="0"/>
              <w:rPr>
                <w:sz w:val="23"/>
                <w:szCs w:val="23"/>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1,014</w:t>
            </w:r>
          </w:p>
        </w:tc>
        <w:tc>
          <w:tcPr>
            <w:tcW w:w="0" w:type="dxa"/>
            <w:vAlign w:val="bottom"/>
          </w:tcPr>
          <w:p>
            <w:pPr>
              <w:spacing w:after="0"/>
              <w:rPr>
                <w:sz w:val="1"/>
                <w:szCs w:val="1"/>
                <w:color w:val="auto"/>
              </w:rPr>
            </w:pPr>
          </w:p>
        </w:tc>
      </w:tr>
      <w:tr>
        <w:trPr>
          <w:trHeight w:val="257"/>
        </w:trPr>
        <w:tc>
          <w:tcPr>
            <w:tcW w:w="3580" w:type="dxa"/>
            <w:vAlign w:val="bottom"/>
            <w:gridSpan w:val="9"/>
          </w:tcPr>
          <w:p>
            <w:pPr>
              <w:spacing w:after="0"/>
              <w:rPr>
                <w:sz w:val="20"/>
                <w:szCs w:val="20"/>
                <w:color w:val="auto"/>
              </w:rPr>
            </w:pPr>
            <w:r>
              <w:rPr>
                <w:rFonts w:ascii="Arial" w:cs="Arial" w:eastAsia="Arial" w:hAnsi="Arial"/>
                <w:sz w:val="18"/>
                <w:szCs w:val="18"/>
                <w:b w:val="1"/>
                <w:bCs w:val="1"/>
                <w:color w:val="auto"/>
              </w:rPr>
              <w:t>2022 Convertible Notes</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52,088</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$1,900</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52,088</w:t>
            </w:r>
          </w:p>
        </w:tc>
        <w:tc>
          <w:tcPr>
            <w:tcW w:w="220" w:type="dxa"/>
            <w:vAlign w:val="bottom"/>
          </w:tcPr>
          <w:p>
            <w:pPr>
              <w:spacing w:after="0"/>
              <w:rPr>
                <w:sz w:val="23"/>
                <w:szCs w:val="23"/>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23"/>
                <w:szCs w:val="23"/>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52,088</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52,088</w:t>
            </w:r>
          </w:p>
        </w:tc>
        <w:tc>
          <w:tcPr>
            <w:tcW w:w="220" w:type="dxa"/>
            <w:vAlign w:val="bottom"/>
          </w:tcPr>
          <w:p>
            <w:pPr>
              <w:spacing w:after="0"/>
              <w:rPr>
                <w:sz w:val="23"/>
                <w:szCs w:val="23"/>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23"/>
                <w:szCs w:val="23"/>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1,001</w:t>
            </w:r>
          </w:p>
        </w:tc>
        <w:tc>
          <w:tcPr>
            <w:tcW w:w="0" w:type="dxa"/>
            <w:vAlign w:val="bottom"/>
          </w:tcPr>
          <w:p>
            <w:pPr>
              <w:spacing w:after="0"/>
              <w:rPr>
                <w:sz w:val="1"/>
                <w:szCs w:val="1"/>
                <w:color w:val="auto"/>
              </w:rPr>
            </w:pPr>
          </w:p>
        </w:tc>
      </w:tr>
      <w:tr>
        <w:trPr>
          <w:trHeight w:val="257"/>
        </w:trPr>
        <w:tc>
          <w:tcPr>
            <w:tcW w:w="35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SBA-guaranteed debentures</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6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91,000</w:t>
            </w:r>
          </w:p>
        </w:tc>
        <w:tc>
          <w:tcPr>
            <w:tcW w:w="220" w:type="dxa"/>
            <w:vAlign w:val="bottom"/>
            <w:tcBorders>
              <w:top w:val="single" w:sz="8" w:color="CCEEFF"/>
            </w:tcBorders>
          </w:tcPr>
          <w:p>
            <w:pPr>
              <w:spacing w:after="0"/>
              <w:rPr>
                <w:sz w:val="22"/>
                <w:szCs w:val="22"/>
                <w:color w:val="auto"/>
              </w:rPr>
            </w:pPr>
          </w:p>
        </w:tc>
        <w:tc>
          <w:tcPr>
            <w:tcW w:w="9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 N/A</w:t>
            </w:r>
          </w:p>
        </w:tc>
        <w:tc>
          <w:tcPr>
            <w:tcW w:w="1540" w:type="dxa"/>
            <w:vAlign w:val="bottom"/>
            <w:tcBorders>
              <w:top w:val="single" w:sz="8" w:color="CCEEFF"/>
            </w:tcBorders>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150,000</w:t>
            </w: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165,700</w:t>
            </w:r>
          </w:p>
        </w:tc>
        <w:tc>
          <w:tcPr>
            <w:tcW w:w="220" w:type="dxa"/>
            <w:vAlign w:val="bottom"/>
          </w:tcPr>
          <w:p>
            <w:pPr>
              <w:spacing w:after="0"/>
              <w:rPr>
                <w:sz w:val="23"/>
                <w:szCs w:val="2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170,700</w:t>
            </w: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800" w:type="dxa"/>
            <w:vAlign w:val="bottom"/>
          </w:tcPr>
          <w:p>
            <w:pPr>
              <w:spacing w:after="0"/>
              <w:rPr>
                <w:sz w:val="20"/>
                <w:szCs w:val="20"/>
                <w:color w:val="auto"/>
              </w:rPr>
            </w:pPr>
            <w:r>
              <w:rPr>
                <w:rFonts w:ascii="Arial" w:cs="Arial" w:eastAsia="Arial" w:hAnsi="Arial"/>
                <w:sz w:val="18"/>
                <w:szCs w:val="18"/>
                <w:color w:val="auto"/>
              </w:rPr>
              <w:t>2016</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170,700</w:t>
            </w:r>
          </w:p>
        </w:tc>
        <w:tc>
          <w:tcPr>
            <w:tcW w:w="22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Involuntary</w:t>
            </w: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Average</w:t>
            </w:r>
          </w:p>
        </w:tc>
      </w:tr>
      <w:tr>
        <w:trPr>
          <w:trHeight w:val="144"/>
        </w:trPr>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Total Amount</w:t>
            </w:r>
          </w:p>
        </w:tc>
        <w:tc>
          <w:tcPr>
            <w:tcW w:w="9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7"/>
              </w:rPr>
              <w:t>Coverage</w:t>
            </w: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Liquidation</w:t>
            </w:r>
          </w:p>
        </w:tc>
        <w:tc>
          <w:tcPr>
            <w:tcW w:w="9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Market</w:t>
            </w:r>
          </w:p>
        </w:tc>
      </w:tr>
      <w:tr>
        <w:trPr>
          <w:trHeight w:val="243"/>
        </w:trPr>
        <w:tc>
          <w:tcPr>
            <w:tcW w:w="3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Class and Year</w:t>
            </w:r>
          </w:p>
        </w:tc>
        <w:tc>
          <w:tcPr>
            <w:tcW w:w="220" w:type="dxa"/>
            <w:vAlign w:val="bottom"/>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Outstanding</w:t>
            </w:r>
            <w:r>
              <w:rPr>
                <w:rFonts w:ascii="Arial" w:cs="Arial" w:eastAsia="Arial" w:hAnsi="Arial"/>
                <w:sz w:val="21"/>
                <w:szCs w:val="21"/>
                <w:b w:val="1"/>
                <w:bCs w:val="1"/>
                <w:color w:val="auto"/>
                <w:w w:val="84"/>
                <w:vertAlign w:val="superscript"/>
              </w:rPr>
              <w:t>(1)</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Per Unit</w:t>
            </w:r>
            <w:r>
              <w:rPr>
                <w:rFonts w:ascii="Arial" w:cs="Arial" w:eastAsia="Arial" w:hAnsi="Arial"/>
                <w:sz w:val="21"/>
                <w:szCs w:val="21"/>
                <w:b w:val="1"/>
                <w:bCs w:val="1"/>
                <w:color w:val="auto"/>
                <w:w w:val="84"/>
                <w:vertAlign w:val="superscript"/>
              </w:rPr>
              <w:t>(2)(7)</w:t>
            </w:r>
          </w:p>
        </w:tc>
        <w:tc>
          <w:tcPr>
            <w:tcW w:w="22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Preference per Unit</w:t>
            </w:r>
            <w:r>
              <w:rPr>
                <w:rFonts w:ascii="Arial" w:cs="Arial" w:eastAsia="Arial" w:hAnsi="Arial"/>
                <w:sz w:val="21"/>
                <w:szCs w:val="21"/>
                <w:b w:val="1"/>
                <w:bCs w:val="1"/>
                <w:color w:val="auto"/>
                <w:w w:val="87"/>
                <w:vertAlign w:val="superscript"/>
              </w:rPr>
              <w:t>(3)</w:t>
            </w:r>
          </w:p>
        </w:tc>
        <w:tc>
          <w:tcPr>
            <w:tcW w:w="22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Value per Unit</w:t>
            </w:r>
            <w:r>
              <w:rPr>
                <w:rFonts w:ascii="Arial" w:cs="Arial" w:eastAsia="Arial" w:hAnsi="Arial"/>
                <w:sz w:val="21"/>
                <w:szCs w:val="21"/>
                <w:b w:val="1"/>
                <w:bCs w:val="1"/>
                <w:color w:val="auto"/>
                <w:w w:val="88"/>
                <w:vertAlign w:val="superscript"/>
              </w:rPr>
              <w:t>(4)</w:t>
            </w:r>
          </w:p>
        </w:tc>
      </w:tr>
      <w:tr>
        <w:trPr>
          <w:trHeight w:val="198"/>
        </w:trPr>
        <w:tc>
          <w:tcPr>
            <w:tcW w:w="1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184,200</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57"/>
        </w:trPr>
        <w:tc>
          <w:tcPr>
            <w:tcW w:w="1940" w:type="dxa"/>
            <w:vAlign w:val="bottom"/>
          </w:tcPr>
          <w:p>
            <w:pPr>
              <w:spacing w:after="0"/>
              <w:rPr>
                <w:sz w:val="20"/>
                <w:szCs w:val="20"/>
                <w:color w:val="auto"/>
              </w:rPr>
            </w:pPr>
            <w:r>
              <w:rPr>
                <w:rFonts w:ascii="Arial" w:cs="Arial" w:eastAsia="Arial" w:hAnsi="Arial"/>
                <w:sz w:val="18"/>
                <w:szCs w:val="18"/>
                <w:color w:val="auto"/>
              </w:rPr>
              <w:t>2014</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192,200</w:t>
            </w:r>
          </w:p>
        </w:tc>
        <w:tc>
          <w:tcPr>
            <w:tcW w:w="220" w:type="dxa"/>
            <w:vAlign w:val="bottom"/>
          </w:tcPr>
          <w:p>
            <w:pPr>
              <w:spacing w:after="0"/>
              <w:rPr>
                <w:sz w:val="22"/>
                <w:szCs w:val="22"/>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2"/>
                <w:szCs w:val="22"/>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5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202,200</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2,300</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Fund II SBA-guaranteed debentures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19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52,200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2011</w:t>
            </w: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52,200</w:t>
            </w:r>
          </w:p>
        </w:tc>
        <w:tc>
          <w:tcPr>
            <w:tcW w:w="22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3"/>
                <w:szCs w:val="23"/>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50"/>
        </w:trPr>
        <w:tc>
          <w:tcPr>
            <w:tcW w:w="3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Fund III SBA-guaranteed debentures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2012</w:t>
            </w:r>
          </w:p>
        </w:tc>
        <w:tc>
          <w:tcPr>
            <w:tcW w:w="7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86"/>
              </w:rPr>
              <w:t>125,000</w:t>
            </w: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jc w:val="right"/>
              <w:ind w:right="35"/>
              <w:spacing w:after="0"/>
              <w:rPr>
                <w:sz w:val="20"/>
                <w:szCs w:val="20"/>
                <w:color w:val="auto"/>
              </w:rPr>
            </w:pPr>
            <w:r>
              <w:rPr>
                <w:rFonts w:ascii="Arial" w:cs="Arial" w:eastAsia="Arial" w:hAnsi="Arial"/>
                <w:sz w:val="18"/>
                <w:szCs w:val="18"/>
                <w:color w:val="auto"/>
              </w:rPr>
              <w:t>$1,700</w:t>
            </w:r>
          </w:p>
        </w:tc>
        <w:tc>
          <w:tcPr>
            <w:tcW w:w="22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9"/>
              </w:rPr>
              <w:t>N/A</w:t>
            </w:r>
          </w:p>
        </w:tc>
      </w:tr>
      <w:tr>
        <w:trPr>
          <w:trHeight w:val="27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94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134" w:lineRule="exact"/>
        <w:rPr>
          <w:sz w:val="20"/>
          <w:szCs w:val="20"/>
          <w:color w:val="auto"/>
        </w:rPr>
      </w:pPr>
    </w:p>
    <w:p>
      <w:pPr>
        <w:ind w:left="1620" w:hanging="360"/>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76" w:lineRule="exact"/>
        <w:rPr>
          <w:rFonts w:ascii="Arial" w:cs="Arial" w:eastAsia="Arial" w:hAnsi="Arial"/>
          <w:sz w:val="18"/>
          <w:szCs w:val="18"/>
          <w:color w:val="auto"/>
        </w:rPr>
      </w:pPr>
    </w:p>
    <w:p>
      <w:pPr>
        <w:jc w:val="both"/>
        <w:ind w:left="1620" w:right="419" w:hanging="360"/>
        <w:spacing w:after="0" w:line="259"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Amounts are rounded to the nearest $1,000.</w:t>
      </w:r>
    </w:p>
    <w:p>
      <w:pPr>
        <w:spacing w:after="0" w:line="38" w:lineRule="exact"/>
        <w:rPr>
          <w:rFonts w:ascii="Arial" w:cs="Arial" w:eastAsia="Arial" w:hAnsi="Arial"/>
          <w:sz w:val="18"/>
          <w:szCs w:val="18"/>
          <w:color w:val="auto"/>
        </w:rPr>
      </w:pPr>
    </w:p>
    <w:p>
      <w:pPr>
        <w:jc w:val="both"/>
        <w:ind w:left="1620" w:right="419" w:hanging="360"/>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w:t>
      </w:r>
    </w:p>
    <w:p>
      <w:pPr>
        <w:spacing w:after="0" w:line="35" w:lineRule="exact"/>
        <w:rPr>
          <w:rFonts w:ascii="Arial" w:cs="Arial" w:eastAsia="Arial" w:hAnsi="Arial"/>
          <w:sz w:val="18"/>
          <w:szCs w:val="18"/>
          <w:color w:val="auto"/>
        </w:rPr>
      </w:pPr>
    </w:p>
    <w:p>
      <w:pPr>
        <w:jc w:val="both"/>
        <w:ind w:left="1620" w:right="419" w:hanging="360"/>
        <w:spacing w:after="0" w:line="279" w:lineRule="auto"/>
        <w:tabs>
          <w:tab w:leader="none" w:pos="1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 applicable except for the 2021 Notes, the 2022 Notes and the 2022 Convertible Notes which are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spacing w:after="0" w:line="22" w:lineRule="exact"/>
        <w:rPr>
          <w:rFonts w:ascii="Arial" w:cs="Arial" w:eastAsia="Arial" w:hAnsi="Arial"/>
          <w:sz w:val="17"/>
          <w:szCs w:val="17"/>
          <w:color w:val="auto"/>
        </w:rPr>
      </w:pPr>
    </w:p>
    <w:p>
      <w:pPr>
        <w:ind w:left="1620" w:right="419" w:hanging="360"/>
        <w:spacing w:after="0" w:line="277"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of December 31, 2020, there was no outstanding balance on the KeyBank Credit Facility. As of March 5, 2021 there was no outstanding balance on the KeyBank Credit Facility.</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June 19, 2020, the Company unilaterally terminated the ING Credit Facility.</w:t>
      </w:r>
    </w:p>
    <w:p>
      <w:pPr>
        <w:spacing w:after="0" w:line="76" w:lineRule="exact"/>
        <w:rPr>
          <w:rFonts w:ascii="Arial" w:cs="Arial" w:eastAsia="Arial" w:hAnsi="Arial"/>
          <w:sz w:val="18"/>
          <w:szCs w:val="18"/>
          <w:color w:val="auto"/>
        </w:rPr>
      </w:pPr>
    </w:p>
    <w:p>
      <w:pPr>
        <w:jc w:val="both"/>
        <w:ind w:left="1620" w:right="419" w:hanging="360"/>
        <w:spacing w:after="0" w:line="259"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excluded our SBA-guaranteed debentures from the asset coverage calculation as of December 31, 2020, 2019, 2018, 2017, 2016, and 2015 pursuant to the exemptive relief granted by the SEC in June 2014 that permits us to exclude such debentures from the definition of senior securities in the asset coverage ratio we are required to satisfy under the 1940 Act.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62"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On April 30, 2020, July 30, 2020, and October 29, 2020 the Company’s Board determined not to declare a distribution for the second quarter, third quarter, or fourth quarter, respectively, due to the impact of the COVID-19 pandemic on the Company’s expected net investment income.</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260" w:firstLine="360"/>
        <w:spacing w:after="0" w:line="273"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97" w:lineRule="exact"/>
        <w:rPr>
          <w:sz w:val="20"/>
          <w:szCs w:val="20"/>
          <w:color w:val="auto"/>
        </w:rPr>
      </w:pPr>
    </w:p>
    <w:p>
      <w:pPr>
        <w:jc w:val="both"/>
        <w:ind w:left="1260" w:right="1260" w:firstLine="360"/>
        <w:spacing w:after="0" w:line="255" w:lineRule="auto"/>
        <w:rPr>
          <w:sz w:val="20"/>
          <w:szCs w:val="20"/>
          <w:color w:val="auto"/>
        </w:rPr>
      </w:pPr>
      <w:r>
        <w:rPr>
          <w:rFonts w:ascii="Arial" w:cs="Arial" w:eastAsia="Arial" w:hAnsi="Arial"/>
          <w:sz w:val="18"/>
          <w:szCs w:val="18"/>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25" w:lineRule="exact"/>
        <w:rPr>
          <w:sz w:val="20"/>
          <w:szCs w:val="20"/>
          <w:color w:val="auto"/>
        </w:rPr>
      </w:pPr>
    </w:p>
    <w:p>
      <w:pPr>
        <w:jc w:val="both"/>
        <w:ind w:left="1260" w:right="1260" w:firstLine="360"/>
        <w:spacing w:after="0" w:line="254" w:lineRule="auto"/>
        <w:rPr>
          <w:sz w:val="20"/>
          <w:szCs w:val="20"/>
          <w:color w:val="auto"/>
        </w:rPr>
      </w:pPr>
      <w:r>
        <w:rPr>
          <w:rFonts w:ascii="Arial" w:cs="Arial" w:eastAsia="Arial" w:hAnsi="Arial"/>
          <w:sz w:val="18"/>
          <w:szCs w:val="18"/>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27" w:lineRule="exact"/>
        <w:rPr>
          <w:sz w:val="20"/>
          <w:szCs w:val="20"/>
          <w:color w:val="auto"/>
        </w:rPr>
      </w:pPr>
    </w:p>
    <w:p>
      <w:pPr>
        <w:jc w:val="both"/>
        <w:ind w:left="1260" w:right="1260" w:firstLine="360"/>
        <w:spacing w:after="0" w:line="277" w:lineRule="auto"/>
        <w:rPr>
          <w:sz w:val="20"/>
          <w:szCs w:val="20"/>
          <w:color w:val="auto"/>
        </w:rPr>
      </w:pPr>
      <w:r>
        <w:rPr>
          <w:rFonts w:ascii="Arial" w:cs="Arial" w:eastAsia="Arial" w:hAnsi="Arial"/>
          <w:sz w:val="18"/>
          <w:szCs w:val="18"/>
          <w:color w:val="auto"/>
        </w:rPr>
        <w:t>The following tables summarize our distributions declared from January 1, 2018 through 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Record Date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 Date</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Per Share</w:t>
            </w:r>
            <w:r>
              <w:rPr>
                <w:rFonts w:ascii="Arial" w:cs="Arial" w:eastAsia="Arial" w:hAnsi="Arial"/>
                <w:sz w:val="21"/>
                <w:szCs w:val="21"/>
                <w:b w:val="1"/>
                <w:bCs w:val="1"/>
                <w:color w:val="auto"/>
                <w:w w:val="87"/>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January 24, 2020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January 30, 2020</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January 2, 2020</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3"/>
              </w:rPr>
              <w:t>February 20, 2020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February 27, 2020</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March 23, 2020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March 30, 2020</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Distributions Declared and Distributed</w:t>
            </w: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for 2020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Record Date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Payment Date</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Per Share</w:t>
            </w:r>
            <w:r>
              <w:rPr>
                <w:rFonts w:ascii="Arial" w:cs="Arial" w:eastAsia="Arial" w:hAnsi="Arial"/>
                <w:sz w:val="21"/>
                <w:szCs w:val="21"/>
                <w:b w:val="1"/>
                <w:bCs w:val="1"/>
                <w:color w:val="auto"/>
                <w:w w:val="87"/>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January 24, 2019</w:t>
            </w:r>
          </w:p>
        </w:tc>
        <w:tc>
          <w:tcPr>
            <w:tcW w:w="10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January 30,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January 2, 2019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February 20, 2019</w:t>
            </w:r>
          </w:p>
        </w:tc>
        <w:tc>
          <w:tcPr>
            <w:tcW w:w="100" w:type="dxa"/>
            <w:vAlign w:val="bottom"/>
          </w:tcPr>
          <w:p>
            <w:pPr>
              <w:spacing w:after="0"/>
              <w:rPr>
                <w:sz w:val="22"/>
                <w:szCs w:val="22"/>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February 27,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5"/>
              </w:rPr>
              <w:t>March 21, 2019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March 28,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April 1, 2019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April 22, 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April 29,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April 1, 2019</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5"/>
              </w:rPr>
              <w:t>May 23, 2019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7"/>
              </w:rPr>
              <w:t>May 30,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April 1, 2019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June 20, 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June 27,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July 1, 2019</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5"/>
              </w:rPr>
              <w:t>July 23, 2019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July 30,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July 1, 2019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August 22, 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August 29,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July 1, 2019</w:t>
            </w:r>
          </w:p>
        </w:tc>
        <w:tc>
          <w:tcPr>
            <w:tcW w:w="200" w:type="dxa"/>
            <w:vAlign w:val="bottom"/>
            <w:shd w:val="clear" w:color="auto" w:fill="CCEEFF"/>
          </w:tcPr>
          <w:p>
            <w:pPr>
              <w:spacing w:after="0"/>
              <w:rPr>
                <w:sz w:val="22"/>
                <w:szCs w:val="22"/>
                <w:color w:val="auto"/>
              </w:rPr>
            </w:pPr>
          </w:p>
        </w:tc>
        <w:tc>
          <w:tcPr>
            <w:tcW w:w="16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1"/>
              </w:rPr>
              <w:t>September 20, 2019</w:t>
            </w:r>
          </w:p>
        </w:tc>
        <w:tc>
          <w:tcPr>
            <w:tcW w:w="1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September 27,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October 1, 2019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October 22, 2019</w:t>
            </w:r>
          </w:p>
        </w:tc>
        <w:tc>
          <w:tcPr>
            <w:tcW w:w="100" w:type="dxa"/>
            <w:vAlign w:val="bottom"/>
          </w:tcPr>
          <w:p>
            <w:pPr>
              <w:spacing w:after="0"/>
              <w:rPr>
                <w:sz w:val="22"/>
                <w:szCs w:val="22"/>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October 29,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200" w:type="dxa"/>
            <w:vAlign w:val="bottom"/>
            <w:shd w:val="clear" w:color="auto" w:fill="CCEEFF"/>
          </w:tcPr>
          <w:p>
            <w:pPr>
              <w:spacing w:after="0"/>
              <w:rPr>
                <w:sz w:val="23"/>
                <w:szCs w:val="23"/>
                <w:color w:val="auto"/>
              </w:rPr>
            </w:pPr>
          </w:p>
        </w:tc>
        <w:tc>
          <w:tcPr>
            <w:tcW w:w="16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3"/>
              </w:rPr>
              <w:t>November 22, 2019</w:t>
            </w:r>
          </w:p>
        </w:tc>
        <w:tc>
          <w:tcPr>
            <w:tcW w:w="10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November 29, 2019</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October 1, 2019</w:t>
            </w:r>
          </w:p>
        </w:tc>
        <w:tc>
          <w:tcPr>
            <w:tcW w:w="200" w:type="dxa"/>
            <w:vAlign w:val="bottom"/>
          </w:tcPr>
          <w:p>
            <w:pPr>
              <w:spacing w:after="0"/>
              <w:rPr>
                <w:sz w:val="24"/>
                <w:szCs w:val="24"/>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December 23, 2019</w:t>
            </w:r>
          </w:p>
        </w:tc>
        <w:tc>
          <w:tcPr>
            <w:tcW w:w="10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December 30, 2019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w:t>
            </w:r>
          </w:p>
        </w:tc>
        <w:tc>
          <w:tcPr>
            <w:tcW w:w="2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2"/>
                <w:szCs w:val="22"/>
                <w:color w:val="auto"/>
              </w:rPr>
            </w:pPr>
          </w:p>
        </w:tc>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2019</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8"/>
                <w:szCs w:val="18"/>
                <w:color w:val="auto"/>
              </w:rPr>
              <w:t>100</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-4242435</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-4242435</wp:posOffset>
            </wp:positionV>
            <wp:extent cx="137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-4242435</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-1002030</wp:posOffset>
            </wp:positionV>
            <wp:extent cx="52120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-2990850</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-2990850</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-2990850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2" w:name="page103"/>
    <w:bookmarkEnd w:id="10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vMerge w:val="restart"/>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Record Date</w:t>
            </w:r>
          </w:p>
        </w:tc>
        <w:tc>
          <w:tcPr>
            <w:tcW w:w="220" w:type="dxa"/>
            <w:vAlign w:val="bottom"/>
            <w:vMerge w:val="restart"/>
          </w:tcPr>
          <w:p>
            <w:pPr>
              <w:spacing w:after="0"/>
              <w:rPr>
                <w:sz w:val="21"/>
                <w:szCs w:val="2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Payment Date</w:t>
            </w:r>
          </w:p>
        </w:tc>
        <w:tc>
          <w:tcPr>
            <w:tcW w:w="220" w:type="dxa"/>
            <w:vAlign w:val="bottom"/>
            <w:vMerge w:val="restart"/>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21"/>
                <w:szCs w:val="21"/>
                <w:b w:val="1"/>
                <w:bCs w:val="1"/>
                <w:color w:val="auto"/>
                <w:vertAlign w:val="subscript"/>
              </w:rPr>
              <w:t>(1)</w:t>
            </w:r>
          </w:p>
        </w:tc>
        <w:tc>
          <w:tcPr>
            <w:tcW w:w="0" w:type="dxa"/>
            <w:vAlign w:val="bottom"/>
          </w:tcPr>
          <w:p>
            <w:pPr>
              <w:spacing w:after="0"/>
              <w:rPr>
                <w:sz w:val="1"/>
                <w:szCs w:val="1"/>
                <w:color w:val="auto"/>
              </w:rPr>
            </w:pPr>
          </w:p>
        </w:tc>
      </w:tr>
      <w:tr>
        <w:trPr>
          <w:trHeight w:val="148"/>
        </w:trPr>
        <w:tc>
          <w:tcPr>
            <w:tcW w:w="380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740" w:type="dxa"/>
            <w:vAlign w:val="bottom"/>
            <w:tcBorders>
              <w:bottom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January 22, 2018</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January 30, 2018</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January 2, 2018</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February 20, 2018</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February 27, 2018</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March 23, 2018</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March 29, 2018</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6"/>
        </w:trPr>
        <w:tc>
          <w:tcPr>
            <w:tcW w:w="4000" w:type="dxa"/>
            <w:vAlign w:val="bottom"/>
            <w:gridSpan w:val="3"/>
          </w:tcPr>
          <w:p>
            <w:pPr>
              <w:spacing w:after="0"/>
              <w:rPr>
                <w:sz w:val="20"/>
                <w:szCs w:val="20"/>
                <w:color w:val="auto"/>
              </w:rPr>
            </w:pPr>
            <w:r>
              <w:rPr>
                <w:rFonts w:ascii="Arial" w:cs="Arial" w:eastAsia="Arial" w:hAnsi="Arial"/>
                <w:sz w:val="18"/>
                <w:szCs w:val="18"/>
                <w:color w:val="auto"/>
              </w:rPr>
              <w:t>April 2, 2018</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April 19, 2018</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April 27, 2018</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 2018</w:t>
            </w:r>
          </w:p>
        </w:tc>
        <w:tc>
          <w:tcPr>
            <w:tcW w:w="1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May 22, 2018</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May 30, 2018</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April 2, 2018</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June 20, 2018</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June 28, 2018</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 2018</w:t>
            </w:r>
          </w:p>
        </w:tc>
        <w:tc>
          <w:tcPr>
            <w:tcW w:w="1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July 23, 2018</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July 30, 2018</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July 2, 2018</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August 23, 2018</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August 30, 2018</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 2018</w:t>
            </w:r>
          </w:p>
        </w:tc>
        <w:tc>
          <w:tcPr>
            <w:tcW w:w="1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September 20, 2018</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September 27, 2018</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October 1, 2018</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October 23, 2018</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October 30, 2018</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1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November 21, 2018</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November 29, 2018</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8"/>
                <w:szCs w:val="18"/>
                <w:color w:val="auto"/>
              </w:rPr>
              <w:t>October 1, 2018</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December 20, 2018</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December 28, 2018</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2"/>
        </w:trPr>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w:t>
            </w:r>
          </w:p>
        </w:tc>
        <w:tc>
          <w:tcPr>
            <w:tcW w:w="15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for 2018</w:t>
            </w:r>
          </w:p>
        </w:tc>
        <w:tc>
          <w:tcPr>
            <w:tcW w:w="1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40" w:type="dxa"/>
            <w:vAlign w:val="bottom"/>
            <w:tcBorders>
              <w:bottom w:val="single" w:sz="8" w:color="auto"/>
            </w:tcBorders>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-419735</wp:posOffset>
            </wp:positionV>
            <wp:extent cx="52120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-2407920</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-2407920</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-2407920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jc w:val="both"/>
        <w:ind w:left="1620" w:right="419" w:hanging="360"/>
        <w:spacing w:after="0" w:line="263"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103"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Tax characteristics of all distributions paid are reported to stockholders on Form 1099 after the end of the calendar year. For the year ended December 31, 2020, we estimate that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 For the year ended December 31, 2018, total distributions of $16.0 million, were comprised 100% of ordinary income.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Parties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20"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which provides financing solutions to smaller and lower middle -market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 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 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directors each of which is not considered an “interested person”, as such term is defined under the 1940 Act (the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05" w:lineRule="exact"/>
        <w:rPr>
          <w:sz w:val="20"/>
          <w:szCs w:val="20"/>
          <w:color w:val="auto"/>
        </w:rPr>
      </w:pPr>
    </w:p>
    <w:p>
      <w:pPr>
        <w:jc w:val="both"/>
        <w:ind w:left="1260" w:right="419" w:firstLine="360"/>
        <w:spacing w:after="0" w:line="308" w:lineRule="auto"/>
        <w:rPr>
          <w:sz w:val="20"/>
          <w:szCs w:val="20"/>
          <w:color w:val="auto"/>
        </w:rPr>
      </w:pPr>
      <w:r>
        <w:rPr>
          <w:rFonts w:ascii="Arial" w:cs="Arial" w:eastAsia="Arial" w:hAnsi="Arial"/>
          <w:sz w:val="17"/>
          <w:szCs w:val="17"/>
          <w:color w:val="auto"/>
        </w:rPr>
        <w:t>We have entered into a license agreement with the Investment Advisor, pursuant to which the Investment Advisor has agreed to grant us a non-exclusive, royalty-free license to use the name “Capitala.”</w:t>
      </w:r>
    </w:p>
    <w:p>
      <w:pPr>
        <w:spacing w:after="0" w:line="79"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As of December 31, 2020, the Company had outstanding unfunded commitments related to debt investments in existing portfolio companies of $4.3 million (Rapid Fire Protection, Inc.), $3.5 million (J5 Infrastructure Partners, LLC), $1.0 million (Freedom Electronics, LLC), and $1.0 million (U.S. BioTek Laboratories, LLC). As of December 31, 2019, the Company had outstanding unfunded commitments related to debt and equity investments in existing portfolio companies of $11.4 million (CSLF II), $4.5 million (Rapid Fire Protection, Inc.), $3.5 million (J5 Infrastructure Partners, LLC), $2.6 million (BigMouth, Inc.), $1.0 million (Freedom Electronics, LLC), $1.0 million (U.S. BioTek Laboratories, LLC), and $0.5 million (Jurassic Quest Holdings, LLC).</w:t>
      </w:r>
    </w:p>
    <w:p>
      <w:pPr>
        <w:spacing w:after="0" w:line="111"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58"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On January 28, 2021, the Company’s first lien debt investment in Burgaflex Holdings, LLC was repaid at par.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On February 24, 2021, the Company repaid $20.0 million in outstanding SBA-guaranteed debentures, $6.0 million that was scheduled to mature on March 1, 2021 and $14.0 million that was scheduled to mature on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year ended December 31, 2020, we did not engage in hedging activities.</w:t>
      </w:r>
    </w:p>
    <w:p>
      <w:pPr>
        <w:spacing w:after="0" w:line="120"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As of December 31, 2020, we held 20 securities bearing a variable rate of interest. Our variable rate investments represent approximately 51.1% of the fair value of total debt investments. As of December 31, 2020, 100.0% of variable rate securities were yielding interest at a rate equal to the established interest rate floor. As of December 31, 2020, we had $0.0 outstanding on our KeyBank Credit Facility, which has a variable rate of interest at one-month LIBOR + 3.5%. Our KeyBank Credit Facility is subject to an interest rate floor such that the minimum interest rate is 4.25%. As of December 31, 2020, all of our other interest paying liabilities, consisting of $91.0 million in SBA-guaranteed debentures, $72.8 million in 2022 Notes, and $52.1 million in 2022 Convertible Notes, were bearing interest at a fixed rate.</w:t>
      </w:r>
    </w:p>
    <w:p>
      <w:pPr>
        <w:spacing w:after="0" w:line="111"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Interest rate sensitivity refers to the change in earnings that may result from changes in the level of interest rates. In addition, U.S. and global capital markets and credit markets have experienced a higher level of stress due to the global COVID-19 pandemic,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9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Based on our December 31, 2020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5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Increase</w:t>
            </w:r>
          </w:p>
        </w:tc>
        <w:tc>
          <w:tcPr>
            <w:tcW w:w="22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(Increase)</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4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82"/>
              </w:rPr>
              <w:t>(decrease)</w:t>
            </w:r>
          </w:p>
        </w:tc>
        <w:tc>
          <w:tcPr>
            <w:tcW w:w="1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decrease in</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Increase</w:t>
            </w:r>
          </w:p>
        </w:tc>
      </w:tr>
      <w:tr>
        <w:trPr>
          <w:trHeight w:val="162"/>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 interest</w:t>
            </w:r>
          </w:p>
        </w:tc>
        <w:tc>
          <w:tcPr>
            <w:tcW w:w="22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interest</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(decrease)</w:t>
            </w:r>
          </w:p>
        </w:tc>
      </w:tr>
      <w:tr>
        <w:trPr>
          <w:trHeight w:val="186"/>
        </w:trPr>
        <w:tc>
          <w:tcPr>
            <w:tcW w:w="472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220" w:type="dxa"/>
            <w:vAlign w:val="bottom"/>
          </w:tcPr>
          <w:p>
            <w:pPr>
              <w:spacing w:after="0"/>
              <w:rPr>
                <w:sz w:val="16"/>
                <w:szCs w:val="16"/>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6"/>
                <w:szCs w:val="16"/>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2"/>
              </w:rPr>
              <w:t>expense</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 net income</w:t>
            </w:r>
          </w:p>
        </w:tc>
      </w:tr>
      <w:tr>
        <w:trPr>
          <w:trHeight w:val="25"/>
        </w:trPr>
        <w:tc>
          <w:tcPr>
            <w:tcW w:w="4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1,684</w:t>
            </w:r>
          </w:p>
        </w:tc>
      </w:tr>
      <w:tr>
        <w:trPr>
          <w:trHeight w:val="256"/>
        </w:trPr>
        <w:tc>
          <w:tcPr>
            <w:tcW w:w="4720" w:type="dxa"/>
            <w:vAlign w:val="bottom"/>
          </w:tcPr>
          <w:p>
            <w:pPr>
              <w:spacing w:after="0"/>
              <w:rPr>
                <w:sz w:val="20"/>
                <w:szCs w:val="20"/>
                <w:color w:val="auto"/>
              </w:rPr>
            </w:pPr>
            <w:r>
              <w:rPr>
                <w:rFonts w:ascii="Arial" w:cs="Arial" w:eastAsia="Arial" w:hAnsi="Arial"/>
                <w:sz w:val="18"/>
                <w:szCs w:val="18"/>
                <w:color w:val="auto"/>
              </w:rPr>
              <w:t>Up 200 basis points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708</w:t>
            </w:r>
          </w:p>
        </w:tc>
      </w:tr>
      <w:tr>
        <w:trPr>
          <w:trHeight w:val="25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r>
      <w:tr>
        <w:trPr>
          <w:trHeight w:val="256"/>
        </w:trPr>
        <w:tc>
          <w:tcPr>
            <w:tcW w:w="4720" w:type="dxa"/>
            <w:vAlign w:val="bottom"/>
          </w:tcPr>
          <w:p>
            <w:pPr>
              <w:spacing w:after="0"/>
              <w:rPr>
                <w:sz w:val="20"/>
                <w:szCs w:val="20"/>
                <w:color w:val="auto"/>
              </w:rPr>
            </w:pPr>
            <w:r>
              <w:rPr>
                <w:rFonts w:ascii="Arial" w:cs="Arial" w:eastAsia="Arial" w:hAnsi="Arial"/>
                <w:sz w:val="18"/>
                <w:szCs w:val="18"/>
                <w:color w:val="auto"/>
              </w:rPr>
              <w:t>Down 100 basis points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Down 300 basis points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-1002665</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-1002665</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-1002665</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CONSOLIDATED FINANCIAL STATEMENTS AND SUPPLEMENTARY DATA</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
        </w:trPr>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7820" w:type="dxa"/>
            <w:vAlign w:val="bottom"/>
            <w:gridSpan w:val="4"/>
            <w:shd w:val="clear" w:color="auto" w:fill="CCEEFF"/>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Report of Independent Registered Public Accounting Firm</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F-1</w:t>
              </w:r>
            </w:hyperlink>
          </w:p>
        </w:tc>
      </w:tr>
      <w:tr>
        <w:trPr>
          <w:trHeight w:val="256"/>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Audited Financial Statements:</w:t>
            </w:r>
          </w:p>
        </w:tc>
        <w:tc>
          <w:tcPr>
            <w:tcW w:w="380" w:type="dxa"/>
            <w:vAlign w:val="bottom"/>
          </w:tcPr>
          <w:p>
            <w:pPr>
              <w:spacing w:after="0"/>
              <w:rPr>
                <w:sz w:val="22"/>
                <w:szCs w:val="22"/>
                <w:color w:val="auto"/>
              </w:rPr>
            </w:pPr>
          </w:p>
        </w:tc>
      </w:tr>
      <w:tr>
        <w:trPr>
          <w:trHeight w:val="257"/>
        </w:trPr>
        <w:tc>
          <w:tcPr>
            <w:tcW w:w="7820" w:type="dxa"/>
            <w:vAlign w:val="bottom"/>
            <w:gridSpan w:val="4"/>
            <w:shd w:val="clear" w:color="auto" w:fill="CCEEFF"/>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Consolidated Statements of Assets and Liabilities as of December 31, 2020 and 2019</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F-3</w:t>
              </w:r>
            </w:hyperlink>
          </w:p>
        </w:tc>
      </w:tr>
      <w:tr>
        <w:trPr>
          <w:trHeight w:val="270"/>
        </w:trPr>
        <w:tc>
          <w:tcPr>
            <w:tcW w:w="7820" w:type="dxa"/>
            <w:vAlign w:val="bottom"/>
            <w:gridSpan w:val="4"/>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Consolidated Statements of Operations for the years ended December 31, 2020, 2019, and 2018</w:t>
              </w:r>
            </w:hyperlink>
          </w:p>
        </w:tc>
        <w:tc>
          <w:tcPr>
            <w:tcW w:w="380" w:type="dxa"/>
            <w:vAlign w:val="bottom"/>
          </w:tcPr>
          <w:p>
            <w:pPr>
              <w:jc w:val="right"/>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F-4</w:t>
              </w:r>
            </w:hyperlink>
          </w:p>
        </w:tc>
      </w:tr>
      <w:tr>
        <w:trPr>
          <w:trHeight w:val="216"/>
        </w:trPr>
        <w:tc>
          <w:tcPr>
            <w:tcW w:w="736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Consolidated Statements of Changes in Net Assets for the years ended December 31, 2020, 2019,</w:t>
              </w:r>
            </w:hyperlink>
          </w:p>
        </w:tc>
        <w:tc>
          <w:tcPr>
            <w:tcW w:w="4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and 2018</w:t>
              </w:r>
            </w:hyperlink>
          </w:p>
        </w:tc>
        <w:tc>
          <w:tcPr>
            <w:tcW w:w="6940" w:type="dxa"/>
            <w:vAlign w:val="bottom"/>
            <w:tcBorders>
              <w:bottom w:val="single" w:sz="8" w:color="CCEEFF"/>
            </w:tcBorders>
            <w:gridSpan w:val="2"/>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F-5</w:t>
              </w:r>
            </w:hyperlink>
          </w:p>
        </w:tc>
      </w:tr>
      <w:tr>
        <w:trPr>
          <w:trHeight w:val="270"/>
        </w:trPr>
        <w:tc>
          <w:tcPr>
            <w:tcW w:w="7820" w:type="dxa"/>
            <w:vAlign w:val="bottom"/>
            <w:gridSpan w:val="4"/>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Consolidated Statements of Cash Flows for the years ended December 31, 2020, 2019, and 2018</w:t>
              </w:r>
            </w:hyperlink>
          </w:p>
        </w:tc>
        <w:tc>
          <w:tcPr>
            <w:tcW w:w="380" w:type="dxa"/>
            <w:vAlign w:val="bottom"/>
          </w:tcPr>
          <w:p>
            <w:pPr>
              <w:jc w:val="right"/>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F-6</w:t>
              </w:r>
            </w:hyperlink>
          </w:p>
        </w:tc>
      </w:tr>
      <w:tr>
        <w:trPr>
          <w:trHeight w:val="270"/>
        </w:trPr>
        <w:tc>
          <w:tcPr>
            <w:tcW w:w="7820" w:type="dxa"/>
            <w:vAlign w:val="bottom"/>
            <w:gridSpan w:val="4"/>
            <w:shd w:val="clear" w:color="auto" w:fill="CCEEFF"/>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Consolidated Schedules of Investments as of December 31, 2020 and 2019</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F-7</w:t>
              </w:r>
            </w:hyperlink>
          </w:p>
        </w:tc>
      </w:tr>
      <w:tr>
        <w:trPr>
          <w:trHeight w:val="270"/>
        </w:trPr>
        <w:tc>
          <w:tcPr>
            <w:tcW w:w="7820" w:type="dxa"/>
            <w:vAlign w:val="bottom"/>
            <w:gridSpan w:val="4"/>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Notes to Consolidated Financial Statements</w:t>
              </w:r>
            </w:hyperlink>
          </w:p>
        </w:tc>
        <w:tc>
          <w:tcPr>
            <w:tcW w:w="380" w:type="dxa"/>
            <w:vAlign w:val="bottom"/>
          </w:tcPr>
          <w:p>
            <w:pPr>
              <w:jc w:val="right"/>
              <w:spacing w:after="0"/>
              <w:rPr>
                <w:rFonts w:ascii="Arial" w:cs="Arial" w:eastAsia="Arial" w:hAnsi="Arial"/>
                <w:sz w:val="18"/>
                <w:szCs w:val="18"/>
                <w:u w:val="single" w:color="auto"/>
                <w:color w:val="0000EE"/>
                <w:w w:val="97"/>
              </w:rPr>
            </w:pPr>
            <w:hyperlink w:anchor="page122">
              <w:r>
                <w:rPr>
                  <w:rFonts w:ascii="Arial" w:cs="Arial" w:eastAsia="Arial" w:hAnsi="Arial"/>
                  <w:sz w:val="18"/>
                  <w:szCs w:val="18"/>
                  <w:u w:val="single" w:color="auto"/>
                  <w:color w:val="0000EE"/>
                  <w:w w:val="97"/>
                </w:rPr>
                <w:t>F-17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-1490980</wp:posOffset>
            </wp:positionV>
            <wp:extent cx="49720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2359" w:firstLine="1951"/>
        <w:spacing w:after="0" w:line="47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Capitala Finance Corp.</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7"/>
          <w:szCs w:val="17"/>
          <w:color w:val="auto"/>
        </w:rPr>
        <w:t>We have audited the accompanying consolidated statements of assets and liabilities of Capitala Finance Corp. (the “Company”), including the consolidated schedules of investments, as of December 31, 2020 and 2019, and the related consolidated statements of operations, changes in net assets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changes in its net assets, and its cash flows for each of the three years in the period ended December 31, 2020, in conformity with U.S. generally accepted accounting principles.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procedures included confirmation of securities owned as of December 31, 2020 and 2019 by correspondence with the custodian and directly with management or designees of the underlying investee, as applicable.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Valuation of investments using significant unobservable inputs</w:t>
      </w:r>
    </w:p>
    <w:p>
      <w:pPr>
        <w:spacing w:after="0" w:line="23" w:lineRule="exact"/>
        <w:rPr>
          <w:sz w:val="20"/>
          <w:szCs w:val="20"/>
          <w:color w:val="auto"/>
        </w:rPr>
      </w:pPr>
    </w:p>
    <w:p>
      <w:pPr>
        <w:ind w:left="3640" w:right="439" w:hanging="2375"/>
        <w:spacing w:after="0" w:line="270" w:lineRule="auto"/>
        <w:tabs>
          <w:tab w:leader="none" w:pos="362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At December 31, 2020, the fair value of the Company’s investments categorized as Level 3 investments in the fair value hierarchy totaled $274,199 thousand. Management determines the fair value of the Company’s Level 3 investments by applying the investment valuation methodologies outlined in Notes 2 and 4 to the consolidated financial statements, which describe the use of significant unobservable inputs, and</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40" w:right="559"/>
        <w:spacing w:after="0" w:line="256" w:lineRule="auto"/>
        <w:rPr>
          <w:sz w:val="20"/>
          <w:szCs w:val="20"/>
          <w:color w:val="auto"/>
        </w:rPr>
      </w:pPr>
      <w:r>
        <w:rPr>
          <w:rFonts w:ascii="Arial" w:cs="Arial" w:eastAsia="Arial" w:hAnsi="Arial"/>
          <w:sz w:val="18"/>
          <w:szCs w:val="18"/>
          <w:color w:val="auto"/>
        </w:rPr>
        <w:t>assumptions about the inputs that management believes market participants would use based on the best information available. These inputs and assumptions include required rates of return, EBITDA and revenue multiples, and adjusted EBITDA and revenue, which are significant to the valuation of these investments.</w:t>
      </w:r>
    </w:p>
    <w:p>
      <w:pPr>
        <w:spacing w:after="0" w:line="3" w:lineRule="exact"/>
        <w:rPr>
          <w:sz w:val="20"/>
          <w:szCs w:val="20"/>
          <w:color w:val="auto"/>
        </w:rPr>
      </w:pPr>
    </w:p>
    <w:p>
      <w:pPr>
        <w:ind w:left="3640" w:right="639"/>
        <w:spacing w:after="0" w:line="257" w:lineRule="auto"/>
        <w:rPr>
          <w:sz w:val="20"/>
          <w:szCs w:val="20"/>
          <w:color w:val="auto"/>
        </w:rPr>
      </w:pPr>
      <w:r>
        <w:rPr>
          <w:rFonts w:ascii="Arial" w:cs="Arial" w:eastAsia="Arial" w:hAnsi="Arial"/>
          <w:sz w:val="18"/>
          <w:szCs w:val="18"/>
          <w:color w:val="auto"/>
        </w:rPr>
        <w:t>Auditing the fair value of the Company’s Level 3 investments involved complex judgment due to the significant assumptions that drive the unobservable inputs used by the Company in determining the fair value of the investments and could have a significant effect on the fair value measurements of such investments.</w:t>
      </w:r>
    </w:p>
    <w:p>
      <w:pPr>
        <w:sectPr>
          <w:pgSz w:w="11900" w:h="16838" w:orient="portrait"/>
          <w:cols w:equalWidth="0" w:num="1">
            <w:col w:w="9879"/>
          </w:cols>
          <w:pgMar w:left="580" w:top="131" w:right="1440" w:bottom="1440" w:gutter="0" w:footer="0" w:header="0"/>
        </w:sectPr>
      </w:pP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How we addressed the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ind w:right="419"/>
        <w:spacing w:after="0" w:line="266" w:lineRule="auto"/>
        <w:rPr>
          <w:sz w:val="20"/>
          <w:szCs w:val="20"/>
          <w:color w:val="auto"/>
        </w:rPr>
      </w:pPr>
      <w:r>
        <w:rPr>
          <w:rFonts w:ascii="Arial" w:cs="Arial" w:eastAsia="Arial" w:hAnsi="Arial"/>
          <w:sz w:val="17"/>
          <w:szCs w:val="17"/>
          <w:color w:val="auto"/>
        </w:rPr>
        <w:t>To test the Company’s fair value of Level 3 investments, our audit procedures included, among others, evaluating the valuation methodologies and significant unobservable inputs and assumptions used by management in determining the Company’s fair value of Level 3 investments. We tested the clerical accuracy of the calculations used in each Level 3 investment valuation, and we reviewed the information applicable to each Level 3 investment that was considered by the Board of Directors in relation to the Company’s determination of fair value. We searched for and evaluated information that corroborated or contradicted the Company’s significant inputs and assumptions. To evaluate the significant unobservable inputs used in the Level 3 investment valuations, we assessed whether these inputs were developed in a manner consistent with the Company’s valuation policies. Additionally, we tested the significant unobservable inputs for a sample of investments by performing certain procedures, which included but were not limited to, comparison of rates of return, and EBITDA and revenue multiples to information available from third-party market research providers, and comparison of adjusted EBITDA and revenue to agreements and/or underlying source documents. For a sample of the Company’s Level 3 investments and with the assistance of our internal valuation specialists, we independently developed fair value estimate ranges for comparison to management’s estimates. We developed our independent fair value estimates by using portfolio company financial information, which we compared to underlying source documents, and available market information from third-party sources, such as market spreads, market multiples, and leverage. We also evaluated subsequent events and other available information for consideration of whether the information corroborated or contradicted the Company’s year-end investment valuations.</w:t>
      </w:r>
    </w:p>
    <w:p>
      <w:pPr>
        <w:spacing w:after="0" w:line="200" w:lineRule="exact"/>
        <w:rPr>
          <w:sz w:val="20"/>
          <w:szCs w:val="20"/>
          <w:color w:val="auto"/>
        </w:rPr>
      </w:pPr>
    </w:p>
    <w:p>
      <w:pPr>
        <w:sectPr>
          <w:pgSz w:w="11900" w:h="16838" w:orient="portrait"/>
          <w:cols w:equalWidth="0" w:num="2">
            <w:col w:w="2940" w:space="700"/>
            <w:col w:w="6239"/>
          </w:cols>
          <w:pgMar w:left="580" w:top="131" w:right="1440" w:bottom="1440" w:gutter="0" w:footer="0" w:header="0"/>
          <w:type w:val="continuous"/>
        </w:sectPr>
      </w:pP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have served as the Company’s auditor since 2013.</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jc w:val="right"/>
        <w:ind w:right="273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right"/>
        <w:ind w:right="27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right"/>
              <w:ind w:right="220"/>
              <w:spacing w:after="0" w:line="147" w:lineRule="exact"/>
              <w:rPr>
                <w:sz w:val="20"/>
                <w:szCs w:val="20"/>
                <w:color w:val="auto"/>
              </w:rPr>
            </w:pPr>
            <w:r>
              <w:rPr>
                <w:rFonts w:ascii="Arial" w:cs="Arial" w:eastAsia="Arial" w:hAnsi="Arial"/>
                <w:sz w:val="14"/>
                <w:szCs w:val="14"/>
                <w:b w:val="1"/>
                <w:bCs w:val="1"/>
                <w:color w:val="auto"/>
                <w:w w:val="81"/>
              </w:rPr>
              <w:t>December 31,</w:t>
            </w:r>
          </w:p>
        </w:tc>
        <w:tc>
          <w:tcPr>
            <w:tcW w:w="840" w:type="dxa"/>
            <w:vAlign w:val="bottom"/>
            <w:gridSpan w:val="4"/>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61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Non-control/non-affiliate investments (amortized cost of $187,744 and</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$250,433, respectively)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172,848</w:t>
            </w:r>
          </w:p>
        </w:tc>
        <w:tc>
          <w:tcPr>
            <w:tcW w:w="2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241,046</w:t>
            </w:r>
          </w:p>
        </w:tc>
        <w:tc>
          <w:tcPr>
            <w:tcW w:w="0" w:type="dxa"/>
            <w:vAlign w:val="bottom"/>
          </w:tcPr>
          <w:p>
            <w:pPr>
              <w:spacing w:after="0"/>
              <w:rPr>
                <w:sz w:val="1"/>
                <w:szCs w:val="1"/>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w w:val="99"/>
              </w:rPr>
              <w:t>Affiliate investments (amortized cost of $80,961 and $80,756,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98,763</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 investments (amortized cost of $8,947 and $22,692, respectively)</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22,723</w:t>
            </w:r>
          </w:p>
        </w:tc>
        <w:tc>
          <w:tcPr>
            <w:tcW w:w="0" w:type="dxa"/>
            <w:vAlign w:val="bottom"/>
          </w:tcPr>
          <w:p>
            <w:pPr>
              <w:spacing w:after="0"/>
              <w:rPr>
                <w:sz w:val="1"/>
                <w:szCs w:val="1"/>
                <w:color w:val="auto"/>
              </w:rPr>
            </w:pPr>
          </w:p>
        </w:tc>
      </w:tr>
      <w:tr>
        <w:trPr>
          <w:trHeight w:val="195"/>
        </w:trPr>
        <w:tc>
          <w:tcPr>
            <w:tcW w:w="6140" w:type="dxa"/>
            <w:vAlign w:val="bottom"/>
            <w:tcBorders>
              <w:top w:val="single" w:sz="8" w:color="CCEEFF"/>
            </w:tcBorders>
          </w:tcPr>
          <w:p>
            <w:pPr>
              <w:ind w:left="180"/>
              <w:spacing w:after="0" w:line="195" w:lineRule="exact"/>
              <w:rPr>
                <w:sz w:val="20"/>
                <w:szCs w:val="20"/>
                <w:color w:val="auto"/>
              </w:rPr>
            </w:pPr>
            <w:r>
              <w:rPr>
                <w:rFonts w:ascii="Arial" w:cs="Arial" w:eastAsia="Arial" w:hAnsi="Arial"/>
                <w:sz w:val="18"/>
                <w:szCs w:val="18"/>
                <w:color w:val="auto"/>
              </w:rPr>
              <w:t>Total investments at fair value (amortized cost of $277,652 and $353,881,</w:t>
            </w: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274,692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362,532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62,321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Deferred tax asset,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0"/>
        </w:trPr>
        <w:tc>
          <w:tcPr>
            <w:tcW w:w="614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327,997</w:t>
            </w:r>
          </w:p>
        </w:tc>
        <w:tc>
          <w:tcPr>
            <w:tcW w:w="20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427,337</w:t>
            </w: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w w:val="94"/>
              </w:rPr>
              <w:t>SBA-guaranteed debentures (net of deferred financing costs of $485 and $1,006,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90,515</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148,994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99"/>
              </w:rPr>
              <w:t>2022 Notes (net of deferred financing costs of $846 and $1,447, respectively)</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73,553</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2022 Convertible Notes (net of deferred financing costs of $552 and $916,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51,536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51,172</w:t>
            </w:r>
          </w:p>
        </w:tc>
        <w:tc>
          <w:tcPr>
            <w:tcW w:w="0" w:type="dxa"/>
            <w:vAlign w:val="bottom"/>
          </w:tcPr>
          <w:p>
            <w:pPr>
              <w:spacing w:after="0"/>
              <w:rPr>
                <w:sz w:val="1"/>
                <w:szCs w:val="1"/>
                <w:color w:val="auto"/>
              </w:rPr>
            </w:pP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ING Credit Facility (net of deferred financing costs of $0 and $1,165,</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KeyBank Credit Facility (net of deferred financing costs of $546 and $0,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6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219,050</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279,224</w:t>
            </w:r>
          </w:p>
        </w:tc>
        <w:tc>
          <w:tcPr>
            <w:tcW w:w="0" w:type="dxa"/>
            <w:vAlign w:val="bottom"/>
          </w:tcPr>
          <w:p>
            <w:pPr>
              <w:spacing w:after="0"/>
              <w:rPr>
                <w:sz w:val="1"/>
                <w:szCs w:val="1"/>
                <w:color w:val="auto"/>
              </w:rPr>
            </w:pPr>
          </w:p>
        </w:tc>
      </w:tr>
      <w:tr>
        <w:trPr>
          <w:trHeight w:val="318"/>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right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140" w:type="dxa"/>
            <w:vAlign w:val="bottom"/>
          </w:tcPr>
          <w:p>
            <w:pPr>
              <w:spacing w:after="0"/>
              <w:rPr>
                <w:sz w:val="20"/>
                <w:szCs w:val="20"/>
                <w:color w:val="auto"/>
              </w:rPr>
            </w:pPr>
            <w:r>
              <w:rPr>
                <w:rFonts w:ascii="Arial" w:cs="Arial" w:eastAsia="Arial" w:hAnsi="Arial"/>
                <w:sz w:val="18"/>
                <w:szCs w:val="18"/>
                <w:color w:val="auto"/>
              </w:rPr>
              <w:t>NET ASSETS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100,000,000 common shares authorized,</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140" w:type="dxa"/>
            <w:vAlign w:val="bottom"/>
            <w:shd w:val="clear" w:color="auto" w:fill="CCEEFF"/>
          </w:tcPr>
          <w:p>
            <w:pPr>
              <w:ind w:left="180"/>
              <w:spacing w:after="0" w:line="179" w:lineRule="exact"/>
              <w:rPr>
                <w:sz w:val="20"/>
                <w:szCs w:val="20"/>
                <w:color w:val="auto"/>
              </w:rPr>
            </w:pPr>
            <w:r>
              <w:rPr>
                <w:rFonts w:ascii="Arial" w:cs="Arial" w:eastAsia="Arial" w:hAnsi="Arial"/>
                <w:sz w:val="18"/>
                <w:szCs w:val="18"/>
                <w:color w:val="auto"/>
              </w:rPr>
              <w:t>2,711,068 and 2,700,628 common shares issued and outstanding,</w:t>
            </w: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6140" w:type="dxa"/>
            <w:vAlign w:val="bottom"/>
            <w:shd w:val="clear" w:color="auto" w:fill="CCEEFF"/>
          </w:tcPr>
          <w:p>
            <w:pPr>
              <w:ind w:left="180"/>
              <w:spacing w:after="0" w:line="281" w:lineRule="exact"/>
              <w:rPr>
                <w:sz w:val="20"/>
                <w:szCs w:val="20"/>
                <w:color w:val="auto"/>
              </w:rPr>
            </w:pPr>
            <w:r>
              <w:rPr>
                <w:rFonts w:ascii="Arial" w:cs="Arial" w:eastAsia="Arial" w:hAnsi="Arial"/>
                <w:sz w:val="18"/>
                <w:szCs w:val="18"/>
                <w:color w:val="auto"/>
              </w:rPr>
              <w:t>respectively</w:t>
            </w:r>
            <w:r>
              <w:rPr>
                <w:rFonts w:ascii="Arial" w:cs="Arial" w:eastAsia="Arial" w:hAnsi="Arial"/>
                <w:sz w:val="26"/>
                <w:szCs w:val="26"/>
                <w:color w:val="auto"/>
                <w:vertAlign w:val="superscript"/>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229,481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238,021</w:t>
            </w: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loss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(120,561)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(89,935)</w:t>
            </w:r>
          </w:p>
        </w:tc>
        <w:tc>
          <w:tcPr>
            <w:tcW w:w="0" w:type="dxa"/>
            <w:vAlign w:val="bottom"/>
          </w:tcPr>
          <w:p>
            <w:pPr>
              <w:spacing w:after="0"/>
              <w:rPr>
                <w:sz w:val="1"/>
                <w:szCs w:val="1"/>
                <w:color w:val="auto"/>
              </w:rPr>
            </w:pPr>
          </w:p>
        </w:tc>
      </w:tr>
      <w:tr>
        <w:trPr>
          <w:trHeight w:val="20"/>
        </w:trPr>
        <w:tc>
          <w:tcPr>
            <w:tcW w:w="6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tcPr>
          <w:p>
            <w:pPr>
              <w:ind w:left="180"/>
              <w:spacing w:after="0"/>
              <w:rPr>
                <w:sz w:val="20"/>
                <w:szCs w:val="20"/>
                <w:color w:val="auto"/>
              </w:rPr>
            </w:pPr>
            <w:r>
              <w:rPr>
                <w:rFonts w:ascii="Arial" w:cs="Arial" w:eastAsia="Arial" w:hAnsi="Arial"/>
                <w:sz w:val="18"/>
                <w:szCs w:val="18"/>
                <w:color w:val="auto"/>
              </w:rPr>
              <w:t>Total net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108,947</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148,113</w:t>
            </w:r>
          </w:p>
        </w:tc>
        <w:tc>
          <w:tcPr>
            <w:tcW w:w="0" w:type="dxa"/>
            <w:vAlign w:val="bottom"/>
          </w:tcPr>
          <w:p>
            <w:pPr>
              <w:spacing w:after="0"/>
              <w:rPr>
                <w:sz w:val="1"/>
                <w:szCs w:val="1"/>
                <w:color w:val="auto"/>
              </w:rPr>
            </w:pPr>
          </w:p>
        </w:tc>
      </w:tr>
      <w:tr>
        <w:trPr>
          <w:trHeight w:val="20"/>
        </w:trPr>
        <w:tc>
          <w:tcPr>
            <w:tcW w:w="6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327,997</w:t>
            </w:r>
          </w:p>
        </w:tc>
        <w:tc>
          <w:tcPr>
            <w:tcW w:w="2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427,337</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26"/>
                <w:szCs w:val="26"/>
                <w:color w:val="auto"/>
                <w:vertAlign w:val="superscript"/>
              </w:rPr>
              <w:t>(1)</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140" w:type="dxa"/>
            <w:vAlign w:val="bottom"/>
            <w:vMerge w:val="continue"/>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40.19</w:t>
            </w:r>
          </w:p>
        </w:tc>
        <w:tc>
          <w:tcPr>
            <w:tcW w:w="2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-386080</wp:posOffset>
            </wp:positionV>
            <wp:extent cx="52120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-1706245</wp:posOffset>
            </wp:positionV>
            <wp:extent cx="52120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-5735320</wp:posOffset>
            </wp:positionV>
            <wp:extent cx="46716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716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101600</wp:posOffset>
            </wp:positionV>
            <wp:extent cx="12344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9" w:lineRule="exact"/>
        <w:rPr>
          <w:sz w:val="20"/>
          <w:szCs w:val="20"/>
          <w:color w:val="auto"/>
        </w:rPr>
      </w:pPr>
    </w:p>
    <w:p>
      <w:pPr>
        <w:jc w:val="both"/>
        <w:ind w:left="1620" w:right="419" w:hanging="360"/>
        <w:spacing w:after="0" w:line="286" w:lineRule="auto"/>
        <w:tabs>
          <w:tab w:leader="none" w:pos="1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Authorized, issued and outstanding shares of Capitala Finance Corp.’s (the “Company”) common stock and net asset value per share have been adjusted for the periods shown to reflect the one-for-six reverse stock split effected on August 21, 2020 on a retroactive basis, as described in Note 1.</w:t>
      </w:r>
    </w:p>
    <w:p>
      <w:pPr>
        <w:spacing w:after="0" w:line="4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80" w:type="dxa"/>
            <w:vAlign w:val="bottom"/>
            <w:tcBorders>
              <w:right w:val="single" w:sz="8" w:color="CCEEFF"/>
            </w:tcBorders>
            <w:gridSpan w:val="2"/>
            <w:shd w:val="clear" w:color="auto" w:fill="CCEEFF"/>
          </w:tcPr>
          <w:p>
            <w:pPr>
              <w:spacing w:after="0" w:line="156" w:lineRule="exact"/>
              <w:rPr>
                <w:sz w:val="20"/>
                <w:szCs w:val="20"/>
                <w:color w:val="auto"/>
              </w:rPr>
            </w:pPr>
            <w:r>
              <w:rPr>
                <w:rFonts w:ascii="Arial" w:cs="Arial" w:eastAsia="Arial" w:hAnsi="Arial"/>
                <w:sz w:val="15"/>
                <w:szCs w:val="15"/>
                <w:color w:val="auto"/>
              </w:rPr>
              <w:t>INVESTMENT INCOME</w:t>
            </w: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80" w:type="dxa"/>
            <w:vAlign w:val="bottom"/>
            <w:gridSpan w:val="2"/>
          </w:tcPr>
          <w:p>
            <w:pPr>
              <w:spacing w:after="0" w:line="162" w:lineRule="exact"/>
              <w:rPr>
                <w:sz w:val="20"/>
                <w:szCs w:val="20"/>
                <w:color w:val="auto"/>
              </w:rPr>
            </w:pPr>
            <w:r>
              <w:rPr>
                <w:rFonts w:ascii="Arial" w:cs="Arial" w:eastAsia="Arial" w:hAnsi="Arial"/>
                <w:sz w:val="15"/>
                <w:szCs w:val="15"/>
                <w:color w:val="auto"/>
              </w:rPr>
              <w:t>Interest and fee income: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80" w:type="dxa"/>
            <w:vAlign w:val="bottom"/>
            <w:tcBorders>
              <w:right w:val="single" w:sz="8" w:color="CCEEFF"/>
            </w:tcBorders>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Non-control/non-affiliate investments</w:t>
            </w:r>
          </w:p>
        </w:tc>
        <w:tc>
          <w:tcPr>
            <w:tcW w:w="82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   17,387</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27,659</w:t>
            </w: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27,754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Affiliate investments</w:t>
            </w:r>
          </w:p>
        </w:tc>
        <w:tc>
          <w:tcPr>
            <w:tcW w:w="8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6,650</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8,351</w:t>
            </w:r>
          </w:p>
        </w:tc>
        <w:tc>
          <w:tcPr>
            <w:tcW w:w="1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7,945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Control investments</w:t>
            </w:r>
          </w:p>
        </w:tc>
        <w:tc>
          <w:tcPr>
            <w:tcW w:w="12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w:t>
            </w: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1,566</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80" w:type="dxa"/>
            <w:vAlign w:val="bottom"/>
            <w:tcBorders>
              <w:top w:val="single" w:sz="8" w:color="CCEEFF"/>
              <w:bottom w:val="single" w:sz="8" w:color="CCEEFF"/>
            </w:tcBorders>
            <w:gridSpan w:val="2"/>
          </w:tcPr>
          <w:p>
            <w:pPr>
              <w:ind w:left="140"/>
              <w:spacing w:after="0" w:line="169" w:lineRule="exact"/>
              <w:rPr>
                <w:sz w:val="20"/>
                <w:szCs w:val="20"/>
                <w:color w:val="auto"/>
              </w:rPr>
            </w:pPr>
            <w:r>
              <w:rPr>
                <w:rFonts w:ascii="Arial" w:cs="Arial" w:eastAsia="Arial" w:hAnsi="Arial"/>
                <w:sz w:val="15"/>
                <w:szCs w:val="15"/>
                <w:color w:val="auto"/>
              </w:rPr>
              <w:t>Total interest and fee income</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24,447</w:t>
            </w:r>
          </w:p>
        </w:tc>
        <w:tc>
          <w:tcPr>
            <w:tcW w:w="12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37,576</w:t>
            </w:r>
          </w:p>
        </w:tc>
        <w:tc>
          <w:tcPr>
            <w:tcW w:w="12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Payment-in-kind interest and dividend income:</w:t>
            </w:r>
          </w:p>
        </w:tc>
        <w:tc>
          <w:tcPr>
            <w:tcW w:w="7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73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Non-control/non-affiliate investments</w:t>
            </w:r>
          </w:p>
        </w:tc>
        <w:tc>
          <w:tcPr>
            <w:tcW w:w="8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1,105</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1,721</w:t>
            </w:r>
          </w:p>
        </w:tc>
        <w:tc>
          <w:tcPr>
            <w:tcW w:w="1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2,248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80" w:type="dxa"/>
            <w:vAlign w:val="bottom"/>
            <w:tcBorders>
              <w:right w:val="single" w:sz="8" w:color="CCEEFF"/>
            </w:tcBorders>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Affiliate investments</w:t>
            </w:r>
          </w:p>
        </w:tc>
        <w:tc>
          <w:tcPr>
            <w:tcW w:w="82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818</w:t>
            </w: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869</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80" w:type="dxa"/>
            <w:vAlign w:val="bottom"/>
            <w:gridSpan w:val="2"/>
          </w:tcPr>
          <w:p>
            <w:pPr>
              <w:ind w:left="140"/>
              <w:spacing w:after="0"/>
              <w:rPr>
                <w:sz w:val="20"/>
                <w:szCs w:val="20"/>
                <w:color w:val="auto"/>
              </w:rPr>
            </w:pPr>
            <w:r>
              <w:rPr>
                <w:rFonts w:ascii="Arial" w:cs="Arial" w:eastAsia="Arial" w:hAnsi="Arial"/>
                <w:sz w:val="15"/>
                <w:szCs w:val="15"/>
                <w:color w:val="auto"/>
              </w:rPr>
              <w:t>Control investments</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372</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60" w:type="dxa"/>
            <w:vAlign w:val="bottom"/>
            <w:tcBorders>
              <w:top w:val="single" w:sz="8" w:color="CCEEFF"/>
              <w:bottom w:val="single" w:sz="8" w:color="CCEEFF"/>
            </w:tcBorders>
            <w:shd w:val="clear" w:color="auto" w:fill="CCEEFF"/>
          </w:tcPr>
          <w:p>
            <w:pPr>
              <w:ind w:left="140"/>
              <w:spacing w:after="0" w:line="169" w:lineRule="exact"/>
              <w:rPr>
                <w:sz w:val="20"/>
                <w:szCs w:val="20"/>
                <w:color w:val="auto"/>
              </w:rPr>
            </w:pPr>
            <w:r>
              <w:rPr>
                <w:rFonts w:ascii="Arial" w:cs="Arial" w:eastAsia="Arial" w:hAnsi="Arial"/>
                <w:sz w:val="15"/>
                <w:szCs w:val="15"/>
                <w:color w:val="auto"/>
              </w:rPr>
              <w:t>Total payment-in-kind interest and dividend income</w:t>
            </w: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1,923</w:t>
            </w: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2,962</w:t>
            </w: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4,348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380" w:type="dxa"/>
            <w:vAlign w:val="bottom"/>
            <w:gridSpan w:val="2"/>
          </w:tcPr>
          <w:p>
            <w:pPr>
              <w:spacing w:after="0"/>
              <w:rPr>
                <w:sz w:val="20"/>
                <w:szCs w:val="20"/>
                <w:color w:val="auto"/>
              </w:rPr>
            </w:pPr>
            <w:r>
              <w:rPr>
                <w:rFonts w:ascii="Arial" w:cs="Arial" w:eastAsia="Arial" w:hAnsi="Arial"/>
                <w:sz w:val="15"/>
                <w:szCs w:val="15"/>
                <w:color w:val="auto"/>
              </w:rPr>
              <w:t>Dividend income: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7380" w:type="dxa"/>
            <w:vAlign w:val="bottom"/>
            <w:tcBorders>
              <w:right w:val="single" w:sz="8" w:color="CCEEFF"/>
            </w:tcBorders>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Non-control/non-affiliate investments</w:t>
            </w:r>
          </w:p>
        </w:tc>
        <w:tc>
          <w:tcPr>
            <w:tcW w:w="82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1,345</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Affiliate investments</w:t>
            </w:r>
          </w:p>
        </w:tc>
        <w:tc>
          <w:tcPr>
            <w:tcW w:w="8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25</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50</w:t>
            </w:r>
          </w:p>
        </w:tc>
        <w:tc>
          <w:tcPr>
            <w:tcW w:w="1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Control investments</w:t>
            </w:r>
          </w:p>
        </w:tc>
        <w:tc>
          <w:tcPr>
            <w:tcW w:w="12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1,904</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gridSpan w:val="2"/>
          </w:tcPr>
          <w:p>
            <w:pPr>
              <w:ind w:left="140"/>
              <w:spacing w:after="0"/>
              <w:rPr>
                <w:sz w:val="20"/>
                <w:szCs w:val="20"/>
                <w:color w:val="auto"/>
              </w:rPr>
            </w:pPr>
            <w:r>
              <w:rPr>
                <w:rFonts w:ascii="Arial" w:cs="Arial" w:eastAsia="Arial" w:hAnsi="Arial"/>
                <w:sz w:val="15"/>
                <w:szCs w:val="15"/>
                <w:color w:val="auto"/>
              </w:rPr>
              <w:t>Total dividend income</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3,299</w:t>
            </w:r>
          </w:p>
        </w:tc>
        <w:tc>
          <w:tcPr>
            <w:tcW w:w="16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20"/>
        </w:trPr>
        <w:tc>
          <w:tcPr>
            <w:tcW w:w="72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from cash and cash equivalents</w:t>
            </w:r>
          </w:p>
        </w:tc>
        <w:tc>
          <w:tcPr>
            <w:tcW w:w="12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w:t>
            </w: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198</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gridSpan w:val="2"/>
          </w:tcPr>
          <w:p>
            <w:pPr>
              <w:ind w:left="140"/>
              <w:spacing w:after="0"/>
              <w:rPr>
                <w:sz w:val="20"/>
                <w:szCs w:val="20"/>
                <w:color w:val="auto"/>
              </w:rPr>
            </w:pPr>
            <w:r>
              <w:rPr>
                <w:rFonts w:ascii="Arial" w:cs="Arial" w:eastAsia="Arial" w:hAnsi="Arial"/>
                <w:sz w:val="15"/>
                <w:szCs w:val="15"/>
                <w:color w:val="auto"/>
              </w:rPr>
              <w:t>Total investment income</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26,446</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44,035</w:t>
            </w:r>
          </w:p>
        </w:tc>
        <w:tc>
          <w:tcPr>
            <w:tcW w:w="16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47,293</w:t>
            </w:r>
          </w:p>
        </w:tc>
        <w:tc>
          <w:tcPr>
            <w:tcW w:w="0" w:type="dxa"/>
            <w:vAlign w:val="bottom"/>
          </w:tcPr>
          <w:p>
            <w:pPr>
              <w:spacing w:after="0"/>
              <w:rPr>
                <w:sz w:val="1"/>
                <w:szCs w:val="1"/>
                <w:color w:val="auto"/>
              </w:rPr>
            </w:pPr>
          </w:p>
        </w:tc>
      </w:tr>
      <w:tr>
        <w:trPr>
          <w:trHeight w:val="277"/>
        </w:trPr>
        <w:tc>
          <w:tcPr>
            <w:tcW w:w="73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EXPENSES</w:t>
            </w:r>
          </w:p>
        </w:tc>
        <w:tc>
          <w:tcPr>
            <w:tcW w:w="7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80" w:type="dxa"/>
            <w:vAlign w:val="bottom"/>
            <w:gridSpan w:val="2"/>
          </w:tcPr>
          <w:p>
            <w:pPr>
              <w:spacing w:after="0"/>
              <w:rPr>
                <w:sz w:val="20"/>
                <w:szCs w:val="20"/>
                <w:color w:val="auto"/>
              </w:rPr>
            </w:pPr>
            <w:r>
              <w:rPr>
                <w:rFonts w:ascii="Arial" w:cs="Arial" w:eastAsia="Arial" w:hAnsi="Arial"/>
                <w:sz w:val="15"/>
                <w:szCs w:val="15"/>
                <w:color w:val="auto"/>
              </w:rPr>
              <w:t>Interest and financing expenses</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15,144</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17,121</w:t>
            </w:r>
          </w:p>
        </w:tc>
        <w:tc>
          <w:tcPr>
            <w:tcW w:w="16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17,283</w:t>
            </w:r>
          </w:p>
        </w:tc>
        <w:tc>
          <w:tcPr>
            <w:tcW w:w="0" w:type="dxa"/>
            <w:vAlign w:val="bottom"/>
          </w:tcPr>
          <w:p>
            <w:pPr>
              <w:spacing w:after="0"/>
              <w:rPr>
                <w:sz w:val="1"/>
                <w:szCs w:val="1"/>
                <w:color w:val="auto"/>
              </w:rPr>
            </w:pPr>
          </w:p>
        </w:tc>
      </w:tr>
      <w:tr>
        <w:trPr>
          <w:trHeight w:val="176"/>
        </w:trPr>
        <w:tc>
          <w:tcPr>
            <w:tcW w:w="7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Base management fee</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6,428</w:t>
            </w: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7,967</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80" w:type="dxa"/>
            <w:vAlign w:val="bottom"/>
            <w:gridSpan w:val="2"/>
          </w:tcPr>
          <w:p>
            <w:pPr>
              <w:spacing w:after="0"/>
              <w:rPr>
                <w:sz w:val="20"/>
                <w:szCs w:val="20"/>
                <w:color w:val="auto"/>
              </w:rPr>
            </w:pPr>
            <w:r>
              <w:rPr>
                <w:rFonts w:ascii="Arial" w:cs="Arial" w:eastAsia="Arial" w:hAnsi="Arial"/>
                <w:sz w:val="15"/>
                <w:szCs w:val="15"/>
                <w:color w:val="auto"/>
              </w:rPr>
              <w:t>Incentive fees</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1,497</w:t>
            </w:r>
          </w:p>
        </w:tc>
        <w:tc>
          <w:tcPr>
            <w:tcW w:w="16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175"/>
        </w:trPr>
        <w:tc>
          <w:tcPr>
            <w:tcW w:w="7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Administrative service fees</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1,400</w:t>
            </w: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1,400</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gridSpan w:val="2"/>
          </w:tcPr>
          <w:p>
            <w:pPr>
              <w:spacing w:after="0"/>
              <w:rPr>
                <w:sz w:val="20"/>
                <w:szCs w:val="20"/>
                <w:color w:val="auto"/>
              </w:rPr>
            </w:pPr>
            <w:r>
              <w:rPr>
                <w:rFonts w:ascii="Arial" w:cs="Arial" w:eastAsia="Arial" w:hAnsi="Arial"/>
                <w:sz w:val="15"/>
                <w:szCs w:val="15"/>
                <w:color w:val="auto"/>
              </w:rPr>
              <w:t>General and administrative expenses</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3,416</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3,295</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3,295</w:t>
            </w:r>
          </w:p>
        </w:tc>
        <w:tc>
          <w:tcPr>
            <w:tcW w:w="0" w:type="dxa"/>
            <w:vAlign w:val="bottom"/>
          </w:tcPr>
          <w:p>
            <w:pPr>
              <w:spacing w:after="0"/>
              <w:rPr>
                <w:sz w:val="1"/>
                <w:szCs w:val="1"/>
                <w:color w:val="auto"/>
              </w:rPr>
            </w:pPr>
          </w:p>
        </w:tc>
      </w:tr>
      <w:tr>
        <w:trPr>
          <w:trHeight w:val="20"/>
        </w:trPr>
        <w:tc>
          <w:tcPr>
            <w:tcW w:w="7380" w:type="dxa"/>
            <w:vAlign w:val="bottom"/>
            <w:tcBorders>
              <w:right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5"/>
                <w:szCs w:val="15"/>
                <w:color w:val="auto"/>
              </w:rPr>
              <w:t>Expenses before incentive fee waiver</w:t>
            </w: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80" w:type="dxa"/>
            <w:vAlign w:val="bottom"/>
            <w:tcBorders>
              <w:right w:val="single" w:sz="8" w:color="CCEEFF"/>
            </w:tcBorders>
            <w:gridSpan w:val="2"/>
            <w:vMerge w:val="continue"/>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26,388</w:t>
            </w: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31,280</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31,271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80" w:type="dxa"/>
            <w:vAlign w:val="bottom"/>
            <w:gridSpan w:val="2"/>
          </w:tcPr>
          <w:p>
            <w:pPr>
              <w:ind w:left="140"/>
              <w:spacing w:after="0"/>
              <w:rPr>
                <w:sz w:val="20"/>
                <w:szCs w:val="20"/>
                <w:color w:val="auto"/>
              </w:rPr>
            </w:pPr>
            <w:r>
              <w:rPr>
                <w:rFonts w:ascii="Arial" w:cs="Arial" w:eastAsia="Arial" w:hAnsi="Arial"/>
                <w:sz w:val="15"/>
                <w:szCs w:val="15"/>
                <w:color w:val="auto"/>
              </w:rPr>
              <w:t>Incentive fee waiver (See Note 6)</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(288)</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2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expenses</w:t>
            </w:r>
          </w:p>
        </w:tc>
        <w:tc>
          <w:tcPr>
            <w:tcW w:w="12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26,388</w:t>
            </w: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30,992</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gridSpan w:val="2"/>
          </w:tcPr>
          <w:p>
            <w:pPr>
              <w:ind w:left="140"/>
              <w:spacing w:after="0"/>
              <w:rPr>
                <w:sz w:val="20"/>
                <w:szCs w:val="20"/>
                <w:color w:val="auto"/>
              </w:rPr>
            </w:pPr>
            <w:r>
              <w:rPr>
                <w:rFonts w:ascii="Arial" w:cs="Arial" w:eastAsia="Arial" w:hAnsi="Arial"/>
                <w:sz w:val="15"/>
                <w:szCs w:val="15"/>
                <w:color w:val="auto"/>
              </w:rPr>
              <w:t>NET INVESTMENT INCOME</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58</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13,043</w:t>
            </w:r>
          </w:p>
        </w:tc>
        <w:tc>
          <w:tcPr>
            <w:tcW w:w="16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16,022</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-7620</wp:posOffset>
            </wp:positionV>
            <wp:extent cx="6180455"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80455" cy="18859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-264795</wp:posOffset>
            </wp:positionV>
            <wp:extent cx="57346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-504825</wp:posOffset>
            </wp:positionV>
            <wp:extent cx="57346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-1259205</wp:posOffset>
            </wp:positionV>
            <wp:extent cx="57346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-1516380</wp:posOffset>
            </wp:positionV>
            <wp:extent cx="57346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-2262505</wp:posOffset>
            </wp:positionV>
            <wp:extent cx="57346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-2759710</wp:posOffset>
            </wp:positionV>
            <wp:extent cx="57346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-3411220</wp:posOffset>
            </wp:positionV>
            <wp:extent cx="57264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REALIZED AND UNREALIZED GAIN (LOSS) ON INVESTMENTS AND WRITTEN CALL OPTION</w:t>
      </w:r>
    </w:p>
    <w:p>
      <w:pPr>
        <w:sectPr>
          <w:pgSz w:w="11900" w:h="16838" w:orient="portrait"/>
          <w:cols w:equalWidth="0" w:num="1">
            <w:col w:w="10280"/>
          </w:cols>
          <w:pgMar w:left="580" w:top="131" w:right="1039" w:bottom="1440" w:gutter="0" w:footer="0" w:header="0"/>
        </w:sectPr>
      </w:pPr>
    </w:p>
    <w:p>
      <w:pPr>
        <w:spacing w:after="0" w:line="1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Net realized (loss)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-5080</wp:posOffset>
            </wp:positionV>
            <wp:extent cx="6180455" cy="1111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80455" cy="11112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color w:val="auto"/>
        </w:rPr>
        <w:t>Non-control/non-affiliate investments</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-5080</wp:posOffset>
            </wp:positionV>
            <wp:extent cx="618045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80455"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color w:val="auto"/>
        </w:rPr>
        <w:t>Control investments</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Net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wp:posOffset>
            </wp:positionV>
            <wp:extent cx="6180455"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80455" cy="163195"/>
                    </a:xfrm>
                    <a:prstGeom prst="rect">
                      <a:avLst/>
                    </a:prstGeom>
                    <a:noFill/>
                  </pic:spPr>
                </pic:pic>
              </a:graphicData>
            </a:graphic>
          </wp:anchor>
        </w:drawing>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Net unrealized (depreciation) appreciation on investments: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Non-control/non-affiliate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-5080</wp:posOffset>
            </wp:positionV>
            <wp:extent cx="6180455" cy="1111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80455" cy="11112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color w:val="auto"/>
        </w:rPr>
        <w:t>Affiliate investments</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Control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wp:posOffset>
            </wp:positionV>
            <wp:extent cx="6180455"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80455" cy="1200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color w:val="auto"/>
        </w:rPr>
        <w:t>Net unrealized depreciation on investments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Net unrealized appreciation on written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-5080</wp:posOffset>
            </wp:positionV>
            <wp:extent cx="6180455" cy="1111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80455" cy="11112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color w:val="auto"/>
        </w:rPr>
        <w:t>Net realized and unrealized loss on investments and written call option</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wp:posOffset>
            </wp:positionV>
            <wp:extent cx="6180455"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net realized and unrealized loss on investments and written call option, net of taxes</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Net realized gain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1905</wp:posOffset>
            </wp:positionV>
            <wp:extent cx="6180455"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NET DECREASE IN NET ASSETS RESULTING FROM OPERATIONS</w:t>
      </w:r>
    </w:p>
    <w:p>
      <w:pPr>
        <w:spacing w:after="0" w:line="22" w:lineRule="exact"/>
        <w:rPr>
          <w:sz w:val="20"/>
          <w:szCs w:val="20"/>
          <w:color w:val="auto"/>
        </w:rPr>
      </w:pPr>
    </w:p>
    <w:p>
      <w:pPr>
        <w:ind w:left="640" w:right="60" w:hanging="152"/>
        <w:spacing w:after="0" w:line="191" w:lineRule="auto"/>
        <w:rPr>
          <w:sz w:val="20"/>
          <w:szCs w:val="20"/>
          <w:color w:val="auto"/>
        </w:rPr>
      </w:pPr>
      <w:r>
        <w:rPr>
          <w:rFonts w:ascii="Arial" w:cs="Arial" w:eastAsia="Arial" w:hAnsi="Arial"/>
          <w:sz w:val="15"/>
          <w:szCs w:val="15"/>
          <w:color w:val="auto"/>
        </w:rPr>
        <w:t>NET DECREASE IN NET ASSETS PER SHARE RESULTING FROM OPERATIONS – BASIC AND DILUTED</w:t>
      </w:r>
      <w:r>
        <w:rPr>
          <w:rFonts w:ascii="Arial" w:cs="Arial" w:eastAsia="Arial" w:hAnsi="Arial"/>
          <w:sz w:val="23"/>
          <w:szCs w:val="23"/>
          <w:color w:val="auto"/>
          <w:vertAlign w:val="superscript"/>
        </w:rPr>
        <w:t>(1)</w:t>
      </w:r>
    </w:p>
    <w:p>
      <w:pPr>
        <w:ind w:left="500"/>
        <w:spacing w:after="0" w:line="205" w:lineRule="auto"/>
        <w:rPr>
          <w:sz w:val="20"/>
          <w:szCs w:val="20"/>
          <w:color w:val="auto"/>
        </w:rPr>
      </w:pPr>
      <w:r>
        <w:rPr>
          <w:rFonts w:ascii="Arial" w:cs="Arial" w:eastAsia="Arial" w:hAnsi="Arial"/>
          <w:sz w:val="15"/>
          <w:szCs w:val="15"/>
          <w:color w:val="auto"/>
        </w:rPr>
        <w:t>WEIGHTED AVERAGE COMMON STOCK OUTSTANDING – BASIC AND DILUTED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-127000</wp:posOffset>
            </wp:positionV>
            <wp:extent cx="6180455" cy="1200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80455" cy="120015"/>
                    </a:xfrm>
                    <a:prstGeom prst="rect">
                      <a:avLst/>
                    </a:prstGeom>
                    <a:noFill/>
                  </pic:spPr>
                </pic:pic>
              </a:graphicData>
            </a:graphic>
          </wp:anchor>
        </w:drawing>
      </w:r>
    </w:p>
    <w:p>
      <w:pPr>
        <w:ind w:left="500"/>
        <w:spacing w:after="0" w:line="186" w:lineRule="auto"/>
        <w:rPr>
          <w:sz w:val="20"/>
          <w:szCs w:val="20"/>
          <w:color w:val="auto"/>
        </w:rPr>
      </w:pPr>
      <w:r>
        <w:rPr>
          <w:rFonts w:ascii="Arial" w:cs="Arial" w:eastAsia="Arial" w:hAnsi="Arial"/>
          <w:sz w:val="15"/>
          <w:szCs w:val="15"/>
          <w:color w:val="auto"/>
        </w:rPr>
        <w:t>DISTRIBUTIONS PAID PER SHARE</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127635</wp:posOffset>
            </wp:positionV>
            <wp:extent cx="123444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(25,016)</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16,529</w:t>
            </w: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(15,714)</w:t>
            </w:r>
          </w:p>
        </w:tc>
      </w:tr>
      <w:tr>
        <w:trPr>
          <w:trHeight w:val="175"/>
        </w:trPr>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1,451</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2,288</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2,920</w:t>
            </w:r>
          </w:p>
        </w:tc>
        <w:tc>
          <w:tcPr>
            <w:tcW w:w="60" w:type="dxa"/>
            <w:vAlign w:val="bottom"/>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(484)</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(38,573)</w:t>
            </w: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(22,010)</w:t>
            </w:r>
          </w:p>
        </w:tc>
      </w:tr>
      <w:tr>
        <w:trPr>
          <w:trHeight w:val="20"/>
        </w:trPr>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(24,049)</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(19,756)</w:t>
            </w: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(34,804)</w:t>
            </w:r>
          </w:p>
        </w:tc>
      </w:tr>
      <w:tr>
        <w:trPr>
          <w:trHeight w:val="413"/>
        </w:trPr>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(5,509)</w:t>
            </w: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(16,116)</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16,487</w:t>
            </w:r>
          </w:p>
        </w:tc>
        <w:tc>
          <w:tcPr>
            <w:tcW w:w="60" w:type="dxa"/>
            <w:vAlign w:val="bottom"/>
          </w:tcPr>
          <w:p>
            <w:pPr>
              <w:spacing w:after="0"/>
              <w:rPr>
                <w:sz w:val="24"/>
                <w:szCs w:val="24"/>
                <w:color w:val="auto"/>
              </w:rPr>
            </w:pPr>
          </w:p>
        </w:tc>
      </w:tr>
      <w:tr>
        <w:trPr>
          <w:trHeight w:val="175"/>
        </w:trPr>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(5,543)</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(2,632)</w:t>
            </w: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(5,982)</w:t>
            </w:r>
          </w:p>
        </w:tc>
      </w:tr>
      <w:tr>
        <w:trPr>
          <w:trHeight w:val="189"/>
        </w:trPr>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(559)</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(1,558)</w:t>
            </w: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(16,460)</w:t>
            </w:r>
          </w:p>
        </w:tc>
      </w:tr>
      <w:tr>
        <w:trPr>
          <w:trHeight w:val="20"/>
        </w:trPr>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(11,611)</w:t>
            </w:r>
          </w:p>
        </w:tc>
        <w:tc>
          <w:tcPr>
            <w:tcW w:w="8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(20,306)</w:t>
            </w:r>
          </w:p>
        </w:tc>
        <w:tc>
          <w:tcPr>
            <w:tcW w:w="100" w:type="dxa"/>
            <w:vAlign w:val="bottom"/>
          </w:tcPr>
          <w:p>
            <w:pPr>
              <w:spacing w:after="0"/>
              <w:rPr>
                <w:sz w:val="14"/>
                <w:szCs w:val="14"/>
                <w:color w:val="auto"/>
              </w:rPr>
            </w:pPr>
          </w:p>
        </w:tc>
        <w:tc>
          <w:tcPr>
            <w:tcW w:w="6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(5,955)</w:t>
            </w:r>
          </w:p>
        </w:tc>
      </w:tr>
      <w:tr>
        <w:trPr>
          <w:trHeight w:val="175"/>
        </w:trPr>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6,795</w:t>
            </w: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(35,660)</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(40,062)</w:t>
            </w: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(33,964)</w:t>
            </w:r>
          </w:p>
        </w:tc>
      </w:tr>
      <w:tr>
        <w:trPr>
          <w:trHeight w:val="189"/>
        </w:trPr>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(628)</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1,916</w:t>
            </w:r>
          </w:p>
        </w:tc>
        <w:tc>
          <w:tcPr>
            <w:tcW w:w="60" w:type="dxa"/>
            <w:vAlign w:val="bottom"/>
          </w:tcPr>
          <w:p>
            <w:pPr>
              <w:spacing w:after="0"/>
              <w:rPr>
                <w:sz w:val="16"/>
                <w:szCs w:val="16"/>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(35,660)</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(40,690)</w:t>
            </w: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(32,048)</w:t>
            </w:r>
          </w:p>
        </w:tc>
      </w:tr>
      <w:tr>
        <w:trPr>
          <w:trHeight w:val="20"/>
        </w:trPr>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155</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83"/>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(35,447)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(27,647)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(16,026)</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(6.01)</w:t>
            </w:r>
          </w:p>
        </w:tc>
      </w:tr>
      <w:tr>
        <w:trPr>
          <w:trHeight w:val="197"/>
        </w:trPr>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2,709,169</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2,686,287</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2,665,573</w:t>
            </w:r>
          </w:p>
        </w:tc>
        <w:tc>
          <w:tcPr>
            <w:tcW w:w="60" w:type="dxa"/>
            <w:vAlign w:val="bottom"/>
          </w:tcPr>
          <w:p>
            <w:pPr>
              <w:spacing w:after="0"/>
              <w:rPr>
                <w:sz w:val="17"/>
                <w:szCs w:val="17"/>
                <w:color w:val="auto"/>
              </w:rPr>
            </w:pPr>
          </w:p>
        </w:tc>
      </w:tr>
      <w:tr>
        <w:trPr>
          <w:trHeight w:val="194"/>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6.00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6.00</w:t>
            </w:r>
          </w:p>
        </w:tc>
        <w:tc>
          <w:tcPr>
            <w:tcW w:w="60" w:type="dxa"/>
            <w:vAlign w:val="bottom"/>
          </w:tcPr>
          <w:p>
            <w:pPr>
              <w:spacing w:after="0"/>
              <w:rPr>
                <w:sz w:val="16"/>
                <w:szCs w:val="16"/>
                <w:color w:val="auto"/>
              </w:rPr>
            </w:pPr>
          </w:p>
        </w:tc>
      </w:tr>
    </w:tbl>
    <w:p>
      <w:pPr>
        <w:spacing w:after="0" w:line="209" w:lineRule="exact"/>
        <w:rPr>
          <w:sz w:val="20"/>
          <w:szCs w:val="20"/>
          <w:color w:val="auto"/>
        </w:rPr>
      </w:pPr>
    </w:p>
    <w:p>
      <w:pPr>
        <w:sectPr>
          <w:pgSz w:w="11900" w:h="16838" w:orient="portrait"/>
          <w:cols w:equalWidth="0" w:num="2">
            <w:col w:w="7160" w:space="720"/>
            <w:col w:w="2400"/>
          </w:cols>
          <w:pgMar w:left="580" w:top="131" w:right="1039" w:bottom="1440" w:gutter="0" w:footer="0" w:header="0"/>
          <w:type w:val="continuous"/>
        </w:sectPr>
      </w:pPr>
    </w:p>
    <w:p>
      <w:pPr>
        <w:spacing w:after="0" w:line="136" w:lineRule="exact"/>
        <w:rPr>
          <w:sz w:val="20"/>
          <w:szCs w:val="20"/>
          <w:color w:val="auto"/>
        </w:rPr>
      </w:pPr>
    </w:p>
    <w:p>
      <w:pPr>
        <w:ind w:left="860" w:right="60" w:hanging="365"/>
        <w:spacing w:after="0" w:line="277" w:lineRule="auto"/>
        <w:tabs>
          <w:tab w:leader="none" w:pos="8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Basic and diluted shares of the Company's common stock have been adjusted for the periods shown to reflect the one-for-six reverse stock split effected on August 21, 2020 on a retroactive basis, as described in Note 1.</w:t>
      </w:r>
    </w:p>
    <w:p>
      <w:pPr>
        <w:spacing w:after="0" w:line="21" w:lineRule="exact"/>
        <w:rPr>
          <w:rFonts w:ascii="Arial" w:cs="Arial" w:eastAsia="Arial" w:hAnsi="Arial"/>
          <w:sz w:val="18"/>
          <w:szCs w:val="18"/>
          <w:color w:val="auto"/>
        </w:rPr>
      </w:pPr>
    </w:p>
    <w:p>
      <w:pPr>
        <w:ind w:left="860" w:right="60" w:hanging="365"/>
        <w:spacing w:after="0" w:line="277" w:lineRule="auto"/>
        <w:tabs>
          <w:tab w:leader="none" w:pos="8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Dividends paid per share of the Company's common stock have been adjusted for the periods shown to reflect the one-for-six reverse stock split effected on August 21, 2020 on a retroactive basis, as described in Note 1.</w:t>
      </w:r>
    </w:p>
    <w:p>
      <w:pPr>
        <w:spacing w:after="0" w:line="4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580" w:top="131" w:right="1039"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share data)</w:t>
      </w:r>
    </w:p>
    <w:p>
      <w:pPr>
        <w:spacing w:after="0" w:line="105" w:lineRule="exact"/>
        <w:rPr>
          <w:sz w:val="20"/>
          <w:szCs w:val="20"/>
          <w:color w:val="auto"/>
        </w:rPr>
      </w:pPr>
    </w:p>
    <w:tbl>
      <w:tblPr>
        <w:tblLayout w:type="fixed"/>
        <w:tblInd w:w="1260" w:type="dxa"/>
        <w:tblCellMar>
          <w:top w:w="0" w:type="dxa"/>
          <w:left w:w="0" w:type="dxa"/>
          <w:bottom w:w="0" w:type="dxa"/>
          <w:right w:w="0" w:type="dxa"/>
        </w:tblCellMar>
      </w:tblPr>
      <w:tr>
        <w:trPr>
          <w:trHeight w:val="248"/>
        </w:trPr>
        <w:tc>
          <w:tcPr>
            <w:tcW w:w="19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21"/>
                <w:szCs w:val="21"/>
                <w:b w:val="1"/>
                <w:bCs w:val="1"/>
                <w:color w:val="auto"/>
                <w:vertAlign w:val="superscript"/>
              </w:rPr>
              <w:t>(1)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Additional Paid</w:t>
            </w:r>
          </w:p>
        </w:tc>
        <w:tc>
          <w:tcPr>
            <w:tcW w:w="94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Distributable</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For the Years Ended December 31, 2018, 2019, and 2020</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Par Value</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3"/>
          </w:tcPr>
          <w:p>
            <w:pPr>
              <w:jc w:val="right"/>
              <w:ind w:right="140"/>
              <w:spacing w:after="0" w:line="230" w:lineRule="exact"/>
              <w:rPr>
                <w:sz w:val="20"/>
                <w:szCs w:val="20"/>
                <w:color w:val="auto"/>
              </w:rPr>
            </w:pPr>
            <w:r>
              <w:rPr>
                <w:rFonts w:ascii="Arial" w:cs="Arial" w:eastAsia="Arial" w:hAnsi="Arial"/>
                <w:sz w:val="14"/>
                <w:szCs w:val="14"/>
                <w:b w:val="1"/>
                <w:bCs w:val="1"/>
                <w:color w:val="auto"/>
              </w:rPr>
              <w:t>in Capital</w:t>
            </w:r>
            <w:r>
              <w:rPr>
                <w:rFonts w:ascii="Arial" w:cs="Arial" w:eastAsia="Arial" w:hAnsi="Arial"/>
                <w:sz w:val="21"/>
                <w:szCs w:val="21"/>
                <w:b w:val="1"/>
                <w:bCs w:val="1"/>
                <w:color w:val="auto"/>
                <w:vertAlign w:val="superscript"/>
              </w:rPr>
              <w:t>(1)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2,658,539</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w:t>
            </w: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$241,160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(19,300)</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$221,887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Net investment income</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16,022</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16,022</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realized loss on investments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(34,804)</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(34,804)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Net unrealized depreciation on investments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(5,955)</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(5,955)</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unrealized appreciation on written call option</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6,795</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Tax benefit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1,916</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324"/>
        </w:trPr>
        <w:tc>
          <w:tcPr>
            <w:tcW w:w="3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Distributions to Shareholders:</w:t>
            </w: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Stock issued under dividend reinvestment plan</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16,719</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4"/>
          </w:tcPr>
          <w:p>
            <w:pPr>
              <w:jc w:val="right"/>
              <w:ind w:right="180"/>
              <w:spacing w:after="0"/>
              <w:rPr>
                <w:sz w:val="20"/>
                <w:szCs w:val="20"/>
                <w:color w:val="auto"/>
              </w:rPr>
            </w:pPr>
            <w:r>
              <w:rPr>
                <w:rFonts w:ascii="Arial" w:cs="Arial" w:eastAsia="Arial" w:hAnsi="Arial"/>
                <w:sz w:val="16"/>
                <w:szCs w:val="16"/>
                <w:color w:val="auto"/>
              </w:rPr>
              <w:t>769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Distributions declared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(15,986)</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Tax reclassification of stockholders’ equity in</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accordance with generally accepted accounting</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4"/>
            <w:vMerge w:val="restart"/>
          </w:tcPr>
          <w:p>
            <w:pPr>
              <w:jc w:val="right"/>
              <w:ind w:right="14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6"/>
                <w:szCs w:val="16"/>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principles</w:t>
            </w: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2,675,258</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w:t>
            </w: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$241,891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(51,274)</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$190,644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Net investment income</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13,043</w:t>
            </w: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13,043</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realized loss on investments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(19,756)</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Net unrealized depreciation on investments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(20,306)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(20,306)</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Tax provision</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(628)</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Distributions to Shareholders: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Stock issued under dividend reinvestment plan</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25,370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1,226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Distributions declared</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(16,110)</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(16,110)</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Return of capital</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(2,659)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2,659</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Tax reclassification of stockholders’ equity in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accordance with generally accepted accounting</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4"/>
            <w:vMerge w:val="restart"/>
          </w:tcPr>
          <w:p>
            <w:pPr>
              <w:jc w:val="right"/>
              <w:ind w:right="140"/>
              <w:spacing w:after="0"/>
              <w:rPr>
                <w:sz w:val="20"/>
                <w:szCs w:val="20"/>
                <w:color w:val="auto"/>
              </w:rPr>
            </w:pPr>
            <w:r>
              <w:rPr>
                <w:rFonts w:ascii="Arial" w:cs="Arial" w:eastAsia="Arial" w:hAnsi="Arial"/>
                <w:sz w:val="16"/>
                <w:szCs w:val="16"/>
                <w:color w:val="auto"/>
              </w:rPr>
              <w:t>(2,437)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2,437</w:t>
            </w:r>
          </w:p>
        </w:tc>
        <w:tc>
          <w:tcPr>
            <w:tcW w:w="180" w:type="dxa"/>
            <w:vAlign w:val="bottom"/>
          </w:tcPr>
          <w:p>
            <w:pPr>
              <w:spacing w:after="0"/>
              <w:rPr>
                <w:sz w:val="16"/>
                <w:szCs w:val="16"/>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principles</w:t>
            </w: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2,700,628</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w:t>
            </w: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$238,021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(89,935)</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$148,113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Net investment income</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realized loss on investments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(24,049)</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(24,049)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Net unrealized depreciation on investments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(11,611)</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(11,611)</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Tax provision</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Net realized gain on extinguishment of debt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155</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20"/>
        </w:trPr>
        <w:tc>
          <w:tcPr>
            <w:tcW w:w="3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Fractional shares settled in cash as part of one-for-</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9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six reverse stock split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Distributions to Shareholders: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Stock issued under dividend reinvestment plan</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10,453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334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Distributions declared</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(4,053)</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16"/>
        </w:trPr>
        <w:tc>
          <w:tcPr>
            <w:tcW w:w="39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Return of capital</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(3,398)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3,398</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gridSpan w:val="2"/>
          </w:tcPr>
          <w:p>
            <w:pPr>
              <w:ind w:left="160"/>
              <w:spacing w:after="0"/>
              <w:rPr>
                <w:sz w:val="20"/>
                <w:szCs w:val="20"/>
                <w:color w:val="auto"/>
              </w:rPr>
            </w:pPr>
            <w:r>
              <w:rPr>
                <w:rFonts w:ascii="Arial" w:cs="Arial" w:eastAsia="Arial" w:hAnsi="Arial"/>
                <w:sz w:val="16"/>
                <w:szCs w:val="16"/>
                <w:color w:val="auto"/>
              </w:rPr>
              <w:t>Tax reclassification of stockholders’ equity in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accordance with generally accepted accounting</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4"/>
            <w:vMerge w:val="restart"/>
          </w:tcPr>
          <w:p>
            <w:pPr>
              <w:jc w:val="right"/>
              <w:ind w:right="140"/>
              <w:spacing w:after="0"/>
              <w:rPr>
                <w:sz w:val="20"/>
                <w:szCs w:val="20"/>
                <w:color w:val="auto"/>
              </w:rPr>
            </w:pPr>
            <w:r>
              <w:rPr>
                <w:rFonts w:ascii="Arial" w:cs="Arial" w:eastAsia="Arial" w:hAnsi="Arial"/>
                <w:sz w:val="16"/>
                <w:szCs w:val="16"/>
                <w:color w:val="auto"/>
              </w:rPr>
              <w:t>(5,476)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5,476</w:t>
            </w:r>
          </w:p>
        </w:tc>
        <w:tc>
          <w:tcPr>
            <w:tcW w:w="180" w:type="dxa"/>
            <w:vAlign w:val="bottom"/>
          </w:tcPr>
          <w:p>
            <w:pPr>
              <w:spacing w:after="0"/>
              <w:rPr>
                <w:sz w:val="16"/>
                <w:szCs w:val="16"/>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900" w:type="dxa"/>
            <w:vAlign w:val="bottom"/>
            <w:gridSpan w:val="2"/>
          </w:tcPr>
          <w:p>
            <w:pPr>
              <w:ind w:left="320"/>
              <w:spacing w:after="0"/>
              <w:rPr>
                <w:sz w:val="20"/>
                <w:szCs w:val="20"/>
                <w:color w:val="auto"/>
              </w:rPr>
            </w:pPr>
            <w:r>
              <w:rPr>
                <w:rFonts w:ascii="Arial" w:cs="Arial" w:eastAsia="Arial" w:hAnsi="Arial"/>
                <w:sz w:val="16"/>
                <w:szCs w:val="16"/>
                <w:color w:val="auto"/>
              </w:rPr>
              <w:t>principles</w:t>
            </w: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2,711,068</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27</w:t>
            </w: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229,481</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(120,561)</w:t>
            </w:r>
          </w:p>
        </w:tc>
        <w:tc>
          <w:tcPr>
            <w:tcW w:w="18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108,947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94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-281940</wp:posOffset>
            </wp:positionV>
            <wp:extent cx="1625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-281940</wp:posOffset>
            </wp:positionV>
            <wp:extent cx="2654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-281940</wp:posOffset>
            </wp:positionV>
            <wp:extent cx="35833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-2382520</wp:posOffset>
            </wp:positionV>
            <wp:extent cx="1625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-2382520</wp:posOffset>
            </wp:positionV>
            <wp:extent cx="2654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-2382520</wp:posOffset>
            </wp:positionV>
            <wp:extent cx="35833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583305"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-4088130</wp:posOffset>
            </wp:positionV>
            <wp:extent cx="1625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-4088130</wp:posOffset>
            </wp:positionV>
            <wp:extent cx="2654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-4088130</wp:posOffset>
            </wp:positionV>
            <wp:extent cx="35833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-5777230</wp:posOffset>
            </wp:positionV>
            <wp:extent cx="48177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209" w:lineRule="exact"/>
        <w:rPr>
          <w:sz w:val="20"/>
          <w:szCs w:val="20"/>
          <w:color w:val="auto"/>
        </w:rPr>
      </w:pPr>
    </w:p>
    <w:p>
      <w:pPr>
        <w:jc w:val="both"/>
        <w:ind w:left="1620" w:right="419" w:hanging="360"/>
        <w:spacing w:after="0" w:line="26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Shares of the Company’s common stock and shares issued under the Company’s dividend reinvestment plan have been adjusted for the periods shown to reflect the one-for-six reverse stock split effected on August 21, 2020 on a retroactive basis, as described in Note 1.</w:t>
      </w:r>
    </w:p>
    <w:p>
      <w:pPr>
        <w:spacing w:after="0" w:line="23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ind w:firstLine="3505"/>
        <w:spacing w:after="0" w:line="272" w:lineRule="auto"/>
        <w:framePr w:w="4740" w:h="471" w:wrap="auto" w:vAnchor="page" w:hAnchor="page" w:x="3560" w:y="12724"/>
        <w:rPr>
          <w:rFonts w:ascii="Arial" w:cs="Arial" w:eastAsia="Arial" w:hAnsi="Arial"/>
          <w:sz w:val="18"/>
          <w:szCs w:val="18"/>
          <w:color w:val="auto"/>
        </w:rPr>
      </w:pPr>
      <w:r>
        <w:rPr>
          <w:rFonts w:ascii="Arial" w:cs="Arial" w:eastAsia="Arial" w:hAnsi="Arial"/>
          <w:sz w:val="18"/>
          <w:szCs w:val="18"/>
          <w:color w:val="auto"/>
        </w:rPr>
        <w:t>$334 $ See accompanying notes to consolidated financial statements.</w:t>
      </w:r>
    </w:p>
    <w:p>
      <w:pPr>
        <w:ind w:firstLine="3505"/>
        <w:spacing w:after="0" w:line="223" w:lineRule="auto"/>
        <w:framePr w:w="320" w:h="160" w:wrap="auto" w:vAnchor="page" w:hAnchor="page" w:x="5760" w:y="13331"/>
        <w:rPr>
          <w:rFonts w:ascii="Arial" w:cs="Arial" w:eastAsia="Arial" w:hAnsi="Arial"/>
          <w:sz w:val="15"/>
          <w:szCs w:val="15"/>
          <w:color w:val="auto"/>
        </w:rPr>
      </w:pPr>
      <w:r>
        <w:rPr>
          <w:rFonts w:ascii="Arial" w:cs="Arial" w:eastAsia="Arial" w:hAnsi="Arial"/>
          <w:sz w:val="15"/>
          <w:szCs w:val="15"/>
          <w:color w:val="auto"/>
        </w:rPr>
        <w:t>F-6</w:t>
      </w:r>
    </w:p>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4" w:lineRule="exact"/>
        <w:rPr>
          <w:rFonts w:ascii="Arial" w:cs="Arial" w:eastAsia="Arial" w:hAnsi="Arial"/>
          <w:sz w:val="15"/>
          <w:szCs w:val="15"/>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rFonts w:ascii="Arial" w:cs="Arial" w:eastAsia="Arial" w:hAnsi="Arial"/>
          <w:sz w:val="15"/>
          <w:szCs w:val="15"/>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64" w:lineRule="exact"/>
        <w:rPr>
          <w:rFonts w:ascii="Arial" w:cs="Arial" w:eastAsia="Arial" w:hAnsi="Arial"/>
          <w:sz w:val="15"/>
          <w:szCs w:val="15"/>
          <w:color w:val="auto"/>
        </w:rPr>
      </w:pPr>
    </w:p>
    <w:tbl>
      <w:tblPr>
        <w:tblLayout w:type="fixed"/>
        <w:tblInd w:w="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10"/>
          </w:tcPr>
          <w:p>
            <w:pPr>
              <w:jc w:val="center"/>
              <w:ind w:right="11"/>
              <w:spacing w:after="0"/>
              <w:rPr>
                <w:sz w:val="20"/>
                <w:szCs w:val="20"/>
                <w:color w:val="auto"/>
              </w:rPr>
            </w:pPr>
            <w:r>
              <w:rPr>
                <w:rFonts w:ascii="Arial" w:cs="Arial" w:eastAsia="Arial" w:hAnsi="Arial"/>
                <w:sz w:val="14"/>
                <w:szCs w:val="14"/>
                <w:b w:val="1"/>
                <w:bCs w:val="1"/>
                <w:color w:val="auto"/>
                <w:w w:val="87"/>
              </w:rPr>
              <w:t>For the years ended December 31,</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Net decrease in net assets resulting from operations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$(35,447)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(27,647)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decrease in net assets resulting</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from operations to net cash provided by operating activities:</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Purchase of investments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(77,831)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(107,802)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Repayments and sales of investments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128,122</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123,517</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Net realized loss on investments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24,049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34,804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realized gain on extinguishment of debt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Net unrealized depreciation on investments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20,306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Payment-in-kind interest and dividends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(2,962)</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Accretion of original issue discount on investments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 from written call option</w:t>
            </w:r>
          </w:p>
        </w:tc>
        <w:tc>
          <w:tcPr>
            <w:tcW w:w="10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Net unrealized appreciation on written call option</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fees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Tax provision (benefit)</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4"/>
                <w:szCs w:val="24"/>
                <w:color w:val="auto"/>
              </w:rPr>
            </w:pPr>
          </w:p>
        </w:tc>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tcPr>
          <w:p>
            <w:pPr>
              <w:ind w:left="540"/>
              <w:spacing w:after="0"/>
              <w:rPr>
                <w:sz w:val="20"/>
                <w:szCs w:val="20"/>
                <w:color w:val="auto"/>
              </w:rPr>
            </w:pPr>
            <w:r>
              <w:rPr>
                <w:rFonts w:ascii="Arial" w:cs="Arial" w:eastAsia="Arial" w:hAnsi="Arial"/>
                <w:sz w:val="18"/>
                <w:szCs w:val="18"/>
                <w:color w:val="auto"/>
              </w:rPr>
              <w:t>Interest and dividend receivable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Due from related parties</w:t>
            </w:r>
          </w:p>
        </w:tc>
        <w:tc>
          <w:tcPr>
            <w:tcW w:w="10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tcPr>
          <w:p>
            <w:pPr>
              <w:ind w:left="540"/>
              <w:spacing w:after="0"/>
              <w:rPr>
                <w:sz w:val="20"/>
                <w:szCs w:val="20"/>
                <w:color w:val="auto"/>
              </w:rPr>
            </w:pPr>
            <w:r>
              <w:rPr>
                <w:rFonts w:ascii="Arial" w:cs="Arial" w:eastAsia="Arial" w:hAnsi="Arial"/>
                <w:sz w:val="18"/>
                <w:szCs w:val="18"/>
                <w:color w:val="auto"/>
              </w:rPr>
              <w:t>Prepaid expenses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tcPr>
          <w:p>
            <w:pPr>
              <w:ind w:left="540"/>
              <w:spacing w:after="0"/>
              <w:rPr>
                <w:sz w:val="20"/>
                <w:szCs w:val="20"/>
                <w:color w:val="auto"/>
              </w:rPr>
            </w:pPr>
            <w:r>
              <w:rPr>
                <w:rFonts w:ascii="Arial" w:cs="Arial" w:eastAsia="Arial" w:hAnsi="Arial"/>
                <w:sz w:val="18"/>
                <w:szCs w:val="18"/>
                <w:color w:val="auto"/>
              </w:rPr>
              <w:t>Management and incentive fees payable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Interest and financing fees payable</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tcPr>
          <w:p>
            <w:pPr>
              <w:ind w:left="540"/>
              <w:spacing w:after="0"/>
              <w:rPr>
                <w:sz w:val="20"/>
                <w:szCs w:val="20"/>
                <w:color w:val="auto"/>
              </w:rPr>
            </w:pPr>
            <w:r>
              <w:rPr>
                <w:rFonts w:ascii="Arial" w:cs="Arial" w:eastAsia="Arial" w:hAnsi="Arial"/>
                <w:sz w:val="18"/>
                <w:szCs w:val="18"/>
                <w:color w:val="auto"/>
              </w:rPr>
              <w:t>Trade settlement payable</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jc w:val="right"/>
              <w:spacing w:after="0"/>
              <w:rPr>
                <w:sz w:val="20"/>
                <w:szCs w:val="20"/>
                <w:color w:val="auto"/>
              </w:rPr>
            </w:pPr>
            <w:r>
              <w:rPr>
                <w:rFonts w:ascii="Arial" w:cs="Arial" w:eastAsia="Arial" w:hAnsi="Arial"/>
                <w:sz w:val="18"/>
                <w:szCs w:val="18"/>
                <w:color w:val="auto"/>
              </w:rPr>
              <w:t>53,113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64,597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27,422</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4"/>
                <w:szCs w:val="24"/>
                <w:color w:val="auto"/>
              </w:rPr>
            </w:pPr>
          </w:p>
        </w:tc>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right w:val="single" w:sz="8" w:color="CCEEFF"/>
            </w:tcBorders>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Paydowns on SBA-guaranteed debentures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(15,700)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2022 Notes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Proceeds from ING Credit Facility</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31,000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Repayments on ING Credit Facility</w:t>
            </w:r>
          </w:p>
        </w:tc>
        <w:tc>
          <w:tcPr>
            <w:tcW w:w="10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(26,500)</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Distributions paid to shareholders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(14,884)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(15,217)</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financing fees paid</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(65,492)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(41,571)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(19,348)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2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NET INCREASE (DECREASE) IN CASH AND CASH</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23,026</w:t>
            </w: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660" w:type="dxa"/>
            <w:vAlign w:val="bottom"/>
          </w:tcPr>
          <w:p>
            <w:pPr>
              <w:jc w:val="right"/>
              <w:spacing w:after="0"/>
              <w:rPr>
                <w:sz w:val="20"/>
                <w:szCs w:val="20"/>
                <w:color w:val="auto"/>
              </w:rPr>
            </w:pPr>
            <w:r>
              <w:rPr>
                <w:rFonts w:ascii="Arial" w:cs="Arial" w:eastAsia="Arial" w:hAnsi="Arial"/>
                <w:sz w:val="18"/>
                <w:szCs w:val="18"/>
                <w:color w:val="auto"/>
              </w:rPr>
              <w:t>62,321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39,295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31,221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$ 49,942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62,321</w:t>
            </w: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39,295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SUPPLEMENTAL DISCLOSURE OF CASH FLOW</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2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INFORMATION</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$ 12,806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13,784</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SUPPLEMENTAL DISCLOSURE OF NON-CASH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INVESTING AND FINANCING TRANSACTIONS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paid through dividend reinvestment plan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w:t>
            </w: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12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5969000</wp:posOffset>
            </wp:positionH>
            <wp:positionV relativeFrom="paragraph">
              <wp:posOffset>-1842135</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-1842135</wp:posOffset>
            </wp:positionV>
            <wp:extent cx="46977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-3599815</wp:posOffset>
            </wp:positionV>
            <wp:extent cx="431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-3599815</wp:posOffset>
            </wp:positionV>
            <wp:extent cx="46977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97730"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-7320280</wp:posOffset>
            </wp:positionV>
            <wp:extent cx="137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-7320280</wp:posOffset>
            </wp:positionV>
            <wp:extent cx="39604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960495" cy="8890"/>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-7620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2" w:name="page113"/>
    <w:bookmarkEnd w:id="112"/>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2020</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380" w:type="dxa"/>
            <w:vAlign w:val="bottom"/>
            <w:vMerge w:val="restart"/>
          </w:tcPr>
          <w:p>
            <w:pPr>
              <w:spacing w:after="0"/>
              <w:rPr>
                <w:sz w:val="20"/>
                <w:szCs w:val="20"/>
                <w:color w:val="auto"/>
              </w:rPr>
            </w:pPr>
            <w:r>
              <w:rPr>
                <w:rFonts w:ascii="Arial" w:cs="Arial" w:eastAsia="Arial" w:hAnsi="Arial"/>
                <w:sz w:val="12"/>
                <w:szCs w:val="12"/>
                <w:b w:val="1"/>
                <w:bCs w:val="1"/>
                <w:color w:val="auto"/>
                <w:w w:val="92"/>
              </w:rPr>
              <w:t>Portfolio Company, Country</w:t>
            </w:r>
            <w:r>
              <w:rPr>
                <w:rFonts w:ascii="Arial" w:cs="Arial" w:eastAsia="Arial" w:hAnsi="Arial"/>
                <w:sz w:val="17"/>
                <w:szCs w:val="17"/>
                <w:b w:val="1"/>
                <w:bCs w:val="1"/>
                <w:color w:val="auto"/>
                <w:w w:val="92"/>
                <w:vertAlign w:val="superscript"/>
              </w:rPr>
              <w:t>(1), (2), (3), (4), (5)</w:t>
            </w:r>
          </w:p>
        </w:tc>
        <w:tc>
          <w:tcPr>
            <w:tcW w:w="1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5"/>
              </w:rPr>
              <w:t>Acquisition</w:t>
            </w:r>
          </w:p>
        </w:tc>
        <w:tc>
          <w:tcPr>
            <w:tcW w:w="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Principal</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4"/>
              </w:rPr>
              <w:t>% of</w:t>
            </w:r>
          </w:p>
        </w:tc>
        <w:tc>
          <w:tcPr>
            <w:tcW w:w="0" w:type="dxa"/>
            <w:vAlign w:val="bottom"/>
          </w:tcPr>
          <w:p>
            <w:pPr>
              <w:spacing w:after="0"/>
              <w:rPr>
                <w:sz w:val="1"/>
                <w:szCs w:val="1"/>
                <w:color w:val="auto"/>
              </w:rPr>
            </w:pPr>
          </w:p>
        </w:tc>
      </w:tr>
      <w:tr>
        <w:trPr>
          <w:trHeight w:val="184"/>
        </w:trPr>
        <w:tc>
          <w:tcPr>
            <w:tcW w:w="2380" w:type="dxa"/>
            <w:vAlign w:val="bottom"/>
            <w:vMerge w:val="continue"/>
          </w:tcPr>
          <w:p>
            <w:pPr>
              <w:spacing w:after="0"/>
              <w:rPr>
                <w:sz w:val="15"/>
                <w:szCs w:val="15"/>
                <w:color w:val="auto"/>
              </w:rPr>
            </w:pPr>
          </w:p>
        </w:tc>
        <w:tc>
          <w:tcPr>
            <w:tcW w:w="1380" w:type="dxa"/>
            <w:vAlign w:val="bottom"/>
          </w:tcPr>
          <w:p>
            <w:pPr>
              <w:ind w:left="520"/>
              <w:spacing w:after="0"/>
              <w:rPr>
                <w:sz w:val="20"/>
                <w:szCs w:val="20"/>
                <w:color w:val="auto"/>
              </w:rPr>
            </w:pPr>
            <w:r>
              <w:rPr>
                <w:rFonts w:ascii="Arial" w:cs="Arial" w:eastAsia="Arial" w:hAnsi="Arial"/>
                <w:sz w:val="12"/>
                <w:szCs w:val="12"/>
                <w:b w:val="1"/>
                <w:bCs w:val="1"/>
                <w:color w:val="auto"/>
              </w:rPr>
              <w:t>Industry</w:t>
            </w:r>
          </w:p>
        </w:tc>
        <w:tc>
          <w:tcPr>
            <w:tcW w:w="3040" w:type="dxa"/>
            <w:vAlign w:val="bottom"/>
            <w:gridSpan w:val="2"/>
          </w:tcPr>
          <w:p>
            <w:pPr>
              <w:ind w:left="1060"/>
              <w:spacing w:after="0"/>
              <w:rPr>
                <w:sz w:val="20"/>
                <w:szCs w:val="20"/>
                <w:color w:val="auto"/>
              </w:rPr>
            </w:pPr>
            <w:r>
              <w:rPr>
                <w:rFonts w:ascii="Arial" w:cs="Arial" w:eastAsia="Arial" w:hAnsi="Arial"/>
                <w:sz w:val="12"/>
                <w:szCs w:val="12"/>
                <w:b w:val="1"/>
                <w:bCs w:val="1"/>
                <w:color w:val="auto"/>
              </w:rPr>
              <w:t>Type of Investment</w:t>
            </w:r>
          </w:p>
        </w:tc>
        <w:tc>
          <w:tcPr>
            <w:tcW w:w="7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Date</w:t>
            </w:r>
          </w:p>
        </w:tc>
        <w:tc>
          <w:tcPr>
            <w:tcW w:w="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Amount</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Cost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Fair Value</w:t>
            </w:r>
          </w:p>
        </w:tc>
        <w:tc>
          <w:tcPr>
            <w:tcW w:w="5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0"/>
              </w:rPr>
              <w:t>Net Assets</w:t>
            </w:r>
          </w:p>
        </w:tc>
        <w:tc>
          <w:tcPr>
            <w:tcW w:w="0" w:type="dxa"/>
            <w:vAlign w:val="bottom"/>
          </w:tcPr>
          <w:p>
            <w:pPr>
              <w:spacing w:after="0"/>
              <w:rPr>
                <w:sz w:val="1"/>
                <w:szCs w:val="1"/>
                <w:color w:val="auto"/>
              </w:rPr>
            </w:pPr>
          </w:p>
        </w:tc>
      </w:tr>
      <w:tr>
        <w:trPr>
          <w:trHeight w:val="189"/>
        </w:trPr>
        <w:tc>
          <w:tcPr>
            <w:tcW w:w="37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Non-control/non-affiliated investments – 158.7%</w:t>
            </w:r>
          </w:p>
        </w:tc>
        <w:tc>
          <w:tcPr>
            <w:tcW w:w="29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gridSpan w:val="2"/>
          </w:tcPr>
          <w:p>
            <w:pPr>
              <w:spacing w:after="0"/>
              <w:rPr>
                <w:sz w:val="20"/>
                <w:szCs w:val="20"/>
                <w:color w:val="auto"/>
              </w:rPr>
            </w:pPr>
            <w:r>
              <w:rPr>
                <w:rFonts w:ascii="Arial" w:cs="Arial" w:eastAsia="Arial" w:hAnsi="Arial"/>
                <w:sz w:val="13"/>
                <w:szCs w:val="13"/>
                <w:b w:val="1"/>
                <w:bCs w:val="1"/>
                <w:color w:val="auto"/>
              </w:rPr>
              <w:t>Non-control/non-affiliated investments – United States</w:t>
            </w: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3 Bridge Solutions, LLC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IT Consulting</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First Lien Debt (13.0% Cash, Due 12/4/22)</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$12,083</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$ 12,083</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4"/>
              </w:rPr>
              <w:t>$ 12,083</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3"/>
                <w:szCs w:val="13"/>
                <w:color w:val="auto"/>
              </w:rPr>
              <w:t>3 Bridge Solutions, LLC</w:t>
            </w:r>
          </w:p>
        </w:tc>
        <w:tc>
          <w:tcPr>
            <w:tcW w:w="1380" w:type="dxa"/>
            <w:vAlign w:val="bottom"/>
          </w:tcPr>
          <w:p>
            <w:pPr>
              <w:ind w:left="80"/>
              <w:spacing w:after="0"/>
              <w:rPr>
                <w:sz w:val="20"/>
                <w:szCs w:val="20"/>
                <w:color w:val="auto"/>
              </w:rPr>
            </w:pPr>
            <w:r>
              <w:rPr>
                <w:rFonts w:ascii="Arial" w:cs="Arial" w:eastAsia="Arial" w:hAnsi="Arial"/>
                <w:sz w:val="13"/>
                <w:szCs w:val="13"/>
                <w:color w:val="auto"/>
              </w:rPr>
              <w:t>IT Consulting</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rPr>
              <w:t>Preferred Units (965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12/4/2017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1,090</w:t>
            </w:r>
          </w:p>
        </w:tc>
        <w:tc>
          <w:tcPr>
            <w:tcW w:w="520" w:type="dxa"/>
            <w:vAlign w:val="bottom"/>
          </w:tcPr>
          <w:p>
            <w:pPr>
              <w:jc w:val="right"/>
              <w:spacing w:after="0"/>
              <w:rPr>
                <w:sz w:val="20"/>
                <w:szCs w:val="20"/>
                <w:color w:val="auto"/>
              </w:rPr>
            </w:pPr>
            <w:r>
              <w:rPr>
                <w:rFonts w:ascii="Arial" w:cs="Arial" w:eastAsia="Arial" w:hAnsi="Arial"/>
                <w:sz w:val="13"/>
                <w:szCs w:val="13"/>
                <w:color w:val="auto"/>
              </w:rPr>
              <w:t>1,116</w:t>
            </w:r>
          </w:p>
        </w:tc>
        <w:tc>
          <w:tcPr>
            <w:tcW w:w="8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3 Bridge Solutions, LLC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IT Consulting</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Membership Units (39,000 units)</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12/4/2017</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13,183</w:t>
            </w:r>
          </w:p>
        </w:tc>
        <w:tc>
          <w:tcPr>
            <w:tcW w:w="520" w:type="dxa"/>
            <w:vAlign w:val="bottom"/>
          </w:tcPr>
          <w:p>
            <w:pPr>
              <w:jc w:val="right"/>
              <w:spacing w:after="0"/>
              <w:rPr>
                <w:sz w:val="20"/>
                <w:szCs w:val="20"/>
                <w:color w:val="auto"/>
              </w:rPr>
            </w:pPr>
            <w:r>
              <w:rPr>
                <w:rFonts w:ascii="Arial" w:cs="Arial" w:eastAsia="Arial" w:hAnsi="Arial"/>
                <w:sz w:val="13"/>
                <w:szCs w:val="13"/>
                <w:color w:val="auto"/>
              </w:rPr>
              <w:t>13,199</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Alternative Biomedical Solutions, LLC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First Lien Debt (8.0% Cash, Due 12/18/22)</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6/25/2020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7,119</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7,119</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7,119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3"/>
                <w:szCs w:val="13"/>
                <w:color w:val="auto"/>
              </w:rPr>
              <w:t>Alternative Biomedical Solutions, LLC</w:t>
            </w:r>
          </w:p>
        </w:tc>
        <w:tc>
          <w:tcPr>
            <w:tcW w:w="1380" w:type="dxa"/>
            <w:vAlign w:val="bottom"/>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rPr>
              <w:t>Series A Preferred Units (13,275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6/25/2020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1,275</w:t>
            </w:r>
          </w:p>
        </w:tc>
        <w:tc>
          <w:tcPr>
            <w:tcW w:w="520" w:type="dxa"/>
            <w:vAlign w:val="bottom"/>
          </w:tcPr>
          <w:p>
            <w:pPr>
              <w:jc w:val="right"/>
              <w:spacing w:after="0"/>
              <w:rPr>
                <w:sz w:val="20"/>
                <w:szCs w:val="20"/>
                <w:color w:val="auto"/>
              </w:rPr>
            </w:pPr>
            <w:r>
              <w:rPr>
                <w:rFonts w:ascii="Arial" w:cs="Arial" w:eastAsia="Arial" w:hAnsi="Arial"/>
                <w:sz w:val="13"/>
                <w:szCs w:val="13"/>
                <w:color w:val="auto"/>
              </w:rPr>
              <w:t>1,327</w:t>
            </w:r>
          </w:p>
        </w:tc>
        <w:tc>
          <w:tcPr>
            <w:tcW w:w="8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Alternative Biomedical Solutions, LLC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Series B Preferred Units (46,160 units)</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6/25/2020</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3,943</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2,898</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3"/>
                <w:szCs w:val="13"/>
                <w:color w:val="auto"/>
              </w:rPr>
              <w:t>Alternative Biomedical Solutions, LLC</w:t>
            </w:r>
          </w:p>
        </w:tc>
        <w:tc>
          <w:tcPr>
            <w:tcW w:w="1380" w:type="dxa"/>
            <w:vAlign w:val="bottom"/>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rPr>
              <w:t>Series C Preferred Units (78,900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6/25/2020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Alternative Biomedical Solutions, LLC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Membership Units (20,092 units)</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12/18/2017</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800</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3"/>
                <w:szCs w:val="13"/>
                <w:color w:val="auto"/>
              </w:rPr>
              <w:t>Alternative Biomedical Solutions, LLC</w:t>
            </w:r>
          </w:p>
        </w:tc>
        <w:tc>
          <w:tcPr>
            <w:tcW w:w="1380" w:type="dxa"/>
            <w:vAlign w:val="bottom"/>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rPr>
              <w:t>Membership Units Warrant (49,295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6/25/2020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13,137</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11,344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80" w:type="dxa"/>
            <w:vAlign w:val="bottom"/>
          </w:tcPr>
          <w:p>
            <w:pPr>
              <w:spacing w:after="0"/>
              <w:rPr>
                <w:sz w:val="20"/>
                <w:szCs w:val="20"/>
                <w:color w:val="auto"/>
              </w:rPr>
            </w:pPr>
            <w:r>
              <w:rPr>
                <w:rFonts w:ascii="Arial" w:cs="Arial" w:eastAsia="Arial" w:hAnsi="Arial"/>
                <w:sz w:val="13"/>
                <w:szCs w:val="13"/>
                <w:color w:val="auto"/>
              </w:rPr>
              <w:t>American Clinical Solutions, LLC</w:t>
            </w:r>
          </w:p>
        </w:tc>
        <w:tc>
          <w:tcPr>
            <w:tcW w:w="1380" w:type="dxa"/>
            <w:vAlign w:val="bottom"/>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rPr>
              <w:t>First Lien Debt (7.0% Cash, Due 12/31/22)</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12/31/2019</w:t>
            </w:r>
          </w:p>
        </w:tc>
        <w:tc>
          <w:tcPr>
            <w:tcW w:w="460" w:type="dxa"/>
            <w:vAlign w:val="bottom"/>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3,500</w:t>
            </w:r>
          </w:p>
        </w:tc>
        <w:tc>
          <w:tcPr>
            <w:tcW w:w="520" w:type="dxa"/>
            <w:vAlign w:val="bottom"/>
          </w:tcPr>
          <w:p>
            <w:pPr>
              <w:jc w:val="right"/>
              <w:spacing w:after="0"/>
              <w:rPr>
                <w:sz w:val="20"/>
                <w:szCs w:val="20"/>
                <w:color w:val="auto"/>
              </w:rPr>
            </w:pPr>
            <w:r>
              <w:rPr>
                <w:rFonts w:ascii="Arial" w:cs="Arial" w:eastAsia="Arial" w:hAnsi="Arial"/>
                <w:sz w:val="13"/>
                <w:szCs w:val="13"/>
                <w:color w:val="auto"/>
              </w:rPr>
              <w:t>3,474</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American Clinical Solutions, LLC</w:t>
            </w:r>
          </w:p>
        </w:tc>
        <w:tc>
          <w:tcPr>
            <w:tcW w:w="1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First Lien Debt (7.0% Cash, Due 6/30/21)</w:t>
            </w:r>
            <w:r>
              <w:rPr>
                <w:rFonts w:ascii="Arial" w:cs="Arial" w:eastAsia="Arial" w:hAnsi="Arial"/>
                <w:sz w:val="19"/>
                <w:szCs w:val="19"/>
                <w:color w:val="auto"/>
                <w:vertAlign w:val="superscript"/>
              </w:rPr>
              <w:t>(6)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4/13/2020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Borders>
              <w:right w:val="single" w:sz="8" w:color="CCEEFF"/>
            </w:tcBorders>
            <w:shd w:val="clear" w:color="auto" w:fill="CCEEFF"/>
          </w:tcPr>
          <w:p>
            <w:pPr>
              <w:spacing w:after="0"/>
              <w:rPr>
                <w:sz w:val="19"/>
                <w:szCs w:val="1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250</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3"/>
                <w:szCs w:val="13"/>
                <w:color w:val="auto"/>
              </w:rPr>
              <w:t>American Clinical Solutions, LLC</w:t>
            </w:r>
          </w:p>
        </w:tc>
        <w:tc>
          <w:tcPr>
            <w:tcW w:w="1380" w:type="dxa"/>
            <w:vAlign w:val="bottom"/>
          </w:tcPr>
          <w:p>
            <w:pPr>
              <w:ind w:left="80"/>
              <w:spacing w:after="0"/>
              <w:rPr>
                <w:sz w:val="20"/>
                <w:szCs w:val="20"/>
                <w:color w:val="auto"/>
              </w:rPr>
            </w:pPr>
            <w:r>
              <w:rPr>
                <w:rFonts w:ascii="Arial" w:cs="Arial" w:eastAsia="Arial" w:hAnsi="Arial"/>
                <w:sz w:val="13"/>
                <w:szCs w:val="13"/>
                <w:color w:val="auto"/>
              </w:rPr>
              <w:t>Healthcare</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rPr>
              <w:t>Class A Membership Units (6,030,384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4/13/2020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3,198</w:t>
            </w:r>
          </w:p>
        </w:tc>
        <w:tc>
          <w:tcPr>
            <w:tcW w:w="520" w:type="dxa"/>
            <w:vAlign w:val="bottom"/>
          </w:tcPr>
          <w:p>
            <w:pPr>
              <w:jc w:val="right"/>
              <w:spacing w:after="0"/>
              <w:rPr>
                <w:sz w:val="20"/>
                <w:szCs w:val="20"/>
                <w:color w:val="auto"/>
              </w:rPr>
            </w:pPr>
            <w:r>
              <w:rPr>
                <w:rFonts w:ascii="Arial" w:cs="Arial" w:eastAsia="Arial" w:hAnsi="Arial"/>
                <w:sz w:val="13"/>
                <w:szCs w:val="13"/>
                <w:color w:val="auto"/>
              </w:rPr>
              <w:t>3,831</w:t>
            </w:r>
          </w:p>
        </w:tc>
        <w:tc>
          <w:tcPr>
            <w:tcW w:w="8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6,948</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7,555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3"/>
                <w:szCs w:val="13"/>
                <w:color w:val="auto"/>
              </w:rPr>
              <w:t>AmeriMark Direct, LLC</w:t>
            </w:r>
          </w:p>
        </w:tc>
        <w:tc>
          <w:tcPr>
            <w:tcW w:w="1380" w:type="dxa"/>
            <w:vAlign w:val="bottom"/>
          </w:tcPr>
          <w:p>
            <w:pPr>
              <w:ind w:left="80"/>
              <w:spacing w:after="0"/>
              <w:rPr>
                <w:sz w:val="20"/>
                <w:szCs w:val="20"/>
                <w:color w:val="auto"/>
              </w:rPr>
            </w:pPr>
            <w:r>
              <w:rPr>
                <w:rFonts w:ascii="Arial" w:cs="Arial" w:eastAsia="Arial" w:hAnsi="Arial"/>
                <w:sz w:val="13"/>
                <w:szCs w:val="13"/>
                <w:color w:val="auto"/>
              </w:rPr>
              <w:t>Consumer Products</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w w:val="98"/>
              </w:rPr>
              <w:t>First Lien Debt (14.0% Cash, 1.3% PIK, Due 9/8/21)</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9/8/2016</w:t>
            </w:r>
          </w:p>
        </w:tc>
        <w:tc>
          <w:tcPr>
            <w:tcW w:w="460" w:type="dxa"/>
            <w:vAlign w:val="bottom"/>
          </w:tcPr>
          <w:p>
            <w:pPr>
              <w:jc w:val="right"/>
              <w:spacing w:after="0"/>
              <w:rPr>
                <w:sz w:val="20"/>
                <w:szCs w:val="20"/>
                <w:color w:val="auto"/>
              </w:rPr>
            </w:pPr>
            <w:r>
              <w:rPr>
                <w:rFonts w:ascii="Arial" w:cs="Arial" w:eastAsia="Arial" w:hAnsi="Arial"/>
                <w:sz w:val="13"/>
                <w:szCs w:val="13"/>
                <w:color w:val="auto"/>
              </w:rPr>
              <w:t>14,705</w:t>
            </w: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14,649</w:t>
            </w:r>
          </w:p>
        </w:tc>
        <w:tc>
          <w:tcPr>
            <w:tcW w:w="520" w:type="dxa"/>
            <w:vAlign w:val="bottom"/>
          </w:tcPr>
          <w:p>
            <w:pPr>
              <w:jc w:val="right"/>
              <w:spacing w:after="0"/>
              <w:rPr>
                <w:sz w:val="20"/>
                <w:szCs w:val="20"/>
                <w:color w:val="auto"/>
              </w:rPr>
            </w:pPr>
            <w:r>
              <w:rPr>
                <w:rFonts w:ascii="Arial" w:cs="Arial" w:eastAsia="Arial" w:hAnsi="Arial"/>
                <w:sz w:val="13"/>
                <w:szCs w:val="13"/>
                <w:color w:val="auto"/>
              </w:rPr>
              <w:t>14,649</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14,649</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14,649</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6"/>
        </w:trPr>
        <w:tc>
          <w:tcPr>
            <w:tcW w:w="238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spacing w:after="0"/>
              <w:rPr>
                <w:sz w:val="13"/>
                <w:szCs w:val="13"/>
                <w:color w:val="auto"/>
              </w:rPr>
            </w:pPr>
          </w:p>
        </w:tc>
        <w:tc>
          <w:tcPr>
            <w:tcW w:w="3040" w:type="dxa"/>
            <w:vAlign w:val="bottom"/>
            <w:tcBorders>
              <w:top w:val="single" w:sz="8" w:color="CCEEFF"/>
            </w:tcBorders>
            <w:gridSpan w:val="2"/>
          </w:tcPr>
          <w:p>
            <w:pPr>
              <w:ind w:left="80"/>
              <w:spacing w:after="0"/>
              <w:rPr>
                <w:sz w:val="20"/>
                <w:szCs w:val="20"/>
                <w:color w:val="auto"/>
              </w:rPr>
            </w:pPr>
            <w:r>
              <w:rPr>
                <w:rFonts w:ascii="Arial" w:cs="Arial" w:eastAsia="Arial" w:hAnsi="Arial"/>
                <w:sz w:val="13"/>
                <w:szCs w:val="13"/>
                <w:color w:val="auto"/>
                <w:w w:val="97"/>
              </w:rPr>
              <w:t>First Lien Debt (9.0% Cash (1 month LIBOR + 8.5%,</w:t>
            </w:r>
          </w:p>
        </w:tc>
        <w:tc>
          <w:tcPr>
            <w:tcW w:w="6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3"/>
                <w:szCs w:val="13"/>
                <w:color w:val="auto"/>
              </w:rPr>
              <w:t>BigMouth, Inc.</w:t>
            </w:r>
          </w:p>
        </w:tc>
        <w:tc>
          <w:tcPr>
            <w:tcW w:w="1380" w:type="dxa"/>
            <w:vAlign w:val="bottom"/>
          </w:tcPr>
          <w:p>
            <w:pPr>
              <w:ind w:left="80"/>
              <w:spacing w:after="0"/>
              <w:rPr>
                <w:sz w:val="20"/>
                <w:szCs w:val="20"/>
                <w:color w:val="auto"/>
              </w:rPr>
            </w:pPr>
            <w:r>
              <w:rPr>
                <w:rFonts w:ascii="Arial" w:cs="Arial" w:eastAsia="Arial" w:hAnsi="Arial"/>
                <w:sz w:val="13"/>
                <w:szCs w:val="13"/>
                <w:color w:val="auto"/>
              </w:rPr>
              <w:t>Consumer Products</w:t>
            </w:r>
          </w:p>
        </w:tc>
        <w:tc>
          <w:tcPr>
            <w:tcW w:w="3040" w:type="dxa"/>
            <w:vAlign w:val="bottom"/>
            <w:gridSpan w:val="2"/>
          </w:tcPr>
          <w:p>
            <w:pPr>
              <w:ind w:left="80"/>
              <w:spacing w:after="0" w:line="216" w:lineRule="exact"/>
              <w:rPr>
                <w:sz w:val="20"/>
                <w:szCs w:val="20"/>
                <w:color w:val="auto"/>
              </w:rPr>
            </w:pPr>
            <w:r>
              <w:rPr>
                <w:rFonts w:ascii="Arial" w:cs="Arial" w:eastAsia="Arial" w:hAnsi="Arial"/>
                <w:sz w:val="13"/>
                <w:szCs w:val="13"/>
                <w:color w:val="auto"/>
              </w:rPr>
              <w:t>0.5% Floor), Due 11/14/21)</w:t>
            </w:r>
            <w:r>
              <w:rPr>
                <w:rFonts w:ascii="Arial" w:cs="Arial" w:eastAsia="Arial" w:hAnsi="Arial"/>
                <w:sz w:val="19"/>
                <w:szCs w:val="19"/>
                <w:color w:val="auto"/>
                <w:vertAlign w:val="superscript"/>
              </w:rPr>
              <w:t>(7)</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11/14/2016</w:t>
            </w:r>
          </w:p>
        </w:tc>
        <w:tc>
          <w:tcPr>
            <w:tcW w:w="460" w:type="dxa"/>
            <w:vAlign w:val="bottom"/>
          </w:tcPr>
          <w:p>
            <w:pPr>
              <w:jc w:val="right"/>
              <w:spacing w:after="0"/>
              <w:rPr>
                <w:sz w:val="20"/>
                <w:szCs w:val="20"/>
                <w:color w:val="auto"/>
              </w:rPr>
            </w:pPr>
            <w:r>
              <w:rPr>
                <w:rFonts w:ascii="Arial" w:cs="Arial" w:eastAsia="Arial" w:hAnsi="Arial"/>
                <w:sz w:val="13"/>
                <w:szCs w:val="13"/>
                <w:color w:val="auto"/>
              </w:rPr>
              <w:t>1,866</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1,268</w:t>
            </w:r>
          </w:p>
        </w:tc>
        <w:tc>
          <w:tcPr>
            <w:tcW w:w="52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1,268</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ind w:left="80"/>
              <w:spacing w:after="0"/>
              <w:rPr>
                <w:sz w:val="20"/>
                <w:szCs w:val="20"/>
                <w:color w:val="auto"/>
              </w:rPr>
            </w:pPr>
            <w:r>
              <w:rPr>
                <w:rFonts w:ascii="Arial" w:cs="Arial" w:eastAsia="Arial" w:hAnsi="Arial"/>
                <w:sz w:val="13"/>
                <w:szCs w:val="13"/>
                <w:color w:val="auto"/>
              </w:rPr>
              <w:t>Online Merchandise</w:t>
            </w:r>
          </w:p>
        </w:tc>
        <w:tc>
          <w:tcPr>
            <w:tcW w:w="3040" w:type="dxa"/>
            <w:vAlign w:val="bottom"/>
            <w:tcBorders>
              <w:top w:val="single" w:sz="8" w:color="CCEEFF"/>
            </w:tcBorders>
            <w:gridSpan w:val="2"/>
          </w:tcPr>
          <w:p>
            <w:pPr>
              <w:ind w:left="80"/>
              <w:spacing w:after="0"/>
              <w:rPr>
                <w:sz w:val="20"/>
                <w:szCs w:val="20"/>
                <w:color w:val="auto"/>
              </w:rPr>
            </w:pPr>
            <w:r>
              <w:rPr>
                <w:rFonts w:ascii="Arial" w:cs="Arial" w:eastAsia="Arial" w:hAnsi="Arial"/>
                <w:sz w:val="13"/>
                <w:szCs w:val="13"/>
                <w:color w:val="auto"/>
              </w:rPr>
              <w:t>Second Lien Debt (10.0% (1 month LIBOR + 8.5%,</w:t>
            </w:r>
          </w:p>
        </w:tc>
        <w:tc>
          <w:tcPr>
            <w:tcW w:w="6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3"/>
                <w:szCs w:val="13"/>
                <w:color w:val="auto"/>
              </w:rPr>
              <w:t>BLST Operating Company, LLC</w:t>
            </w:r>
          </w:p>
        </w:tc>
        <w:tc>
          <w:tcPr>
            <w:tcW w:w="1380" w:type="dxa"/>
            <w:vAlign w:val="bottom"/>
          </w:tcPr>
          <w:p>
            <w:pPr>
              <w:ind w:left="80"/>
              <w:spacing w:after="0"/>
              <w:rPr>
                <w:sz w:val="20"/>
                <w:szCs w:val="20"/>
                <w:color w:val="auto"/>
              </w:rPr>
            </w:pPr>
            <w:r>
              <w:rPr>
                <w:rFonts w:ascii="Arial" w:cs="Arial" w:eastAsia="Arial" w:hAnsi="Arial"/>
                <w:sz w:val="13"/>
                <w:szCs w:val="13"/>
                <w:color w:val="auto"/>
              </w:rPr>
              <w:t>Retailer</w:t>
            </w:r>
          </w:p>
        </w:tc>
        <w:tc>
          <w:tcPr>
            <w:tcW w:w="3040" w:type="dxa"/>
            <w:vAlign w:val="bottom"/>
            <w:gridSpan w:val="2"/>
          </w:tcPr>
          <w:p>
            <w:pPr>
              <w:ind w:left="80"/>
              <w:spacing w:after="0" w:line="216" w:lineRule="exact"/>
              <w:rPr>
                <w:sz w:val="20"/>
                <w:szCs w:val="20"/>
                <w:color w:val="auto"/>
              </w:rPr>
            </w:pPr>
            <w:r>
              <w:rPr>
                <w:rFonts w:ascii="Arial" w:cs="Arial" w:eastAsia="Arial" w:hAnsi="Arial"/>
                <w:sz w:val="13"/>
                <w:szCs w:val="13"/>
                <w:color w:val="auto"/>
              </w:rPr>
              <w:t>1.5% Floor), Due 8/28/25)</w:t>
            </w:r>
            <w:r>
              <w:rPr>
                <w:rFonts w:ascii="Arial" w:cs="Arial" w:eastAsia="Arial" w:hAnsi="Arial"/>
                <w:sz w:val="19"/>
                <w:szCs w:val="19"/>
                <w:color w:val="auto"/>
                <w:vertAlign w:val="superscript"/>
              </w:rPr>
              <w:t>(8)</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8/28/2020</w:t>
            </w:r>
          </w:p>
        </w:tc>
        <w:tc>
          <w:tcPr>
            <w:tcW w:w="460" w:type="dxa"/>
            <w:vAlign w:val="bottom"/>
          </w:tcPr>
          <w:p>
            <w:pPr>
              <w:jc w:val="right"/>
              <w:spacing w:after="0"/>
              <w:rPr>
                <w:sz w:val="20"/>
                <w:szCs w:val="20"/>
                <w:color w:val="auto"/>
              </w:rPr>
            </w:pPr>
            <w:r>
              <w:rPr>
                <w:rFonts w:ascii="Arial" w:cs="Arial" w:eastAsia="Arial" w:hAnsi="Arial"/>
                <w:sz w:val="13"/>
                <w:szCs w:val="13"/>
                <w:color w:val="auto"/>
              </w:rPr>
              <w:t>1,953</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1,953</w:t>
            </w:r>
          </w:p>
        </w:tc>
        <w:tc>
          <w:tcPr>
            <w:tcW w:w="520" w:type="dxa"/>
            <w:vAlign w:val="bottom"/>
          </w:tcPr>
          <w:p>
            <w:pPr>
              <w:jc w:val="right"/>
              <w:spacing w:after="0"/>
              <w:rPr>
                <w:sz w:val="20"/>
                <w:szCs w:val="20"/>
                <w:color w:val="auto"/>
              </w:rPr>
            </w:pPr>
            <w:r>
              <w:rPr>
                <w:rFonts w:ascii="Arial" w:cs="Arial" w:eastAsia="Arial" w:hAnsi="Arial"/>
                <w:sz w:val="13"/>
                <w:szCs w:val="13"/>
                <w:color w:val="auto"/>
              </w:rPr>
              <w:t>1,953</w:t>
            </w: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8"/>
        </w:trPr>
        <w:tc>
          <w:tcPr>
            <w:tcW w:w="2380" w:type="dxa"/>
            <w:vAlign w:val="bottom"/>
            <w:shd w:val="clear" w:color="auto" w:fill="CCEEFF"/>
          </w:tcPr>
          <w:p>
            <w:pPr>
              <w:spacing w:after="0"/>
              <w:rPr>
                <w:sz w:val="16"/>
                <w:szCs w:val="16"/>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Online Merchandise</w:t>
            </w:r>
          </w:p>
        </w:tc>
        <w:tc>
          <w:tcPr>
            <w:tcW w:w="2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8/28/2020</w:t>
            </w:r>
          </w:p>
        </w:tc>
        <w:tc>
          <w:tcPr>
            <w:tcW w:w="4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286</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6"/>
                <w:szCs w:val="16"/>
                <w:color w:val="auto"/>
              </w:rPr>
            </w:pP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BLST Operating Company, LLC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Retailer</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Class A Common Units (217,013 units)</w:t>
            </w: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2,239</w:t>
            </w:r>
          </w:p>
        </w:tc>
        <w:tc>
          <w:tcPr>
            <w:tcW w:w="520" w:type="dxa"/>
            <w:vAlign w:val="bottom"/>
          </w:tcPr>
          <w:p>
            <w:pPr>
              <w:jc w:val="right"/>
              <w:spacing w:after="0"/>
              <w:rPr>
                <w:sz w:val="20"/>
                <w:szCs w:val="20"/>
                <w:color w:val="auto"/>
              </w:rPr>
            </w:pPr>
            <w:r>
              <w:rPr>
                <w:rFonts w:ascii="Arial" w:cs="Arial" w:eastAsia="Arial" w:hAnsi="Arial"/>
                <w:sz w:val="13"/>
                <w:szCs w:val="13"/>
                <w:color w:val="auto"/>
              </w:rPr>
              <w:t>2,253</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Home Repair Parts</w:t>
            </w:r>
          </w:p>
        </w:tc>
        <w:tc>
          <w:tcPr>
            <w:tcW w:w="2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4/30/2015</w:t>
            </w:r>
          </w:p>
        </w:tc>
        <w:tc>
          <w:tcPr>
            <w:tcW w:w="4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5</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2,461</w:t>
            </w:r>
          </w:p>
        </w:tc>
        <w:tc>
          <w:tcPr>
            <w:tcW w:w="80" w:type="dxa"/>
            <w:vAlign w:val="bottom"/>
            <w:shd w:val="clear" w:color="auto" w:fill="CCEEFF"/>
          </w:tcPr>
          <w:p>
            <w:pPr>
              <w:spacing w:after="0"/>
              <w:rPr>
                <w:sz w:val="15"/>
                <w:szCs w:val="15"/>
                <w:color w:val="auto"/>
              </w:rPr>
            </w:pP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Burke America Parts Group, LLC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Manufacturer</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Membership Units (14 units)</w:t>
            </w: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520" w:type="dxa"/>
            <w:vAlign w:val="bottom"/>
          </w:tcPr>
          <w:p>
            <w:pPr>
              <w:jc w:val="right"/>
              <w:spacing w:after="0"/>
              <w:rPr>
                <w:sz w:val="20"/>
                <w:szCs w:val="20"/>
                <w:color w:val="auto"/>
              </w:rPr>
            </w:pPr>
            <w:r>
              <w:rPr>
                <w:rFonts w:ascii="Arial" w:cs="Arial" w:eastAsia="Arial" w:hAnsi="Arial"/>
                <w:sz w:val="13"/>
                <w:szCs w:val="13"/>
                <w:color w:val="auto"/>
              </w:rPr>
              <w:t>2,461</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Multi-platform media</w:t>
            </w:r>
          </w:p>
        </w:tc>
        <w:tc>
          <w:tcPr>
            <w:tcW w:w="30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First Lien Debt (10.0% Cash (1 month LIBOR +</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Chicken Soup for the Soul, LLC</w:t>
            </w:r>
          </w:p>
        </w:tc>
        <w:tc>
          <w:tcPr>
            <w:tcW w:w="13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and consumer products</w:t>
            </w:r>
          </w:p>
        </w:tc>
        <w:tc>
          <w:tcPr>
            <w:tcW w:w="30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3"/>
                <w:szCs w:val="13"/>
                <w:color w:val="auto"/>
              </w:rPr>
              <w:t>8.5%, 1.5% Floor), Due 2/22/22)</w:t>
            </w:r>
            <w:r>
              <w:rPr>
                <w:rFonts w:ascii="Arial" w:cs="Arial" w:eastAsia="Arial" w:hAnsi="Arial"/>
                <w:sz w:val="19"/>
                <w:szCs w:val="19"/>
                <w:color w:val="auto"/>
                <w:vertAlign w:val="superscript"/>
              </w:rPr>
              <w:t>(6)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12/14/2018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13,000</w:t>
            </w: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13,000</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13,000</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13,000</w:t>
            </w:r>
          </w:p>
        </w:tc>
        <w:tc>
          <w:tcPr>
            <w:tcW w:w="520" w:type="dxa"/>
            <w:vAlign w:val="bottom"/>
          </w:tcPr>
          <w:p>
            <w:pPr>
              <w:jc w:val="right"/>
              <w:spacing w:after="0"/>
              <w:rPr>
                <w:sz w:val="20"/>
                <w:szCs w:val="20"/>
                <w:color w:val="auto"/>
              </w:rPr>
            </w:pPr>
            <w:r>
              <w:rPr>
                <w:rFonts w:ascii="Arial" w:cs="Arial" w:eastAsia="Arial" w:hAnsi="Arial"/>
                <w:sz w:val="13"/>
                <w:szCs w:val="13"/>
                <w:color w:val="auto"/>
              </w:rPr>
              <w:t>13,000</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Security System</w:t>
            </w:r>
          </w:p>
        </w:tc>
        <w:tc>
          <w:tcPr>
            <w:tcW w:w="30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7"/>
              </w:rPr>
              <w:t>First Lien Debt (8.6% Cash (1 month LIBOR + 7.0%,</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Chief Fire Intermediate, Inc.</w:t>
            </w:r>
          </w:p>
        </w:tc>
        <w:tc>
          <w:tcPr>
            <w:tcW w:w="1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Services</w:t>
            </w:r>
          </w:p>
        </w:tc>
        <w:tc>
          <w:tcPr>
            <w:tcW w:w="30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3"/>
                <w:szCs w:val="13"/>
                <w:color w:val="auto"/>
              </w:rPr>
              <w:t xml:space="preserve">1.6% Floor), Due 11/8/24) </w:t>
            </w:r>
            <w:r>
              <w:rPr>
                <w:rFonts w:ascii="Arial" w:cs="Arial" w:eastAsia="Arial" w:hAnsi="Arial"/>
                <w:sz w:val="19"/>
                <w:szCs w:val="19"/>
                <w:color w:val="auto"/>
                <w:vertAlign w:val="superscript"/>
              </w:rPr>
              <w:t>(7)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11/8/2019</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8,100</w:t>
            </w: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8,100</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5,344</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3"/>
                <w:szCs w:val="13"/>
                <w:color w:val="auto"/>
              </w:rPr>
              <w:t>Security System</w:t>
            </w: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3"/>
                <w:szCs w:val="13"/>
                <w:color w:val="auto"/>
              </w:rPr>
              <w:t>Chief Fire Intermediate, Inc.</w:t>
            </w:r>
          </w:p>
        </w:tc>
        <w:tc>
          <w:tcPr>
            <w:tcW w:w="1380" w:type="dxa"/>
            <w:vAlign w:val="bottom"/>
          </w:tcPr>
          <w:p>
            <w:pPr>
              <w:ind w:left="80"/>
              <w:spacing w:after="0"/>
              <w:rPr>
                <w:sz w:val="20"/>
                <w:szCs w:val="20"/>
                <w:color w:val="auto"/>
              </w:rPr>
            </w:pPr>
            <w:r>
              <w:rPr>
                <w:rFonts w:ascii="Arial" w:cs="Arial" w:eastAsia="Arial" w:hAnsi="Arial"/>
                <w:sz w:val="13"/>
                <w:szCs w:val="13"/>
                <w:color w:val="auto"/>
              </w:rPr>
              <w:t>Services</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rPr>
              <w:t>Class A Preferred Units (34,740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11/8/2019</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913</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380" w:type="dxa"/>
            <w:vAlign w:val="bottom"/>
            <w:shd w:val="clear" w:color="auto" w:fill="CCEEFF"/>
          </w:tcPr>
          <w:p>
            <w:pPr>
              <w:spacing w:after="0"/>
              <w:rPr>
                <w:sz w:val="16"/>
                <w:szCs w:val="16"/>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Security System</w:t>
            </w:r>
          </w:p>
        </w:tc>
        <w:tc>
          <w:tcPr>
            <w:tcW w:w="2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11/8/2019</w:t>
            </w:r>
          </w:p>
        </w:tc>
        <w:tc>
          <w:tcPr>
            <w:tcW w:w="4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Chief Fire Intermediate, Inc.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Services</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Class B Common Units (3,510 units)</w:t>
            </w: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vMerge w:val="continue"/>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54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9,013</w:t>
            </w:r>
          </w:p>
        </w:tc>
        <w:tc>
          <w:tcPr>
            <w:tcW w:w="520" w:type="dxa"/>
            <w:vAlign w:val="bottom"/>
          </w:tcPr>
          <w:p>
            <w:pPr>
              <w:jc w:val="right"/>
              <w:spacing w:after="0"/>
              <w:rPr>
                <w:sz w:val="20"/>
                <w:szCs w:val="20"/>
                <w:color w:val="auto"/>
              </w:rPr>
            </w:pPr>
            <w:r>
              <w:rPr>
                <w:rFonts w:ascii="Arial" w:cs="Arial" w:eastAsia="Arial" w:hAnsi="Arial"/>
                <w:sz w:val="13"/>
                <w:szCs w:val="13"/>
                <w:color w:val="auto"/>
              </w:rPr>
              <w:t>5,344</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7"/>
              </w:rPr>
              <w:t>First Lien Debt (9.5% Cash (1 month LIBOR + 8.5%,</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CIS Secure Computing, Inc.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Government Services</w:t>
            </w:r>
          </w:p>
        </w:tc>
        <w:tc>
          <w:tcPr>
            <w:tcW w:w="3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1.0% Floor), 1.0% PIK, Due 9/14/22)</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9/14/2017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8,322</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8,322</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8,322</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3"/>
                <w:szCs w:val="13"/>
                <w:color w:val="auto"/>
              </w:rPr>
              <w:t>CIS Secure Computing, Inc.</w:t>
            </w:r>
          </w:p>
        </w:tc>
        <w:tc>
          <w:tcPr>
            <w:tcW w:w="1380" w:type="dxa"/>
            <w:vAlign w:val="bottom"/>
          </w:tcPr>
          <w:p>
            <w:pPr>
              <w:ind w:left="80"/>
              <w:spacing w:after="0"/>
              <w:rPr>
                <w:sz w:val="20"/>
                <w:szCs w:val="20"/>
                <w:color w:val="auto"/>
              </w:rPr>
            </w:pPr>
            <w:r>
              <w:rPr>
                <w:rFonts w:ascii="Arial" w:cs="Arial" w:eastAsia="Arial" w:hAnsi="Arial"/>
                <w:sz w:val="13"/>
                <w:szCs w:val="13"/>
                <w:color w:val="auto"/>
              </w:rPr>
              <w:t>Government Services</w:t>
            </w:r>
          </w:p>
        </w:tc>
        <w:tc>
          <w:tcPr>
            <w:tcW w:w="3040" w:type="dxa"/>
            <w:vAlign w:val="bottom"/>
            <w:gridSpan w:val="2"/>
          </w:tcPr>
          <w:p>
            <w:pPr>
              <w:ind w:left="80"/>
              <w:spacing w:after="0"/>
              <w:rPr>
                <w:sz w:val="20"/>
                <w:szCs w:val="20"/>
                <w:color w:val="auto"/>
              </w:rPr>
            </w:pPr>
            <w:r>
              <w:rPr>
                <w:rFonts w:ascii="Arial" w:cs="Arial" w:eastAsia="Arial" w:hAnsi="Arial"/>
                <w:sz w:val="13"/>
                <w:szCs w:val="13"/>
                <w:color w:val="auto"/>
              </w:rPr>
              <w:t>Common Stock (46,163 shares)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9/14/2017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1,000</w:t>
            </w:r>
          </w:p>
        </w:tc>
        <w:tc>
          <w:tcPr>
            <w:tcW w:w="520" w:type="dxa"/>
            <w:vAlign w:val="bottom"/>
          </w:tcPr>
          <w:p>
            <w:pPr>
              <w:jc w:val="right"/>
              <w:spacing w:after="0"/>
              <w:rPr>
                <w:sz w:val="20"/>
                <w:szCs w:val="20"/>
                <w:color w:val="auto"/>
              </w:rPr>
            </w:pPr>
            <w:r>
              <w:rPr>
                <w:rFonts w:ascii="Arial" w:cs="Arial" w:eastAsia="Arial" w:hAnsi="Arial"/>
                <w:sz w:val="13"/>
                <w:szCs w:val="13"/>
                <w:color w:val="auto"/>
              </w:rPr>
              <w:t>3,059</w:t>
            </w:r>
          </w:p>
        </w:tc>
        <w:tc>
          <w:tcPr>
            <w:tcW w:w="8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9,322</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11,381</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82"/>
        </w:trPr>
        <w:tc>
          <w:tcPr>
            <w:tcW w:w="238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ind w:left="80"/>
              <w:spacing w:after="0"/>
              <w:rPr>
                <w:sz w:val="20"/>
                <w:szCs w:val="20"/>
                <w:color w:val="auto"/>
              </w:rPr>
            </w:pPr>
            <w:r>
              <w:rPr>
                <w:rFonts w:ascii="Arial" w:cs="Arial" w:eastAsia="Arial" w:hAnsi="Arial"/>
                <w:sz w:val="13"/>
                <w:szCs w:val="13"/>
                <w:color w:val="auto"/>
              </w:rPr>
              <w:t>Sales &amp; Marketing</w:t>
            </w:r>
          </w:p>
        </w:tc>
        <w:tc>
          <w:tcPr>
            <w:tcW w:w="3040" w:type="dxa"/>
            <w:vAlign w:val="bottom"/>
            <w:tcBorders>
              <w:top w:val="single" w:sz="8" w:color="CCEEFF"/>
            </w:tcBorders>
            <w:gridSpan w:val="2"/>
            <w:vMerge w:val="restart"/>
          </w:tcPr>
          <w:p>
            <w:pPr>
              <w:ind w:left="80"/>
              <w:spacing w:after="0"/>
              <w:rPr>
                <w:sz w:val="20"/>
                <w:szCs w:val="20"/>
                <w:color w:val="auto"/>
              </w:rPr>
            </w:pPr>
            <w:r>
              <w:rPr>
                <w:rFonts w:ascii="Arial" w:cs="Arial" w:eastAsia="Arial" w:hAnsi="Arial"/>
                <w:sz w:val="13"/>
                <w:szCs w:val="13"/>
                <w:color w:val="auto"/>
              </w:rPr>
              <w:t>Second Lien Debt (11.0%, Due 11/29/21)</w:t>
            </w:r>
            <w:r>
              <w:rPr>
                <w:rFonts w:ascii="Arial" w:cs="Arial" w:eastAsia="Arial" w:hAnsi="Arial"/>
                <w:sz w:val="19"/>
                <w:szCs w:val="19"/>
                <w:color w:val="auto"/>
                <w:vertAlign w:val="superscript"/>
              </w:rPr>
              <w:t>(9)</w:t>
            </w:r>
          </w:p>
        </w:tc>
        <w:tc>
          <w:tcPr>
            <w:tcW w:w="6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Arial" w:cs="Arial" w:eastAsia="Arial" w:hAnsi="Arial"/>
                <w:sz w:val="13"/>
                <w:szCs w:val="13"/>
                <w:color w:val="auto"/>
              </w:rPr>
              <w:t>Corporate Visions, Inc.</w:t>
            </w:r>
          </w:p>
        </w:tc>
        <w:tc>
          <w:tcPr>
            <w:tcW w:w="1380" w:type="dxa"/>
            <w:vAlign w:val="bottom"/>
          </w:tcPr>
          <w:p>
            <w:pPr>
              <w:ind w:left="80"/>
              <w:spacing w:after="0"/>
              <w:rPr>
                <w:sz w:val="20"/>
                <w:szCs w:val="20"/>
                <w:color w:val="auto"/>
              </w:rPr>
            </w:pPr>
            <w:r>
              <w:rPr>
                <w:rFonts w:ascii="Arial" w:cs="Arial" w:eastAsia="Arial" w:hAnsi="Arial"/>
                <w:sz w:val="13"/>
                <w:szCs w:val="13"/>
                <w:color w:val="auto"/>
              </w:rPr>
              <w:t>Services</w:t>
            </w:r>
          </w:p>
        </w:tc>
        <w:tc>
          <w:tcPr>
            <w:tcW w:w="3040" w:type="dxa"/>
            <w:vAlign w:val="bottom"/>
            <w:gridSpan w:val="2"/>
            <w:vMerge w:val="continue"/>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5/29/2015</w:t>
            </w:r>
          </w:p>
        </w:tc>
        <w:tc>
          <w:tcPr>
            <w:tcW w:w="460" w:type="dxa"/>
            <w:vAlign w:val="bottom"/>
          </w:tcPr>
          <w:p>
            <w:pPr>
              <w:jc w:val="right"/>
              <w:spacing w:after="0"/>
              <w:rPr>
                <w:sz w:val="20"/>
                <w:szCs w:val="20"/>
                <w:color w:val="auto"/>
              </w:rPr>
            </w:pPr>
            <w:r>
              <w:rPr>
                <w:rFonts w:ascii="Arial" w:cs="Arial" w:eastAsia="Arial" w:hAnsi="Arial"/>
                <w:sz w:val="13"/>
                <w:szCs w:val="13"/>
                <w:color w:val="auto"/>
              </w:rPr>
              <w:t>19,425</w:t>
            </w:r>
          </w:p>
        </w:tc>
        <w:tc>
          <w:tcPr>
            <w:tcW w:w="1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19,425</w:t>
            </w:r>
          </w:p>
        </w:tc>
        <w:tc>
          <w:tcPr>
            <w:tcW w:w="520" w:type="dxa"/>
            <w:vAlign w:val="bottom"/>
          </w:tcPr>
          <w:p>
            <w:pPr>
              <w:jc w:val="right"/>
              <w:spacing w:after="0"/>
              <w:rPr>
                <w:sz w:val="20"/>
                <w:szCs w:val="20"/>
                <w:color w:val="auto"/>
              </w:rPr>
            </w:pPr>
            <w:r>
              <w:rPr>
                <w:rFonts w:ascii="Arial" w:cs="Arial" w:eastAsia="Arial" w:hAnsi="Arial"/>
                <w:sz w:val="13"/>
                <w:szCs w:val="13"/>
                <w:color w:val="auto"/>
              </w:rPr>
              <w:t>19,425</w:t>
            </w:r>
          </w:p>
        </w:tc>
        <w:tc>
          <w:tcPr>
            <w:tcW w:w="8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-426720</wp:posOffset>
            </wp:positionV>
            <wp:extent cx="61804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-821055</wp:posOffset>
            </wp:positionV>
            <wp:extent cx="61804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-1704340</wp:posOffset>
            </wp:positionV>
            <wp:extent cx="61804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-2106930</wp:posOffset>
            </wp:positionV>
            <wp:extent cx="61804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-2510155</wp:posOffset>
            </wp:positionV>
            <wp:extent cx="61804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-3307080</wp:posOffset>
            </wp:positionV>
            <wp:extent cx="61804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-3710305</wp:posOffset>
            </wp:positionV>
            <wp:extent cx="61804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-4018915</wp:posOffset>
            </wp:positionV>
            <wp:extent cx="61804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-4618990</wp:posOffset>
            </wp:positionV>
            <wp:extent cx="61804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-5501640</wp:posOffset>
            </wp:positionV>
            <wp:extent cx="61804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6097905</wp:posOffset>
            </wp:positionH>
            <wp:positionV relativeFrom="paragraph">
              <wp:posOffset>-6376035</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-6376035</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-6376035</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-6376035</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-6376035</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-6376035</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-6376035</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13" w:name="page114"/>
    <w:bookmarkEnd w:id="113"/>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380" w:type="dxa"/>
            <w:vAlign w:val="bottom"/>
            <w:vMerge w:val="restart"/>
          </w:tcPr>
          <w:p>
            <w:pPr>
              <w:spacing w:after="0"/>
              <w:rPr>
                <w:sz w:val="20"/>
                <w:szCs w:val="20"/>
                <w:color w:val="auto"/>
              </w:rPr>
            </w:pPr>
            <w:r>
              <w:rPr>
                <w:rFonts w:ascii="Arial" w:cs="Arial" w:eastAsia="Arial" w:hAnsi="Arial"/>
                <w:sz w:val="12"/>
                <w:szCs w:val="12"/>
                <w:b w:val="1"/>
                <w:bCs w:val="1"/>
                <w:color w:val="auto"/>
                <w:w w:val="92"/>
              </w:rPr>
              <w:t>Portfolio Company, Country</w:t>
            </w:r>
            <w:r>
              <w:rPr>
                <w:rFonts w:ascii="Arial" w:cs="Arial" w:eastAsia="Arial" w:hAnsi="Arial"/>
                <w:sz w:val="17"/>
                <w:szCs w:val="17"/>
                <w:b w:val="1"/>
                <w:bCs w:val="1"/>
                <w:color w:val="auto"/>
                <w:w w:val="92"/>
                <w:vertAlign w:val="superscript"/>
              </w:rPr>
              <w:t>(1), (2), (3), (4), (5)</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2"/>
              </w:rPr>
              <w:t>Acquisition</w:t>
            </w:r>
          </w:p>
        </w:tc>
        <w:tc>
          <w:tcPr>
            <w:tcW w:w="640" w:type="dxa"/>
            <w:vAlign w:val="bottom"/>
            <w:gridSpan w:val="3"/>
          </w:tcPr>
          <w:p>
            <w:pPr>
              <w:jc w:val="right"/>
              <w:ind w:right="137"/>
              <w:spacing w:after="0"/>
              <w:rPr>
                <w:sz w:val="20"/>
                <w:szCs w:val="20"/>
                <w:color w:val="auto"/>
              </w:rPr>
            </w:pPr>
            <w:r>
              <w:rPr>
                <w:rFonts w:ascii="Arial" w:cs="Arial" w:eastAsia="Arial" w:hAnsi="Arial"/>
                <w:sz w:val="12"/>
                <w:szCs w:val="12"/>
                <w:b w:val="1"/>
                <w:bCs w:val="1"/>
                <w:color w:val="auto"/>
                <w:w w:val="82"/>
              </w:rPr>
              <w:t>Principal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4"/>
              </w:rPr>
              <w:t>% of</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Industry</w:t>
            </w:r>
          </w:p>
        </w:tc>
        <w:tc>
          <w:tcPr>
            <w:tcW w:w="80" w:type="dxa"/>
            <w:vAlign w:val="bottom"/>
            <w:tcBorders>
              <w:bottom w:val="single" w:sz="8" w:color="CCEEFF"/>
            </w:tcBorders>
          </w:tcPr>
          <w:p>
            <w:pPr>
              <w:spacing w:after="0"/>
              <w:rPr>
                <w:sz w:val="15"/>
                <w:szCs w:val="15"/>
                <w:color w:val="auto"/>
              </w:rPr>
            </w:pPr>
          </w:p>
        </w:tc>
        <w:tc>
          <w:tcPr>
            <w:tcW w:w="288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Type of Investment</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Cost</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Fair Value</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w w:val="80"/>
              </w:rPr>
              <w:t>Net Assets</w:t>
            </w:r>
          </w:p>
        </w:tc>
        <w:tc>
          <w:tcPr>
            <w:tcW w:w="0" w:type="dxa"/>
            <w:vAlign w:val="bottom"/>
          </w:tcPr>
          <w:p>
            <w:pPr>
              <w:spacing w:after="0"/>
              <w:rPr>
                <w:sz w:val="1"/>
                <w:szCs w:val="1"/>
                <w:color w:val="auto"/>
              </w:rPr>
            </w:pPr>
          </w:p>
        </w:tc>
      </w:tr>
      <w:tr>
        <w:trPr>
          <w:trHeight w:val="182"/>
        </w:trPr>
        <w:tc>
          <w:tcPr>
            <w:tcW w:w="2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 &amp; Marketing</w:t>
            </w:r>
          </w:p>
        </w:tc>
        <w:tc>
          <w:tcPr>
            <w:tcW w:w="2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5/29/2015</w:t>
            </w:r>
          </w:p>
        </w:tc>
        <w:tc>
          <w:tcPr>
            <w:tcW w:w="560" w:type="dxa"/>
            <w:vAlign w:val="bottom"/>
            <w:tcBorders>
              <w:right w:val="single" w:sz="8" w:color="CCEEFF"/>
            </w:tcBorders>
            <w:gridSpan w:val="2"/>
            <w:vMerge w:val="restart"/>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1,575</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  1,522</w:t>
            </w:r>
          </w:p>
        </w:tc>
        <w:tc>
          <w:tcPr>
            <w:tcW w:w="80" w:type="dxa"/>
            <w:vAlign w:val="bottom"/>
            <w:shd w:val="clear" w:color="auto" w:fill="CCEEFF"/>
          </w:tcPr>
          <w:p>
            <w:pPr>
              <w:spacing w:after="0"/>
              <w:rPr>
                <w:sz w:val="15"/>
                <w:szCs w:val="15"/>
                <w:color w:val="auto"/>
              </w:rPr>
            </w:pP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Visions, Inc.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Services</w:t>
            </w:r>
          </w:p>
        </w:tc>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Stock (15,750 shares)</w:t>
            </w: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21,000</w:t>
            </w:r>
          </w:p>
        </w:tc>
        <w:tc>
          <w:tcPr>
            <w:tcW w:w="520" w:type="dxa"/>
            <w:vAlign w:val="bottom"/>
          </w:tcPr>
          <w:p>
            <w:pPr>
              <w:jc w:val="right"/>
              <w:spacing w:after="0"/>
              <w:rPr>
                <w:sz w:val="20"/>
                <w:szCs w:val="20"/>
                <w:color w:val="auto"/>
              </w:rPr>
            </w:pPr>
            <w:r>
              <w:rPr>
                <w:rFonts w:ascii="Arial" w:cs="Arial" w:eastAsia="Arial" w:hAnsi="Arial"/>
                <w:sz w:val="13"/>
                <w:szCs w:val="13"/>
                <w:color w:val="auto"/>
              </w:rPr>
              <w:t>20,947</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Lien Debt (12.5% Cash (1 month LIBOR +</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Currency Capital, LLC</w:t>
            </w: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29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w w:val="95"/>
              </w:rPr>
              <w:t>12.0%, 0.5% Floor), 4.0% PIK, Due 7/20/21)</w:t>
            </w:r>
            <w:r>
              <w:rPr>
                <w:rFonts w:ascii="Arial" w:cs="Arial" w:eastAsia="Arial" w:hAnsi="Arial"/>
                <w:sz w:val="19"/>
                <w:szCs w:val="19"/>
                <w:color w:val="auto"/>
                <w:w w:val="95"/>
                <w:vertAlign w:val="superscript"/>
              </w:rPr>
              <w:t>(6)(7)(10)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$16,500</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16,172</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8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3"/>
                <w:szCs w:val="13"/>
                <w:color w:val="auto"/>
              </w:rPr>
              <w:t>Currency Capital, LLC</w:t>
            </w:r>
          </w:p>
        </w:tc>
        <w:tc>
          <w:tcPr>
            <w:tcW w:w="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Financial Services</w:t>
            </w:r>
          </w:p>
        </w:tc>
        <w:tc>
          <w:tcPr>
            <w:tcW w:w="2960" w:type="dxa"/>
            <w:vAlign w:val="bottom"/>
            <w:gridSpan w:val="2"/>
          </w:tcPr>
          <w:p>
            <w:pPr>
              <w:spacing w:after="0"/>
              <w:rPr>
                <w:sz w:val="20"/>
                <w:szCs w:val="20"/>
                <w:color w:val="auto"/>
              </w:rPr>
            </w:pPr>
            <w:r>
              <w:rPr>
                <w:rFonts w:ascii="Arial" w:cs="Arial" w:eastAsia="Arial" w:hAnsi="Arial"/>
                <w:sz w:val="13"/>
                <w:szCs w:val="13"/>
                <w:color w:val="auto"/>
              </w:rPr>
              <w:t>Class A Preferred Units (2,000,000 units)</w:t>
            </w:r>
            <w:r>
              <w:rPr>
                <w:rFonts w:ascii="Arial" w:cs="Arial" w:eastAsia="Arial" w:hAnsi="Arial"/>
                <w:sz w:val="19"/>
                <w:szCs w:val="19"/>
                <w:color w:val="auto"/>
                <w:vertAlign w:val="superscript"/>
              </w:rPr>
              <w:t>(10)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1/20/2017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2,000</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18,172</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2"/>
        </w:trPr>
        <w:tc>
          <w:tcPr>
            <w:tcW w:w="23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rPr>
              <w:t>Electronic Machine</w:t>
            </w:r>
          </w:p>
        </w:tc>
        <w:tc>
          <w:tcPr>
            <w:tcW w:w="296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w w:val="97"/>
              </w:rPr>
              <w:t>First Lien Debt (7.0% Cash (1 month LIBOR + 5.0%,</w:t>
            </w:r>
          </w:p>
        </w:tc>
        <w:tc>
          <w:tcPr>
            <w:tcW w:w="6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3"/>
                <w:szCs w:val="13"/>
                <w:color w:val="auto"/>
              </w:rPr>
              <w:t>Freedom Electronics, LLC</w:t>
            </w:r>
          </w:p>
        </w:tc>
        <w:tc>
          <w:tcPr>
            <w:tcW w:w="8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Repair</w:t>
            </w:r>
          </w:p>
        </w:tc>
        <w:tc>
          <w:tcPr>
            <w:tcW w:w="2960" w:type="dxa"/>
            <w:vAlign w:val="bottom"/>
            <w:gridSpan w:val="2"/>
          </w:tcPr>
          <w:p>
            <w:pPr>
              <w:spacing w:after="0"/>
              <w:rPr>
                <w:sz w:val="20"/>
                <w:szCs w:val="20"/>
                <w:color w:val="auto"/>
              </w:rPr>
            </w:pPr>
            <w:r>
              <w:rPr>
                <w:rFonts w:ascii="Arial" w:cs="Arial" w:eastAsia="Arial" w:hAnsi="Arial"/>
                <w:sz w:val="13"/>
                <w:szCs w:val="13"/>
                <w:color w:val="auto"/>
              </w:rPr>
              <w:t>2.0% Floor), Due 12/20/23)</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6/1/2020</w:t>
            </w:r>
          </w:p>
        </w:tc>
        <w:tc>
          <w:tcPr>
            <w:tcW w:w="460" w:type="dxa"/>
            <w:vAlign w:val="bottom"/>
          </w:tcPr>
          <w:p>
            <w:pPr>
              <w:jc w:val="right"/>
              <w:spacing w:after="0"/>
              <w:rPr>
                <w:sz w:val="20"/>
                <w:szCs w:val="20"/>
                <w:color w:val="auto"/>
              </w:rPr>
            </w:pPr>
            <w:r>
              <w:rPr>
                <w:rFonts w:ascii="Arial" w:cs="Arial" w:eastAsia="Arial" w:hAnsi="Arial"/>
                <w:sz w:val="13"/>
                <w:szCs w:val="13"/>
                <w:color w:val="auto"/>
              </w:rPr>
              <w:t>2,691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2,691</w:t>
            </w:r>
          </w:p>
        </w:tc>
        <w:tc>
          <w:tcPr>
            <w:tcW w:w="520" w:type="dxa"/>
            <w:vAlign w:val="bottom"/>
          </w:tcPr>
          <w:p>
            <w:pPr>
              <w:jc w:val="right"/>
              <w:spacing w:after="0"/>
              <w:rPr>
                <w:sz w:val="20"/>
                <w:szCs w:val="20"/>
                <w:color w:val="auto"/>
              </w:rPr>
            </w:pPr>
            <w:r>
              <w:rPr>
                <w:rFonts w:ascii="Arial" w:cs="Arial" w:eastAsia="Arial" w:hAnsi="Arial"/>
                <w:sz w:val="13"/>
                <w:szCs w:val="13"/>
                <w:color w:val="auto"/>
              </w:rPr>
              <w:t>2,691</w:t>
            </w:r>
          </w:p>
        </w:tc>
        <w:tc>
          <w:tcPr>
            <w:tcW w:w="8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Electronic Machine</w:t>
            </w:r>
          </w:p>
        </w:tc>
        <w:tc>
          <w:tcPr>
            <w:tcW w:w="29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First Lien Debt (8.7% Cash, Due 12/20/23)</w:t>
            </w:r>
            <w:r>
              <w:rPr>
                <w:rFonts w:ascii="Arial" w:cs="Arial" w:eastAsia="Arial" w:hAnsi="Arial"/>
                <w:sz w:val="19"/>
                <w:szCs w:val="19"/>
                <w:color w:val="auto"/>
                <w:vertAlign w:val="superscript"/>
              </w:rPr>
              <w:t>(11)(12)</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Freedom Electronics, LLC</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Repair</w:t>
            </w:r>
          </w:p>
        </w:tc>
        <w:tc>
          <w:tcPr>
            <w:tcW w:w="29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12/20/2018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5,870</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5,870</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5,870</w:t>
            </w: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Electronic Machine</w:t>
            </w: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92"/>
              </w:rPr>
              <w:t>12/20/2018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182</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198</w:t>
            </w:r>
          </w:p>
        </w:tc>
        <w:tc>
          <w:tcPr>
            <w:tcW w:w="80" w:type="dxa"/>
            <w:vAlign w:val="bottom"/>
          </w:tcPr>
          <w:p>
            <w:pPr>
              <w:spacing w:after="0"/>
              <w:rPr>
                <w:sz w:val="16"/>
                <w:szCs w:val="16"/>
                <w:color w:val="auto"/>
              </w:rPr>
            </w:pP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3"/>
                <w:szCs w:val="13"/>
                <w:color w:val="auto"/>
              </w:rPr>
              <w:t>Freedom Electronics, LLC</w:t>
            </w:r>
          </w:p>
        </w:tc>
        <w:tc>
          <w:tcPr>
            <w:tcW w:w="8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Repair</w:t>
            </w:r>
          </w:p>
        </w:tc>
        <w:tc>
          <w:tcPr>
            <w:tcW w:w="2960" w:type="dxa"/>
            <w:vAlign w:val="bottom"/>
            <w:gridSpan w:val="2"/>
          </w:tcPr>
          <w:p>
            <w:pPr>
              <w:spacing w:after="0"/>
              <w:rPr>
                <w:sz w:val="20"/>
                <w:szCs w:val="20"/>
                <w:color w:val="auto"/>
              </w:rPr>
            </w:pPr>
            <w:r>
              <w:rPr>
                <w:rFonts w:ascii="Arial" w:cs="Arial" w:eastAsia="Arial" w:hAnsi="Arial"/>
                <w:sz w:val="13"/>
                <w:szCs w:val="13"/>
                <w:color w:val="auto"/>
              </w:rPr>
              <w:t>Membership Units (181,818 units)</w:t>
            </w:r>
          </w:p>
        </w:tc>
        <w:tc>
          <w:tcPr>
            <w:tcW w:w="7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8,743</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8,759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20"/>
                <w:szCs w:val="20"/>
                <w:color w:val="auto"/>
              </w:rPr>
            </w:pPr>
            <w:r>
              <w:rPr>
                <w:rFonts w:ascii="Arial" w:cs="Arial" w:eastAsia="Arial" w:hAnsi="Arial"/>
                <w:sz w:val="13"/>
                <w:szCs w:val="13"/>
                <w:color w:val="auto"/>
              </w:rPr>
              <w:t>HUMC Opco, LLC</w:t>
            </w:r>
          </w:p>
        </w:tc>
        <w:tc>
          <w:tcPr>
            <w:tcW w:w="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Healthcare</w:t>
            </w:r>
          </w:p>
        </w:tc>
        <w:tc>
          <w:tcPr>
            <w:tcW w:w="2960" w:type="dxa"/>
            <w:vAlign w:val="bottom"/>
            <w:gridSpan w:val="2"/>
          </w:tcPr>
          <w:p>
            <w:pPr>
              <w:spacing w:after="0"/>
              <w:rPr>
                <w:sz w:val="20"/>
                <w:szCs w:val="20"/>
                <w:color w:val="auto"/>
              </w:rPr>
            </w:pPr>
            <w:r>
              <w:rPr>
                <w:rFonts w:ascii="Arial" w:cs="Arial" w:eastAsia="Arial" w:hAnsi="Arial"/>
                <w:sz w:val="13"/>
                <w:szCs w:val="13"/>
                <w:color w:val="auto"/>
              </w:rPr>
              <w:t>First Lien Debt (9.0% Cash, Due 1/11/21)</w:t>
            </w:r>
            <w:r>
              <w:rPr>
                <w:rFonts w:ascii="Arial" w:cs="Arial" w:eastAsia="Arial" w:hAnsi="Arial"/>
                <w:sz w:val="19"/>
                <w:szCs w:val="19"/>
                <w:color w:val="auto"/>
                <w:vertAlign w:val="superscript"/>
              </w:rPr>
              <w:t>(6)</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8/8/2019</w:t>
            </w:r>
          </w:p>
        </w:tc>
        <w:tc>
          <w:tcPr>
            <w:tcW w:w="46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5,000</w:t>
            </w:r>
          </w:p>
        </w:tc>
        <w:tc>
          <w:tcPr>
            <w:tcW w:w="520" w:type="dxa"/>
            <w:vAlign w:val="bottom"/>
          </w:tcPr>
          <w:p>
            <w:pPr>
              <w:jc w:val="right"/>
              <w:spacing w:after="0"/>
              <w:rPr>
                <w:sz w:val="20"/>
                <w:szCs w:val="20"/>
                <w:color w:val="auto"/>
              </w:rPr>
            </w:pPr>
            <w:r>
              <w:rPr>
                <w:rFonts w:ascii="Arial" w:cs="Arial" w:eastAsia="Arial" w:hAnsi="Arial"/>
                <w:sz w:val="13"/>
                <w:szCs w:val="13"/>
                <w:color w:val="auto"/>
              </w:rPr>
              <w:t>5,000</w:t>
            </w:r>
          </w:p>
        </w:tc>
        <w:tc>
          <w:tcPr>
            <w:tcW w:w="8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5,000</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rPr>
              <w:t>Wireless Deployment</w:t>
            </w:r>
          </w:p>
        </w:tc>
        <w:tc>
          <w:tcPr>
            <w:tcW w:w="296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w w:val="97"/>
              </w:rPr>
              <w:t>First Lien Debt (8.3% Cash (1 month LIBOR + 6.5%,</w:t>
            </w:r>
          </w:p>
        </w:tc>
        <w:tc>
          <w:tcPr>
            <w:tcW w:w="6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Arial" w:cs="Arial" w:eastAsia="Arial" w:hAnsi="Arial"/>
                <w:sz w:val="13"/>
                <w:szCs w:val="13"/>
                <w:color w:val="auto"/>
              </w:rPr>
              <w:t>J5 Infrastructure Partners, LLC</w:t>
            </w:r>
          </w:p>
        </w:tc>
        <w:tc>
          <w:tcPr>
            <w:tcW w:w="8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Services</w:t>
            </w:r>
          </w:p>
        </w:tc>
        <w:tc>
          <w:tcPr>
            <w:tcW w:w="2960" w:type="dxa"/>
            <w:vAlign w:val="bottom"/>
            <w:gridSpan w:val="2"/>
          </w:tcPr>
          <w:p>
            <w:pPr>
              <w:spacing w:after="0" w:line="189" w:lineRule="exact"/>
              <w:rPr>
                <w:sz w:val="20"/>
                <w:szCs w:val="20"/>
                <w:color w:val="auto"/>
              </w:rPr>
            </w:pPr>
            <w:r>
              <w:rPr>
                <w:rFonts w:ascii="Arial" w:cs="Arial" w:eastAsia="Arial" w:hAnsi="Arial"/>
                <w:sz w:val="13"/>
                <w:szCs w:val="13"/>
                <w:color w:val="auto"/>
              </w:rPr>
              <w:t>1.8% Floor), Due 12/20/24)</w:t>
            </w:r>
            <w:r>
              <w:rPr>
                <w:rFonts w:ascii="Arial" w:cs="Arial" w:eastAsia="Arial" w:hAnsi="Arial"/>
                <w:sz w:val="19"/>
                <w:szCs w:val="19"/>
                <w:color w:val="auto"/>
                <w:vertAlign w:val="superscript"/>
              </w:rPr>
              <w:t>(13)</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12/20/2019</w:t>
            </w:r>
          </w:p>
        </w:tc>
        <w:tc>
          <w:tcPr>
            <w:tcW w:w="64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8"/>
        </w:trPr>
        <w:tc>
          <w:tcPr>
            <w:tcW w:w="2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Wireless Deployment</w:t>
            </w:r>
          </w:p>
        </w:tc>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First Lien Debt (8.3% Cash (1 month LIBOR + 6.5%,</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92"/>
              </w:rPr>
              <w:t>12/20/2019</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6,948</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6,948</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6,948</w:t>
            </w:r>
          </w:p>
        </w:tc>
        <w:tc>
          <w:tcPr>
            <w:tcW w:w="80" w:type="dxa"/>
            <w:vAlign w:val="bottom"/>
            <w:shd w:val="clear" w:color="auto" w:fill="CCEEFF"/>
          </w:tcPr>
          <w:p>
            <w:pPr>
              <w:spacing w:after="0"/>
              <w:rPr>
                <w:sz w:val="16"/>
                <w:szCs w:val="16"/>
                <w:color w:val="auto"/>
              </w:rPr>
            </w:pP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J5 Infrastructure Partners, LLC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Services</w:t>
            </w:r>
          </w:p>
        </w:tc>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1.8% Floor), Due 12/20/24)</w:t>
            </w: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4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6,948</w:t>
            </w:r>
          </w:p>
        </w:tc>
        <w:tc>
          <w:tcPr>
            <w:tcW w:w="520" w:type="dxa"/>
            <w:vAlign w:val="bottom"/>
          </w:tcPr>
          <w:p>
            <w:pPr>
              <w:jc w:val="right"/>
              <w:spacing w:after="0"/>
              <w:rPr>
                <w:sz w:val="20"/>
                <w:szCs w:val="20"/>
                <w:color w:val="auto"/>
              </w:rPr>
            </w:pPr>
            <w:r>
              <w:rPr>
                <w:rFonts w:ascii="Arial" w:cs="Arial" w:eastAsia="Arial" w:hAnsi="Arial"/>
                <w:sz w:val="13"/>
                <w:szCs w:val="13"/>
                <w:color w:val="auto"/>
              </w:rPr>
              <w:t>6,948</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First Lien Debt (9.5% Cash (1 month LIBOR + 7.5%,</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Jurassic Quest Holdings, LLC</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Entertainment</w:t>
            </w:r>
          </w:p>
        </w:tc>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 Floor), Due 5/1/24)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5/1/2019</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9,665</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9,665</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9,665</w:t>
            </w: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3"/>
                <w:szCs w:val="13"/>
                <w:color w:val="auto"/>
              </w:rPr>
              <w:t>Jurassic Quest Holdings, LLC</w:t>
            </w:r>
          </w:p>
        </w:tc>
        <w:tc>
          <w:tcPr>
            <w:tcW w:w="8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Entertainment</w:t>
            </w:r>
          </w:p>
        </w:tc>
        <w:tc>
          <w:tcPr>
            <w:tcW w:w="2960" w:type="dxa"/>
            <w:vAlign w:val="bottom"/>
            <w:gridSpan w:val="2"/>
          </w:tcPr>
          <w:p>
            <w:pPr>
              <w:spacing w:after="0"/>
              <w:rPr>
                <w:sz w:val="20"/>
                <w:szCs w:val="20"/>
                <w:color w:val="auto"/>
              </w:rPr>
            </w:pPr>
            <w:r>
              <w:rPr>
                <w:rFonts w:ascii="Arial" w:cs="Arial" w:eastAsia="Arial" w:hAnsi="Arial"/>
                <w:sz w:val="13"/>
                <w:szCs w:val="13"/>
                <w:color w:val="auto"/>
              </w:rPr>
              <w:t>Preferred Units (467,784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5/1/2019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480</w:t>
            </w:r>
          </w:p>
        </w:tc>
        <w:tc>
          <w:tcPr>
            <w:tcW w:w="520" w:type="dxa"/>
            <w:vAlign w:val="bottom"/>
          </w:tcPr>
          <w:p>
            <w:pPr>
              <w:jc w:val="right"/>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10,145</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10,241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80" w:type="dxa"/>
            <w:vAlign w:val="bottom"/>
          </w:tcPr>
          <w:p>
            <w:pPr>
              <w:spacing w:after="0"/>
              <w:rPr>
                <w:sz w:val="20"/>
                <w:szCs w:val="20"/>
                <w:color w:val="auto"/>
              </w:rPr>
            </w:pPr>
            <w:r>
              <w:rPr>
                <w:rFonts w:ascii="Arial" w:cs="Arial" w:eastAsia="Arial" w:hAnsi="Arial"/>
                <w:sz w:val="13"/>
                <w:szCs w:val="13"/>
                <w:color w:val="auto"/>
              </w:rPr>
              <w:t>MicroHoldco, LLC</w:t>
            </w: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General Industrial</w:t>
            </w:r>
          </w:p>
        </w:tc>
        <w:tc>
          <w:tcPr>
            <w:tcW w:w="2960" w:type="dxa"/>
            <w:vAlign w:val="bottom"/>
            <w:gridSpan w:val="2"/>
          </w:tcPr>
          <w:p>
            <w:pPr>
              <w:spacing w:after="0"/>
              <w:rPr>
                <w:sz w:val="20"/>
                <w:szCs w:val="20"/>
                <w:color w:val="auto"/>
              </w:rPr>
            </w:pPr>
            <w:r>
              <w:rPr>
                <w:rFonts w:ascii="Arial" w:cs="Arial" w:eastAsia="Arial" w:hAnsi="Arial"/>
                <w:sz w:val="13"/>
                <w:szCs w:val="13"/>
                <w:color w:val="auto"/>
              </w:rPr>
              <w:t>Preferred Units (838,042 units)</w:t>
            </w:r>
            <w:r>
              <w:rPr>
                <w:rFonts w:ascii="Arial" w:cs="Arial" w:eastAsia="Arial" w:hAnsi="Arial"/>
                <w:sz w:val="19"/>
                <w:szCs w:val="19"/>
                <w:color w:val="auto"/>
                <w:vertAlign w:val="superscript"/>
              </w:rPr>
              <w:t>(14)</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7/25/2019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838</w:t>
            </w:r>
          </w:p>
        </w:tc>
        <w:tc>
          <w:tcPr>
            <w:tcW w:w="520" w:type="dxa"/>
            <w:vAlign w:val="bottom"/>
          </w:tcPr>
          <w:p>
            <w:pPr>
              <w:jc w:val="right"/>
              <w:spacing w:after="0"/>
              <w:rPr>
                <w:sz w:val="20"/>
                <w:szCs w:val="20"/>
                <w:color w:val="auto"/>
              </w:rPr>
            </w:pPr>
            <w:r>
              <w:rPr>
                <w:rFonts w:ascii="Arial" w:cs="Arial" w:eastAsia="Arial" w:hAnsi="Arial"/>
                <w:sz w:val="13"/>
                <w:szCs w:val="13"/>
                <w:color w:val="auto"/>
              </w:rPr>
              <w:t>670</w:t>
            </w:r>
          </w:p>
        </w:tc>
        <w:tc>
          <w:tcPr>
            <w:tcW w:w="8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838</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9"/>
        </w:trPr>
        <w:tc>
          <w:tcPr>
            <w:tcW w:w="2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rPr>
              <w:t>Security System</w:t>
            </w:r>
          </w:p>
        </w:tc>
        <w:tc>
          <w:tcPr>
            <w:tcW w:w="296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w w:val="97"/>
              </w:rPr>
              <w:t>First Lien Debt (5.5% Cash (1 month LIBOR + 3.8%,</w:t>
            </w:r>
          </w:p>
        </w:tc>
        <w:tc>
          <w:tcPr>
            <w:tcW w:w="6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Arial" w:cs="Arial" w:eastAsia="Arial" w:hAnsi="Arial"/>
                <w:sz w:val="13"/>
                <w:szCs w:val="13"/>
                <w:color w:val="auto"/>
              </w:rPr>
              <w:t>Rapid Fire Protection, Inc.</w:t>
            </w:r>
          </w:p>
        </w:tc>
        <w:tc>
          <w:tcPr>
            <w:tcW w:w="8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Services</w:t>
            </w:r>
          </w:p>
        </w:tc>
        <w:tc>
          <w:tcPr>
            <w:tcW w:w="2960" w:type="dxa"/>
            <w:vAlign w:val="bottom"/>
            <w:gridSpan w:val="2"/>
          </w:tcPr>
          <w:p>
            <w:pPr>
              <w:spacing w:after="0" w:line="189" w:lineRule="exact"/>
              <w:rPr>
                <w:sz w:val="20"/>
                <w:szCs w:val="20"/>
                <w:color w:val="auto"/>
              </w:rPr>
            </w:pPr>
            <w:r>
              <w:rPr>
                <w:rFonts w:ascii="Arial" w:cs="Arial" w:eastAsia="Arial" w:hAnsi="Arial"/>
                <w:sz w:val="13"/>
                <w:szCs w:val="13"/>
                <w:color w:val="auto"/>
              </w:rPr>
              <w:t>1.7% Floor), Due 11/22/24)</w:t>
            </w:r>
            <w:r>
              <w:rPr>
                <w:rFonts w:ascii="Arial" w:cs="Arial" w:eastAsia="Arial" w:hAnsi="Arial"/>
                <w:sz w:val="19"/>
                <w:szCs w:val="19"/>
                <w:color w:val="auto"/>
                <w:vertAlign w:val="superscript"/>
              </w:rPr>
              <w:t>(15)</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6/1/2020</w:t>
            </w:r>
          </w:p>
        </w:tc>
        <w:tc>
          <w:tcPr>
            <w:tcW w:w="460" w:type="dxa"/>
            <w:vAlign w:val="bottom"/>
          </w:tcPr>
          <w:p>
            <w:pPr>
              <w:jc w:val="right"/>
              <w:spacing w:after="0"/>
              <w:rPr>
                <w:sz w:val="20"/>
                <w:szCs w:val="20"/>
                <w:color w:val="auto"/>
              </w:rPr>
            </w:pPr>
            <w:r>
              <w:rPr>
                <w:rFonts w:ascii="Arial" w:cs="Arial" w:eastAsia="Arial" w:hAnsi="Arial"/>
                <w:sz w:val="13"/>
                <w:szCs w:val="13"/>
                <w:color w:val="auto"/>
              </w:rPr>
              <w:t>621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621</w:t>
            </w:r>
          </w:p>
        </w:tc>
        <w:tc>
          <w:tcPr>
            <w:tcW w:w="520" w:type="dxa"/>
            <w:vAlign w:val="bottom"/>
          </w:tcPr>
          <w:p>
            <w:pPr>
              <w:jc w:val="right"/>
              <w:spacing w:after="0"/>
              <w:rPr>
                <w:sz w:val="20"/>
                <w:szCs w:val="20"/>
                <w:color w:val="auto"/>
              </w:rPr>
            </w:pPr>
            <w:r>
              <w:rPr>
                <w:rFonts w:ascii="Arial" w:cs="Arial" w:eastAsia="Arial" w:hAnsi="Arial"/>
                <w:sz w:val="13"/>
                <w:szCs w:val="13"/>
                <w:color w:val="auto"/>
              </w:rPr>
              <w:t>621</w:t>
            </w:r>
          </w:p>
        </w:tc>
        <w:tc>
          <w:tcPr>
            <w:tcW w:w="8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Security System</w:t>
            </w:r>
          </w:p>
        </w:tc>
        <w:tc>
          <w:tcPr>
            <w:tcW w:w="29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First Lien Debt (8.9% Cash, Due 11/22/24)</w:t>
            </w:r>
            <w:r>
              <w:rPr>
                <w:rFonts w:ascii="Arial" w:cs="Arial" w:eastAsia="Arial" w:hAnsi="Arial"/>
                <w:sz w:val="19"/>
                <w:szCs w:val="19"/>
                <w:color w:val="auto"/>
                <w:vertAlign w:val="superscript"/>
              </w:rPr>
              <w:t>(11)(16)</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Rapid Fire Protection, Inc.</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Services</w:t>
            </w:r>
          </w:p>
        </w:tc>
        <w:tc>
          <w:tcPr>
            <w:tcW w:w="29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11/22/2019</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7,234</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7,234</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7,234</w:t>
            </w: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Security System</w:t>
            </w: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92"/>
              </w:rPr>
              <w:t>11/22/2019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500</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1,528</w:t>
            </w:r>
          </w:p>
        </w:tc>
        <w:tc>
          <w:tcPr>
            <w:tcW w:w="80" w:type="dxa"/>
            <w:vAlign w:val="bottom"/>
          </w:tcPr>
          <w:p>
            <w:pPr>
              <w:spacing w:after="0"/>
              <w:rPr>
                <w:sz w:val="17"/>
                <w:szCs w:val="17"/>
                <w:color w:val="auto"/>
              </w:rPr>
            </w:pP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3"/>
                <w:szCs w:val="13"/>
                <w:color w:val="auto"/>
              </w:rPr>
              <w:t>Rapid Fire Protection, Inc.</w:t>
            </w:r>
          </w:p>
        </w:tc>
        <w:tc>
          <w:tcPr>
            <w:tcW w:w="8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Services</w:t>
            </w:r>
          </w:p>
        </w:tc>
        <w:tc>
          <w:tcPr>
            <w:tcW w:w="2960" w:type="dxa"/>
            <w:vAlign w:val="bottom"/>
            <w:gridSpan w:val="2"/>
          </w:tcPr>
          <w:p>
            <w:pPr>
              <w:spacing w:after="0"/>
              <w:rPr>
                <w:sz w:val="20"/>
                <w:szCs w:val="20"/>
                <w:color w:val="auto"/>
              </w:rPr>
            </w:pPr>
            <w:r>
              <w:rPr>
                <w:rFonts w:ascii="Arial" w:cs="Arial" w:eastAsia="Arial" w:hAnsi="Arial"/>
                <w:sz w:val="13"/>
                <w:szCs w:val="13"/>
                <w:color w:val="auto"/>
              </w:rPr>
              <w:t>Common Stock (363 shares)</w:t>
            </w:r>
          </w:p>
        </w:tc>
        <w:tc>
          <w:tcPr>
            <w:tcW w:w="7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8,355</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9,383</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w w:val="97"/>
              </w:rPr>
              <w:t>First Lien Debt (9.3% Cash (3 month LIBOR + 8.3%,</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3/15/2019</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4,662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4,662</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3,856</w:t>
            </w:r>
          </w:p>
        </w:tc>
        <w:tc>
          <w:tcPr>
            <w:tcW w:w="80" w:type="dxa"/>
            <w:vAlign w:val="bottom"/>
          </w:tcPr>
          <w:p>
            <w:pPr>
              <w:spacing w:after="0"/>
              <w:rPr>
                <w:sz w:val="16"/>
                <w:szCs w:val="16"/>
                <w:color w:val="auto"/>
              </w:rPr>
            </w:pP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3"/>
                <w:szCs w:val="13"/>
                <w:color w:val="auto"/>
              </w:rPr>
              <w:t>Seitel, Inc.</w:t>
            </w:r>
          </w:p>
        </w:tc>
        <w:tc>
          <w:tcPr>
            <w:tcW w:w="8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Data Services</w:t>
            </w:r>
          </w:p>
        </w:tc>
        <w:tc>
          <w:tcPr>
            <w:tcW w:w="2960" w:type="dxa"/>
            <w:vAlign w:val="bottom"/>
            <w:gridSpan w:val="2"/>
          </w:tcPr>
          <w:p>
            <w:pPr>
              <w:ind w:left="120"/>
              <w:spacing w:after="0"/>
              <w:rPr>
                <w:sz w:val="20"/>
                <w:szCs w:val="20"/>
                <w:color w:val="auto"/>
              </w:rPr>
            </w:pPr>
            <w:r>
              <w:rPr>
                <w:rFonts w:ascii="Arial" w:cs="Arial" w:eastAsia="Arial" w:hAnsi="Arial"/>
                <w:sz w:val="13"/>
                <w:szCs w:val="13"/>
                <w:color w:val="auto"/>
              </w:rPr>
              <w:t>1.0% Floor) 2.0% PIK, Due 3/15/23)</w:t>
            </w:r>
          </w:p>
        </w:tc>
        <w:tc>
          <w:tcPr>
            <w:tcW w:w="70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4,662</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3,856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Pr>
          <w:p>
            <w:pPr>
              <w:spacing w:after="0"/>
              <w:rPr>
                <w:sz w:val="20"/>
                <w:szCs w:val="20"/>
                <w:color w:val="auto"/>
              </w:rPr>
            </w:pPr>
            <w:r>
              <w:rPr>
                <w:rFonts w:ascii="Arial" w:cs="Arial" w:eastAsia="Arial" w:hAnsi="Arial"/>
                <w:sz w:val="13"/>
                <w:szCs w:val="13"/>
                <w:color w:val="auto"/>
              </w:rPr>
              <w:t>Sequoia Healthcare Management, LLC</w:t>
            </w:r>
          </w:p>
        </w:tc>
        <w:tc>
          <w:tcPr>
            <w:tcW w:w="8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w w:val="95"/>
              </w:rPr>
              <w:t>Healthcare Management</w:t>
            </w:r>
          </w:p>
        </w:tc>
        <w:tc>
          <w:tcPr>
            <w:tcW w:w="2960" w:type="dxa"/>
            <w:vAlign w:val="bottom"/>
            <w:gridSpan w:val="2"/>
          </w:tcPr>
          <w:p>
            <w:pPr>
              <w:spacing w:after="0"/>
              <w:rPr>
                <w:sz w:val="20"/>
                <w:szCs w:val="20"/>
                <w:color w:val="auto"/>
              </w:rPr>
            </w:pPr>
            <w:r>
              <w:rPr>
                <w:rFonts w:ascii="Arial" w:cs="Arial" w:eastAsia="Arial" w:hAnsi="Arial"/>
                <w:sz w:val="13"/>
                <w:szCs w:val="13"/>
                <w:color w:val="auto"/>
              </w:rPr>
              <w:t>First Lien Debt (12.8% Cash, Due 1/11/21)</w:t>
            </w:r>
            <w:r>
              <w:rPr>
                <w:rFonts w:ascii="Arial" w:cs="Arial" w:eastAsia="Arial" w:hAnsi="Arial"/>
                <w:sz w:val="19"/>
                <w:szCs w:val="19"/>
                <w:color w:val="auto"/>
                <w:vertAlign w:val="superscript"/>
              </w:rPr>
              <w:t>(6)(7)</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8/21/2018</w:t>
            </w:r>
          </w:p>
        </w:tc>
        <w:tc>
          <w:tcPr>
            <w:tcW w:w="46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11,935</w:t>
            </w:r>
          </w:p>
        </w:tc>
        <w:tc>
          <w:tcPr>
            <w:tcW w:w="520" w:type="dxa"/>
            <w:vAlign w:val="bottom"/>
          </w:tcPr>
          <w:p>
            <w:pPr>
              <w:jc w:val="right"/>
              <w:spacing w:after="0"/>
              <w:rPr>
                <w:sz w:val="20"/>
                <w:szCs w:val="20"/>
                <w:color w:val="auto"/>
              </w:rPr>
            </w:pPr>
            <w:r>
              <w:rPr>
                <w:rFonts w:ascii="Arial" w:cs="Arial" w:eastAsia="Arial" w:hAnsi="Arial"/>
                <w:sz w:val="13"/>
                <w:szCs w:val="13"/>
                <w:color w:val="auto"/>
              </w:rPr>
              <w:t>10,673</w:t>
            </w:r>
          </w:p>
        </w:tc>
        <w:tc>
          <w:tcPr>
            <w:tcW w:w="80" w:type="dxa"/>
            <w:vAlign w:val="bottom"/>
          </w:tcPr>
          <w:p>
            <w:pPr>
              <w:spacing w:after="0"/>
              <w:rPr>
                <w:sz w:val="21"/>
                <w:szCs w:val="21"/>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11,935</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10,673</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Household Product</w:t>
            </w: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92"/>
              </w:rPr>
              <w:t>12/23/2014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758</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758</w:t>
            </w:r>
          </w:p>
        </w:tc>
        <w:tc>
          <w:tcPr>
            <w:tcW w:w="80" w:type="dxa"/>
            <w:vAlign w:val="bottom"/>
          </w:tcPr>
          <w:p>
            <w:pPr>
              <w:spacing w:after="0"/>
              <w:rPr>
                <w:sz w:val="16"/>
                <w:szCs w:val="16"/>
                <w:color w:val="auto"/>
              </w:rPr>
            </w:pP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3"/>
                <w:szCs w:val="13"/>
                <w:color w:val="auto"/>
              </w:rPr>
              <w:t>Taylor Precision Products, Inc.</w:t>
            </w:r>
          </w:p>
        </w:tc>
        <w:tc>
          <w:tcPr>
            <w:tcW w:w="8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Manufacturer</w:t>
            </w:r>
          </w:p>
        </w:tc>
        <w:tc>
          <w:tcPr>
            <w:tcW w:w="2960" w:type="dxa"/>
            <w:vAlign w:val="bottom"/>
            <w:gridSpan w:val="2"/>
          </w:tcPr>
          <w:p>
            <w:pPr>
              <w:spacing w:after="0"/>
              <w:rPr>
                <w:sz w:val="20"/>
                <w:szCs w:val="20"/>
                <w:color w:val="auto"/>
              </w:rPr>
            </w:pPr>
            <w:r>
              <w:rPr>
                <w:rFonts w:ascii="Arial" w:cs="Arial" w:eastAsia="Arial" w:hAnsi="Arial"/>
                <w:sz w:val="13"/>
                <w:szCs w:val="13"/>
                <w:color w:val="auto"/>
              </w:rPr>
              <w:t>Series C Preferred Stock (379 shares)</w:t>
            </w:r>
          </w:p>
        </w:tc>
        <w:tc>
          <w:tcPr>
            <w:tcW w:w="7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758</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95"/>
        </w:trPr>
        <w:tc>
          <w:tcPr>
            <w:tcW w:w="23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w w:val="97"/>
              </w:rPr>
              <w:t>First Lien Debt (7.0% Cash (3 month LIBOR + 5.0%,</w:t>
            </w:r>
          </w:p>
        </w:tc>
        <w:tc>
          <w:tcPr>
            <w:tcW w:w="6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3"/>
                <w:szCs w:val="13"/>
                <w:color w:val="auto"/>
              </w:rPr>
              <w:t>U.S. BioTek Laboratories, LLC</w:t>
            </w:r>
          </w:p>
        </w:tc>
        <w:tc>
          <w:tcPr>
            <w:tcW w:w="8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Testing laboratories</w:t>
            </w:r>
          </w:p>
        </w:tc>
        <w:tc>
          <w:tcPr>
            <w:tcW w:w="2960" w:type="dxa"/>
            <w:vAlign w:val="bottom"/>
            <w:gridSpan w:val="2"/>
          </w:tcPr>
          <w:p>
            <w:pPr>
              <w:spacing w:after="0"/>
              <w:rPr>
                <w:sz w:val="20"/>
                <w:szCs w:val="20"/>
                <w:color w:val="auto"/>
              </w:rPr>
            </w:pPr>
            <w:r>
              <w:rPr>
                <w:rFonts w:ascii="Arial" w:cs="Arial" w:eastAsia="Arial" w:hAnsi="Arial"/>
                <w:sz w:val="13"/>
                <w:szCs w:val="13"/>
                <w:color w:val="auto"/>
              </w:rPr>
              <w:t>2.0% Floor), Due 12/14/23)</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6/1/2020</w:t>
            </w:r>
          </w:p>
        </w:tc>
        <w:tc>
          <w:tcPr>
            <w:tcW w:w="460" w:type="dxa"/>
            <w:vAlign w:val="bottom"/>
          </w:tcPr>
          <w:p>
            <w:pPr>
              <w:jc w:val="right"/>
              <w:spacing w:after="0"/>
              <w:rPr>
                <w:sz w:val="20"/>
                <w:szCs w:val="20"/>
                <w:color w:val="auto"/>
              </w:rPr>
            </w:pPr>
            <w:r>
              <w:rPr>
                <w:rFonts w:ascii="Arial" w:cs="Arial" w:eastAsia="Arial" w:hAnsi="Arial"/>
                <w:sz w:val="13"/>
                <w:szCs w:val="13"/>
                <w:color w:val="auto"/>
              </w:rPr>
              <w:t>1,450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1,450</w:t>
            </w:r>
          </w:p>
        </w:tc>
        <w:tc>
          <w:tcPr>
            <w:tcW w:w="520" w:type="dxa"/>
            <w:vAlign w:val="bottom"/>
          </w:tcPr>
          <w:p>
            <w:pPr>
              <w:jc w:val="right"/>
              <w:spacing w:after="0"/>
              <w:rPr>
                <w:sz w:val="20"/>
                <w:szCs w:val="20"/>
                <w:color w:val="auto"/>
              </w:rPr>
            </w:pPr>
            <w:r>
              <w:rPr>
                <w:rFonts w:ascii="Arial" w:cs="Arial" w:eastAsia="Arial" w:hAnsi="Arial"/>
                <w:sz w:val="13"/>
                <w:szCs w:val="13"/>
                <w:color w:val="auto"/>
              </w:rPr>
              <w:t>1,450</w:t>
            </w:r>
          </w:p>
        </w:tc>
        <w:tc>
          <w:tcPr>
            <w:tcW w:w="8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44"/>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U.S. BioTek Laboratories, LLC</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Testing laboratories</w:t>
            </w:r>
          </w:p>
        </w:tc>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9"/>
              </w:rPr>
              <w:t>First Lien Debt (9.3% Cash, Due 12/14/23)</w:t>
            </w:r>
            <w:r>
              <w:rPr>
                <w:rFonts w:ascii="Arial" w:cs="Arial" w:eastAsia="Arial" w:hAnsi="Arial"/>
                <w:sz w:val="19"/>
                <w:szCs w:val="19"/>
                <w:color w:val="auto"/>
                <w:w w:val="99"/>
                <w:vertAlign w:val="superscript"/>
              </w:rPr>
              <w:t>(11) (12)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12/14/2018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4,511</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4,511</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4,511</w:t>
            </w:r>
          </w:p>
        </w:tc>
        <w:tc>
          <w:tcPr>
            <w:tcW w:w="8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3"/>
                <w:szCs w:val="13"/>
                <w:color w:val="auto"/>
              </w:rPr>
              <w:t>U.S. BioTek Laboratories, LLC</w:t>
            </w:r>
          </w:p>
        </w:tc>
        <w:tc>
          <w:tcPr>
            <w:tcW w:w="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Testing laboratories</w:t>
            </w:r>
          </w:p>
        </w:tc>
        <w:tc>
          <w:tcPr>
            <w:tcW w:w="2960" w:type="dxa"/>
            <w:vAlign w:val="bottom"/>
            <w:gridSpan w:val="2"/>
          </w:tcPr>
          <w:p>
            <w:pPr>
              <w:spacing w:after="0"/>
              <w:rPr>
                <w:sz w:val="20"/>
                <w:szCs w:val="20"/>
                <w:color w:val="auto"/>
              </w:rPr>
            </w:pPr>
            <w:r>
              <w:rPr>
                <w:rFonts w:ascii="Arial" w:cs="Arial" w:eastAsia="Arial" w:hAnsi="Arial"/>
                <w:sz w:val="13"/>
                <w:szCs w:val="13"/>
                <w:color w:val="auto"/>
              </w:rPr>
              <w:t>Class A Preferred Units (500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12/14/2018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540</w:t>
            </w:r>
          </w:p>
        </w:tc>
        <w:tc>
          <w:tcPr>
            <w:tcW w:w="520" w:type="dxa"/>
            <w:vAlign w:val="bottom"/>
          </w:tcPr>
          <w:p>
            <w:pPr>
              <w:jc w:val="right"/>
              <w:spacing w:after="0"/>
              <w:rPr>
                <w:sz w:val="20"/>
                <w:szCs w:val="20"/>
                <w:color w:val="auto"/>
              </w:rPr>
            </w:pPr>
            <w:r>
              <w:rPr>
                <w:rFonts w:ascii="Arial" w:cs="Arial" w:eastAsia="Arial" w:hAnsi="Arial"/>
                <w:sz w:val="13"/>
                <w:szCs w:val="13"/>
                <w:color w:val="auto"/>
              </w:rPr>
              <w:t>401</w:t>
            </w: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U.S. BioTek Laboratories, LLC</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Testing laboratories</w:t>
            </w:r>
          </w:p>
        </w:tc>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Class C Units (578 Units)</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12/14/2018</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3"/>
                <w:szCs w:val="13"/>
                <w:color w:val="auto"/>
              </w:rPr>
              <w:t>U.S. BioTek Laboratories, LLC</w:t>
            </w:r>
          </w:p>
        </w:tc>
        <w:tc>
          <w:tcPr>
            <w:tcW w:w="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Testing laboratories</w:t>
            </w:r>
          </w:p>
        </w:tc>
        <w:tc>
          <w:tcPr>
            <w:tcW w:w="2960" w:type="dxa"/>
            <w:vAlign w:val="bottom"/>
            <w:gridSpan w:val="2"/>
          </w:tcPr>
          <w:p>
            <w:pPr>
              <w:spacing w:after="0"/>
              <w:rPr>
                <w:sz w:val="20"/>
                <w:szCs w:val="20"/>
                <w:color w:val="auto"/>
              </w:rPr>
            </w:pPr>
            <w:r>
              <w:rPr>
                <w:rFonts w:ascii="Arial" w:cs="Arial" w:eastAsia="Arial" w:hAnsi="Arial"/>
                <w:sz w:val="13"/>
                <w:szCs w:val="13"/>
                <w:color w:val="auto"/>
              </w:rPr>
              <w:t>Class D Preferred Units (78 Units)</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4/3/2020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78</w:t>
            </w:r>
          </w:p>
        </w:tc>
        <w:tc>
          <w:tcPr>
            <w:tcW w:w="52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-1028065</wp:posOffset>
            </wp:positionV>
            <wp:extent cx="61804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-1447800</wp:posOffset>
            </wp:positionV>
            <wp:extent cx="61804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-1782445</wp:posOffset>
            </wp:positionV>
            <wp:extent cx="61804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-2202180</wp:posOffset>
            </wp:positionV>
            <wp:extent cx="61804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-3085465</wp:posOffset>
            </wp:positionV>
            <wp:extent cx="61804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-3402330</wp:posOffset>
            </wp:positionV>
            <wp:extent cx="61804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-3779520</wp:posOffset>
            </wp:positionV>
            <wp:extent cx="61804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-4559935</wp:posOffset>
            </wp:positionV>
            <wp:extent cx="61804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-4868545</wp:posOffset>
            </wp:positionV>
            <wp:extent cx="61804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-5716905</wp:posOffset>
            </wp:positionV>
            <wp:extent cx="61804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-6094095</wp:posOffset>
            </wp:positionV>
            <wp:extent cx="61804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6097905</wp:posOffset>
            </wp:positionH>
            <wp:positionV relativeFrom="paragraph">
              <wp:posOffset>-6497320</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-6497320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-6497320</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-6497320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-6497320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-6497320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-6497320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14" w:name="page115"/>
    <w:bookmarkEnd w:id="114"/>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360" w:type="dxa"/>
            <w:vAlign w:val="bottom"/>
            <w:vMerge w:val="restart"/>
          </w:tcPr>
          <w:p>
            <w:pPr>
              <w:spacing w:after="0"/>
              <w:rPr>
                <w:sz w:val="20"/>
                <w:szCs w:val="20"/>
                <w:color w:val="auto"/>
              </w:rPr>
            </w:pPr>
            <w:r>
              <w:rPr>
                <w:rFonts w:ascii="Arial" w:cs="Arial" w:eastAsia="Arial" w:hAnsi="Arial"/>
                <w:sz w:val="12"/>
                <w:szCs w:val="12"/>
                <w:b w:val="1"/>
                <w:bCs w:val="1"/>
                <w:color w:val="auto"/>
                <w:w w:val="91"/>
              </w:rPr>
              <w:t>Portfolio Company, Country</w:t>
            </w:r>
            <w:r>
              <w:rPr>
                <w:rFonts w:ascii="Arial" w:cs="Arial" w:eastAsia="Arial" w:hAnsi="Arial"/>
                <w:sz w:val="17"/>
                <w:szCs w:val="17"/>
                <w:b w:val="1"/>
                <w:bCs w:val="1"/>
                <w:color w:val="auto"/>
                <w:w w:val="91"/>
                <w:vertAlign w:val="superscript"/>
              </w:rPr>
              <w:t>(1), (2), (3), (4), (5)</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Acquisition</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Principal</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 of</w:t>
            </w:r>
          </w:p>
        </w:tc>
        <w:tc>
          <w:tcPr>
            <w:tcW w:w="0" w:type="dxa"/>
            <w:vAlign w:val="bottom"/>
          </w:tcPr>
          <w:p>
            <w:pPr>
              <w:spacing w:after="0"/>
              <w:rPr>
                <w:sz w:val="1"/>
                <w:szCs w:val="1"/>
                <w:color w:val="auto"/>
              </w:rPr>
            </w:pPr>
          </w:p>
        </w:tc>
      </w:tr>
      <w:tr>
        <w:trPr>
          <w:trHeight w:val="184"/>
        </w:trPr>
        <w:tc>
          <w:tcPr>
            <w:tcW w:w="23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Industry</w:t>
            </w:r>
          </w:p>
        </w:tc>
        <w:tc>
          <w:tcPr>
            <w:tcW w:w="80" w:type="dxa"/>
            <w:vAlign w:val="bottom"/>
            <w:tcBorders>
              <w:bottom w:val="single" w:sz="8" w:color="CCEEFF"/>
            </w:tcBorders>
          </w:tcPr>
          <w:p>
            <w:pPr>
              <w:spacing w:after="0"/>
              <w:rPr>
                <w:sz w:val="15"/>
                <w:szCs w:val="15"/>
                <w:color w:val="auto"/>
              </w:rPr>
            </w:pPr>
          </w:p>
        </w:tc>
        <w:tc>
          <w:tcPr>
            <w:tcW w:w="290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Cost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0"/>
              </w:rPr>
              <w:t>Fair Value</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0"/>
              </w:rPr>
              <w:t>Net Assets</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6,580</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6,449</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3"/>
                <w:szCs w:val="13"/>
                <w:color w:val="auto"/>
              </w:rPr>
              <w:t>U.S. Well Services, Inc.</w:t>
            </w: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Oil &amp; Gas Services</w:t>
            </w:r>
          </w:p>
        </w:tc>
        <w:tc>
          <w:tcPr>
            <w:tcW w:w="2980" w:type="dxa"/>
            <w:vAlign w:val="bottom"/>
            <w:gridSpan w:val="2"/>
          </w:tcPr>
          <w:p>
            <w:pPr>
              <w:spacing w:after="0"/>
              <w:rPr>
                <w:sz w:val="20"/>
                <w:szCs w:val="20"/>
                <w:color w:val="auto"/>
              </w:rPr>
            </w:pPr>
            <w:r>
              <w:rPr>
                <w:rFonts w:ascii="Arial" w:cs="Arial" w:eastAsia="Arial" w:hAnsi="Arial"/>
                <w:sz w:val="13"/>
                <w:szCs w:val="13"/>
                <w:color w:val="auto"/>
              </w:rPr>
              <w:t>Class A Common Stock (1,202,499 shares)</w:t>
            </w:r>
            <w:r>
              <w:rPr>
                <w:rFonts w:ascii="Arial" w:cs="Arial" w:eastAsia="Arial" w:hAnsi="Arial"/>
                <w:sz w:val="19"/>
                <w:szCs w:val="19"/>
                <w:color w:val="auto"/>
                <w:vertAlign w:val="superscript"/>
              </w:rPr>
              <w:t>(17)</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11/9/2018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1,244</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493</w:t>
            </w: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1,244</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tcPr>
          <w:p>
            <w:pPr>
              <w:spacing w:after="0"/>
              <w:rPr>
                <w:sz w:val="20"/>
                <w:szCs w:val="20"/>
                <w:color w:val="auto"/>
              </w:rPr>
            </w:pPr>
            <w:r>
              <w:rPr>
                <w:rFonts w:ascii="Arial" w:cs="Arial" w:eastAsia="Arial" w:hAnsi="Arial"/>
                <w:sz w:val="13"/>
                <w:szCs w:val="13"/>
                <w:color w:val="auto"/>
              </w:rPr>
              <w:t>Xirgo Technologies, LLC</w:t>
            </w:r>
          </w:p>
        </w:tc>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8"/>
              </w:rPr>
              <w:t>Information Technology</w:t>
            </w:r>
          </w:p>
        </w:tc>
        <w:tc>
          <w:tcPr>
            <w:tcW w:w="2980" w:type="dxa"/>
            <w:vAlign w:val="bottom"/>
            <w:gridSpan w:val="2"/>
          </w:tcPr>
          <w:p>
            <w:pPr>
              <w:spacing w:after="0"/>
              <w:rPr>
                <w:sz w:val="20"/>
                <w:szCs w:val="20"/>
                <w:color w:val="auto"/>
              </w:rPr>
            </w:pPr>
            <w:r>
              <w:rPr>
                <w:rFonts w:ascii="Arial" w:cs="Arial" w:eastAsia="Arial" w:hAnsi="Arial"/>
                <w:sz w:val="13"/>
                <w:szCs w:val="13"/>
                <w:color w:val="auto"/>
              </w:rPr>
              <w:t>Membership Units (600,000 units)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12/1/2016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2,735</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9"/>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2,735</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20" w:type="dxa"/>
            <w:vAlign w:val="bottom"/>
            <w:gridSpan w:val="4"/>
          </w:tcPr>
          <w:p>
            <w:pPr>
              <w:spacing w:after="0"/>
              <w:rPr>
                <w:sz w:val="20"/>
                <w:szCs w:val="20"/>
                <w:color w:val="auto"/>
              </w:rPr>
            </w:pPr>
            <w:r>
              <w:rPr>
                <w:rFonts w:ascii="Arial" w:cs="Arial" w:eastAsia="Arial" w:hAnsi="Arial"/>
                <w:sz w:val="13"/>
                <w:szCs w:val="13"/>
                <w:b w:val="1"/>
                <w:bCs w:val="1"/>
                <w:color w:val="auto"/>
                <w:w w:val="95"/>
              </w:rPr>
              <w:t>Sub Total Non-control/non-affiliated investments – United States</w:t>
            </w: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80"/>
              </w:rPr>
              <w:t>187,744</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80"/>
              </w:rPr>
              <w:t>172,848</w:t>
            </w:r>
          </w:p>
        </w:tc>
        <w:tc>
          <w:tcPr>
            <w:tcW w:w="8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158.7%</w:t>
            </w:r>
          </w:p>
        </w:tc>
        <w:tc>
          <w:tcPr>
            <w:tcW w:w="0" w:type="dxa"/>
            <w:vAlign w:val="bottom"/>
          </w:tcPr>
          <w:p>
            <w:pPr>
              <w:spacing w:after="0"/>
              <w:rPr>
                <w:sz w:val="1"/>
                <w:szCs w:val="1"/>
                <w:color w:val="auto"/>
              </w:rPr>
            </w:pPr>
          </w:p>
        </w:tc>
      </w:tr>
      <w:tr>
        <w:trPr>
          <w:trHeight w:val="69"/>
        </w:trPr>
        <w:tc>
          <w:tcPr>
            <w:tcW w:w="23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3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36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Affiliate Investments – 85.7%</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60" w:type="dxa"/>
            <w:vAlign w:val="bottom"/>
          </w:tcPr>
          <w:p>
            <w:pPr>
              <w:spacing w:after="0"/>
              <w:rPr>
                <w:sz w:val="20"/>
                <w:szCs w:val="20"/>
                <w:color w:val="auto"/>
              </w:rPr>
            </w:pPr>
            <w:r>
              <w:rPr>
                <w:rFonts w:ascii="Arial" w:cs="Arial" w:eastAsia="Arial" w:hAnsi="Arial"/>
                <w:sz w:val="13"/>
                <w:szCs w:val="13"/>
                <w:b w:val="1"/>
                <w:bCs w:val="1"/>
                <w:color w:val="auto"/>
              </w:rPr>
              <w:t>Affiliate investments – United States</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Automobile</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Part Manufacturer</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6"/>
              </w:rPr>
              <w:t>First Lien Debt (12.0% Cash, 3.0% PIK, Due 3/23/21)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3/23/2018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$13,597</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13,597</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13,597</w:t>
            </w: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Automobile</w:t>
            </w: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20"/>
                <w:szCs w:val="20"/>
                <w:color w:val="auto"/>
              </w:rPr>
            </w:pPr>
            <w:r>
              <w:rPr>
                <w:rFonts w:ascii="Arial" w:cs="Arial" w:eastAsia="Arial" w:hAnsi="Arial"/>
                <w:sz w:val="13"/>
                <w:szCs w:val="13"/>
                <w:color w:val="auto"/>
              </w:rPr>
              <w:t>Burgaflex Holdings, LLC</w:t>
            </w: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Part Manufacturer</w:t>
            </w:r>
          </w:p>
        </w:tc>
        <w:tc>
          <w:tcPr>
            <w:tcW w:w="2980" w:type="dxa"/>
            <w:vAlign w:val="bottom"/>
            <w:gridSpan w:val="2"/>
          </w:tcPr>
          <w:p>
            <w:pPr>
              <w:spacing w:after="0"/>
              <w:rPr>
                <w:sz w:val="20"/>
                <w:szCs w:val="20"/>
                <w:color w:val="auto"/>
              </w:rPr>
            </w:pPr>
            <w:r>
              <w:rPr>
                <w:rFonts w:ascii="Arial" w:cs="Arial" w:eastAsia="Arial" w:hAnsi="Arial"/>
                <w:sz w:val="13"/>
                <w:szCs w:val="13"/>
                <w:color w:val="auto"/>
              </w:rPr>
              <w:t>Common Stock Class B (1,085,073 shares)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5/7/2019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362</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1,338</w:t>
            </w:r>
          </w:p>
        </w:tc>
        <w:tc>
          <w:tcPr>
            <w:tcW w:w="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0"/>
        </w:trPr>
        <w:tc>
          <w:tcPr>
            <w:tcW w:w="2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Automobile</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7/15/2014</w:t>
            </w:r>
          </w:p>
        </w:tc>
        <w:tc>
          <w:tcPr>
            <w:tcW w:w="4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1,504</w:t>
            </w: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0"/>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Part Manufacturer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Stock Class A (1,253,198 shares)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15,463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14,935</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9"/>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City Gear, LLC</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Footwear Retail</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Membership Unit Warrants</w:t>
            </w:r>
            <w:r>
              <w:rPr>
                <w:rFonts w:ascii="Arial" w:cs="Arial" w:eastAsia="Arial" w:hAnsi="Arial"/>
                <w:sz w:val="19"/>
                <w:szCs w:val="19"/>
                <w:color w:val="auto"/>
                <w:vertAlign w:val="superscript"/>
              </w:rPr>
              <w:t>(14)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6/28/2012</w:t>
            </w:r>
          </w:p>
        </w:tc>
        <w:tc>
          <w:tcPr>
            <w:tcW w:w="4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2,011</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9"/>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Second Lien Debt (13.5% Cash (3 month LIBOR +</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Business Services</w:t>
            </w:r>
          </w:p>
        </w:tc>
        <w:tc>
          <w:tcPr>
            <w:tcW w:w="29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13.0%, 0.5% Floor), Due 12/29/21)</w:t>
            </w:r>
            <w:r>
              <w:rPr>
                <w:rFonts w:ascii="Arial" w:cs="Arial" w:eastAsia="Arial" w:hAnsi="Arial"/>
                <w:sz w:val="19"/>
                <w:szCs w:val="19"/>
                <w:color w:val="auto"/>
                <w:vertAlign w:val="superscript"/>
              </w:rPr>
              <w:t>(6)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1/12/2016</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16,329</w:t>
            </w: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16,500</w:t>
            </w:r>
          </w:p>
        </w:tc>
        <w:tc>
          <w:tcPr>
            <w:tcW w:w="8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3"/>
                <w:szCs w:val="13"/>
                <w:color w:val="auto"/>
              </w:rPr>
              <w:t>Eastport Holdings, LLC</w:t>
            </w:r>
          </w:p>
        </w:tc>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Business Services</w:t>
            </w:r>
          </w:p>
        </w:tc>
        <w:tc>
          <w:tcPr>
            <w:tcW w:w="2980" w:type="dxa"/>
            <w:vAlign w:val="bottom"/>
            <w:gridSpan w:val="2"/>
          </w:tcPr>
          <w:p>
            <w:pPr>
              <w:spacing w:after="0"/>
              <w:rPr>
                <w:sz w:val="20"/>
                <w:szCs w:val="20"/>
                <w:color w:val="auto"/>
              </w:rPr>
            </w:pPr>
            <w:r>
              <w:rPr>
                <w:rFonts w:ascii="Arial" w:cs="Arial" w:eastAsia="Arial" w:hAnsi="Arial"/>
                <w:sz w:val="13"/>
                <w:szCs w:val="13"/>
                <w:color w:val="auto"/>
              </w:rPr>
              <w:t>Membership Units (22.9% ownership)</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1/12/2016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3,263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20,294</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30"/>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19,592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36,794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95"/>
        </w:trPr>
        <w:tc>
          <w:tcPr>
            <w:tcW w:w="23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gridSpan w:val="2"/>
          </w:tcPr>
          <w:p>
            <w:pPr>
              <w:ind w:left="20"/>
              <w:spacing w:after="0"/>
              <w:rPr>
                <w:sz w:val="20"/>
                <w:szCs w:val="20"/>
                <w:color w:val="auto"/>
              </w:rPr>
            </w:pPr>
            <w:r>
              <w:rPr>
                <w:rFonts w:ascii="Arial" w:cs="Arial" w:eastAsia="Arial" w:hAnsi="Arial"/>
                <w:sz w:val="13"/>
                <w:szCs w:val="13"/>
                <w:color w:val="auto"/>
              </w:rPr>
              <w:t>Advertising &amp;</w:t>
            </w:r>
          </w:p>
        </w:tc>
        <w:tc>
          <w:tcPr>
            <w:tcW w:w="29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20"/>
                <w:szCs w:val="20"/>
                <w:color w:val="auto"/>
              </w:rPr>
            </w:pPr>
            <w:r>
              <w:rPr>
                <w:rFonts w:ascii="Arial" w:cs="Arial" w:eastAsia="Arial" w:hAnsi="Arial"/>
                <w:sz w:val="13"/>
                <w:szCs w:val="13"/>
                <w:color w:val="auto"/>
              </w:rPr>
              <w:t>GA Communications, Inc.</w:t>
            </w: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Marketing Services</w:t>
            </w:r>
          </w:p>
        </w:tc>
        <w:tc>
          <w:tcPr>
            <w:tcW w:w="2980" w:type="dxa"/>
            <w:vAlign w:val="bottom"/>
            <w:gridSpan w:val="2"/>
          </w:tcPr>
          <w:p>
            <w:pPr>
              <w:spacing w:after="0"/>
              <w:rPr>
                <w:sz w:val="20"/>
                <w:szCs w:val="20"/>
                <w:color w:val="auto"/>
              </w:rPr>
            </w:pPr>
            <w:r>
              <w:rPr>
                <w:rFonts w:ascii="Arial" w:cs="Arial" w:eastAsia="Arial" w:hAnsi="Arial"/>
                <w:sz w:val="13"/>
                <w:szCs w:val="13"/>
                <w:color w:val="auto"/>
              </w:rPr>
              <w:t>Series A-1 Preferred Stock (1,998 shares)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10/14/2011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3,477</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4,066</w:t>
            </w:r>
          </w:p>
        </w:tc>
        <w:tc>
          <w:tcPr>
            <w:tcW w:w="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Advertising &amp;</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9"/>
              </w:rPr>
              <w:t>10/14/2011</w:t>
            </w: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17"/>
                <w:szCs w:val="17"/>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0"/>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Marketing Services</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Series B-1 Common Stock (200,000 shares)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3,479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4,212</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9"/>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LJS Partners, LLC</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QSR Franchisor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Preferred Units (189,044 units)</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8/12/2019</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3"/>
                <w:szCs w:val="13"/>
                <w:color w:val="auto"/>
              </w:rPr>
              <w:t>LJS Partners, LLC</w:t>
            </w:r>
          </w:p>
        </w:tc>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QSR Franchisor</w:t>
            </w:r>
          </w:p>
        </w:tc>
        <w:tc>
          <w:tcPr>
            <w:tcW w:w="2980" w:type="dxa"/>
            <w:vAlign w:val="bottom"/>
            <w:gridSpan w:val="2"/>
          </w:tcPr>
          <w:p>
            <w:pPr>
              <w:spacing w:after="0"/>
              <w:rPr>
                <w:sz w:val="20"/>
                <w:szCs w:val="20"/>
                <w:color w:val="auto"/>
              </w:rPr>
            </w:pPr>
            <w:r>
              <w:rPr>
                <w:rFonts w:ascii="Arial" w:cs="Arial" w:eastAsia="Arial" w:hAnsi="Arial"/>
                <w:sz w:val="13"/>
                <w:szCs w:val="13"/>
                <w:color w:val="auto"/>
              </w:rPr>
              <w:t>Common Membership Units (2,593,234 units)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1/1/2012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3,951</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30"/>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4,707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95"/>
        </w:trPr>
        <w:tc>
          <w:tcPr>
            <w:tcW w:w="23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gridSpan w:val="2"/>
          </w:tcPr>
          <w:p>
            <w:pPr>
              <w:ind w:left="20"/>
              <w:spacing w:after="0"/>
              <w:rPr>
                <w:sz w:val="20"/>
                <w:szCs w:val="20"/>
                <w:color w:val="auto"/>
              </w:rPr>
            </w:pPr>
            <w:r>
              <w:rPr>
                <w:rFonts w:ascii="Arial" w:cs="Arial" w:eastAsia="Arial" w:hAnsi="Arial"/>
                <w:sz w:val="13"/>
                <w:szCs w:val="13"/>
                <w:color w:val="auto"/>
              </w:rPr>
              <w:t>Medical Device</w:t>
            </w:r>
          </w:p>
        </w:tc>
        <w:tc>
          <w:tcPr>
            <w:tcW w:w="29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3"/>
                <w:szCs w:val="13"/>
                <w:color w:val="auto"/>
              </w:rPr>
              <w:t>First Lien Debt (12.0% Cash, Due 9/30/21)</w:t>
            </w:r>
            <w:r>
              <w:rPr>
                <w:rFonts w:ascii="Arial" w:cs="Arial" w:eastAsia="Arial" w:hAnsi="Arial"/>
                <w:sz w:val="19"/>
                <w:szCs w:val="19"/>
                <w:color w:val="auto"/>
                <w:vertAlign w:val="superscript"/>
              </w:rPr>
              <w:t>(6)</w:t>
            </w:r>
          </w:p>
        </w:tc>
        <w:tc>
          <w:tcPr>
            <w:tcW w:w="5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tcPr>
          <w:p>
            <w:pPr>
              <w:spacing w:after="0"/>
              <w:rPr>
                <w:sz w:val="20"/>
                <w:szCs w:val="20"/>
                <w:color w:val="auto"/>
              </w:rPr>
            </w:pPr>
            <w:r>
              <w:rPr>
                <w:rFonts w:ascii="Arial" w:cs="Arial" w:eastAsia="Arial" w:hAnsi="Arial"/>
                <w:sz w:val="13"/>
                <w:szCs w:val="13"/>
                <w:color w:val="auto"/>
              </w:rPr>
              <w:t>MMI Holdings, LLC</w:t>
            </w: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Distributor</w:t>
            </w:r>
          </w:p>
        </w:tc>
        <w:tc>
          <w:tcPr>
            <w:tcW w:w="2980" w:type="dxa"/>
            <w:vAlign w:val="bottom"/>
            <w:gridSpan w:val="2"/>
            <w:vMerge w:val="continue"/>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10/17/2011</w:t>
            </w:r>
          </w:p>
        </w:tc>
        <w:tc>
          <w:tcPr>
            <w:tcW w:w="480" w:type="dxa"/>
            <w:vAlign w:val="bottom"/>
          </w:tcPr>
          <w:p>
            <w:pPr>
              <w:jc w:val="right"/>
              <w:spacing w:after="0"/>
              <w:rPr>
                <w:sz w:val="20"/>
                <w:szCs w:val="20"/>
                <w:color w:val="auto"/>
              </w:rPr>
            </w:pPr>
            <w:r>
              <w:rPr>
                <w:rFonts w:ascii="Arial" w:cs="Arial" w:eastAsia="Arial" w:hAnsi="Arial"/>
                <w:sz w:val="13"/>
                <w:szCs w:val="13"/>
                <w:color w:val="auto"/>
              </w:rPr>
              <w:t>2,600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2,600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2,600</w:t>
            </w:r>
          </w:p>
        </w:tc>
        <w:tc>
          <w:tcPr>
            <w:tcW w:w="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Medical Device</w:t>
            </w:r>
          </w:p>
        </w:tc>
        <w:tc>
          <w:tcPr>
            <w:tcW w:w="29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Second Lien Debt (6.0% Cash, Due 9/30/21)</w:t>
            </w:r>
            <w:r>
              <w:rPr>
                <w:rFonts w:ascii="Arial" w:cs="Arial" w:eastAsia="Arial" w:hAnsi="Arial"/>
                <w:sz w:val="19"/>
                <w:szCs w:val="19"/>
                <w:color w:val="auto"/>
                <w:vertAlign w:val="superscript"/>
              </w:rPr>
              <w:t>(6)</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Distributor</w:t>
            </w:r>
          </w:p>
        </w:tc>
        <w:tc>
          <w:tcPr>
            <w:tcW w:w="2980" w:type="dxa"/>
            <w:vAlign w:val="bottom"/>
            <w:gridSpan w:val="2"/>
            <w:vMerge w:val="continue"/>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10/17/2011</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2"/>
        </w:trPr>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Medical Device</w:t>
            </w:r>
          </w:p>
        </w:tc>
        <w:tc>
          <w:tcPr>
            <w:tcW w:w="2980" w:type="dxa"/>
            <w:vAlign w:val="bottom"/>
            <w:gridSpan w:val="2"/>
            <w:vMerge w:val="restart"/>
          </w:tcPr>
          <w:p>
            <w:pPr>
              <w:spacing w:after="0"/>
              <w:rPr>
                <w:sz w:val="20"/>
                <w:szCs w:val="20"/>
                <w:color w:val="auto"/>
              </w:rPr>
            </w:pPr>
            <w:r>
              <w:rPr>
                <w:rFonts w:ascii="Arial" w:cs="Arial" w:eastAsia="Arial" w:hAnsi="Arial"/>
                <w:sz w:val="13"/>
                <w:szCs w:val="13"/>
                <w:color w:val="auto"/>
                <w:w w:val="98"/>
              </w:rPr>
              <w:t>Preferred Units (1,000 units, 6.0% PIK Dividend)</w:t>
            </w:r>
            <w:r>
              <w:rPr>
                <w:rFonts w:ascii="Arial" w:cs="Arial" w:eastAsia="Arial" w:hAnsi="Arial"/>
                <w:sz w:val="19"/>
                <w:szCs w:val="19"/>
                <w:color w:val="auto"/>
                <w:w w:val="98"/>
                <w:vertAlign w:val="superscript"/>
              </w:rPr>
              <w:t>(18)</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60" w:type="dxa"/>
            <w:vAlign w:val="bottom"/>
          </w:tcPr>
          <w:p>
            <w:pPr>
              <w:spacing w:after="0"/>
              <w:rPr>
                <w:sz w:val="20"/>
                <w:szCs w:val="20"/>
                <w:color w:val="auto"/>
              </w:rPr>
            </w:pPr>
            <w:r>
              <w:rPr>
                <w:rFonts w:ascii="Arial" w:cs="Arial" w:eastAsia="Arial" w:hAnsi="Arial"/>
                <w:sz w:val="13"/>
                <w:szCs w:val="13"/>
                <w:color w:val="auto"/>
              </w:rPr>
              <w:t>MMI Holdings, LLC</w:t>
            </w: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Distributor</w:t>
            </w:r>
          </w:p>
        </w:tc>
        <w:tc>
          <w:tcPr>
            <w:tcW w:w="2980" w:type="dxa"/>
            <w:vAlign w:val="bottom"/>
            <w:gridSpan w:val="2"/>
            <w:vMerge w:val="continue"/>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10/17/2011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1,676</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1,815</w:t>
            </w:r>
          </w:p>
        </w:tc>
        <w:tc>
          <w:tcPr>
            <w:tcW w:w="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Medical Device</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9"/>
              </w:rPr>
              <w:t>10/17/2011</w:t>
            </w: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80" w:type="dxa"/>
            <w:vAlign w:val="bottom"/>
            <w:shd w:val="clear" w:color="auto" w:fill="CCEEFF"/>
          </w:tcPr>
          <w:p>
            <w:pPr>
              <w:spacing w:after="0"/>
              <w:rPr>
                <w:sz w:val="17"/>
                <w:szCs w:val="17"/>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0"/>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Distributor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Membership Units (45 units)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4,664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5,019</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30"/>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Textile Equipment</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First Lien Debt (9.0% Cash, 2.0% PIK, Due 6/30/23)</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8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Manufacturer</w:t>
            </w:r>
          </w:p>
        </w:tc>
        <w:tc>
          <w:tcPr>
            <w:tcW w:w="2900" w:type="dxa"/>
            <w:vAlign w:val="bottom"/>
            <w:shd w:val="clear" w:color="auto" w:fill="CCEEFF"/>
          </w:tcPr>
          <w:p>
            <w:pPr>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2/1/2011</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11,031</w:t>
            </w: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w w:val="95"/>
              </w:rPr>
              <w:t>11,031</w:t>
            </w:r>
          </w:p>
        </w:tc>
        <w:tc>
          <w:tcPr>
            <w:tcW w:w="80" w:type="dxa"/>
            <w:vAlign w:val="bottom"/>
            <w:shd w:val="clear" w:color="auto" w:fill="CCEEFF"/>
          </w:tcPr>
          <w:p>
            <w:pPr>
              <w:spacing w:after="0"/>
              <w:rPr>
                <w:sz w:val="10"/>
                <w:szCs w:val="10"/>
                <w:color w:val="auto"/>
              </w:rPr>
            </w:pP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10,882</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65"/>
        </w:trPr>
        <w:tc>
          <w:tcPr>
            <w:tcW w:w="23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tcBorders>
              <w:right w:val="single" w:sz="8" w:color="CCEEFF"/>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Textile Equipment</w:t>
            </w: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20"/>
                <w:szCs w:val="20"/>
                <w:color w:val="auto"/>
              </w:rPr>
            </w:pPr>
            <w:r>
              <w:rPr>
                <w:rFonts w:ascii="Arial" w:cs="Arial" w:eastAsia="Arial" w:hAnsi="Arial"/>
                <w:sz w:val="13"/>
                <w:szCs w:val="13"/>
                <w:color w:val="auto"/>
              </w:rPr>
              <w:t>Navis Holdings, Inc.</w:t>
            </w: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Manufacturer</w:t>
            </w:r>
          </w:p>
        </w:tc>
        <w:tc>
          <w:tcPr>
            <w:tcW w:w="2980" w:type="dxa"/>
            <w:vAlign w:val="bottom"/>
            <w:gridSpan w:val="2"/>
          </w:tcPr>
          <w:p>
            <w:pPr>
              <w:spacing w:after="0"/>
              <w:rPr>
                <w:sz w:val="20"/>
                <w:szCs w:val="20"/>
                <w:color w:val="auto"/>
              </w:rPr>
            </w:pPr>
            <w:r>
              <w:rPr>
                <w:rFonts w:ascii="Arial" w:cs="Arial" w:eastAsia="Arial" w:hAnsi="Arial"/>
                <w:sz w:val="13"/>
                <w:szCs w:val="13"/>
                <w:color w:val="auto"/>
              </w:rPr>
              <w:t>Class A Preferred Stock (1,000 shares)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2/1/2011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986</w:t>
            </w:r>
          </w:p>
        </w:tc>
        <w:tc>
          <w:tcPr>
            <w:tcW w:w="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Textile Equipment</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2/1/2011</w:t>
            </w: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0"/>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Manufacturer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Stock (60,000 shares)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12,031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11,868</w:t>
            </w: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30"/>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Nth Degree Investment Group, LLC</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Business Services</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Membership Units (6,088,000 Units)</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12/3/2019</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6,088</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6,088</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30"/>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-333375</wp:posOffset>
            </wp:positionV>
            <wp:extent cx="61804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-1216660</wp:posOffset>
            </wp:positionV>
            <wp:extent cx="61804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-2493645</wp:posOffset>
            </wp:positionV>
            <wp:extent cx="61804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-2811145</wp:posOffset>
            </wp:positionV>
            <wp:extent cx="61804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-3625215</wp:posOffset>
            </wp:positionV>
            <wp:extent cx="61804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-4019550</wp:posOffset>
            </wp:positionV>
            <wp:extent cx="61804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-4345305</wp:posOffset>
            </wp:positionV>
            <wp:extent cx="61804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-5794375</wp:posOffset>
            </wp:positionV>
            <wp:extent cx="61804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-6111240</wp:posOffset>
            </wp:positionV>
            <wp:extent cx="61804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-6419850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-6419850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-6419850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-6419850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-6419850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-6419850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-6419850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15" w:name="page116"/>
    <w:bookmarkEnd w:id="115"/>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2020</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36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1"/>
              </w:rPr>
              <w:t>Portfolio Company, Country</w:t>
            </w:r>
            <w:r>
              <w:rPr>
                <w:rFonts w:ascii="Arial" w:cs="Arial" w:eastAsia="Arial" w:hAnsi="Arial"/>
                <w:sz w:val="17"/>
                <w:szCs w:val="17"/>
                <w:b w:val="1"/>
                <w:bCs w:val="1"/>
                <w:color w:val="auto"/>
                <w:w w:val="91"/>
                <w:vertAlign w:val="superscript"/>
              </w:rPr>
              <w:t>(1), (2), (3), (4), (5)</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Acquisition</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Principal</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of</w:t>
            </w:r>
          </w:p>
        </w:tc>
        <w:tc>
          <w:tcPr>
            <w:tcW w:w="0" w:type="dxa"/>
            <w:vAlign w:val="bottom"/>
          </w:tcPr>
          <w:p>
            <w:pPr>
              <w:spacing w:after="0"/>
              <w:rPr>
                <w:sz w:val="1"/>
                <w:szCs w:val="1"/>
                <w:color w:val="auto"/>
              </w:rPr>
            </w:pPr>
          </w:p>
        </w:tc>
      </w:tr>
      <w:tr>
        <w:trPr>
          <w:trHeight w:val="184"/>
        </w:trPr>
        <w:tc>
          <w:tcPr>
            <w:tcW w:w="23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Industry</w:t>
            </w:r>
          </w:p>
        </w:tc>
        <w:tc>
          <w:tcPr>
            <w:tcW w:w="80" w:type="dxa"/>
            <w:vAlign w:val="bottom"/>
            <w:tcBorders>
              <w:bottom w:val="single" w:sz="8" w:color="CCEEFF"/>
            </w:tcBorders>
          </w:tcPr>
          <w:p>
            <w:pPr>
              <w:spacing w:after="0"/>
              <w:rPr>
                <w:sz w:val="15"/>
                <w:szCs w:val="15"/>
                <w:color w:val="auto"/>
              </w:rPr>
            </w:pPr>
          </w:p>
        </w:tc>
        <w:tc>
          <w:tcPr>
            <w:tcW w:w="290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Cost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0"/>
              </w:rPr>
              <w:t>Fair Value</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0"/>
              </w:rPr>
              <w:t>Net Assets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First Lien Debt (6.5% Cash (1 month LIBOR + 5.0%,</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Financial Services</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1.5% Floor), Due 1/4/24)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6/1/2020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$ 2,451</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2,451</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2,451</w:t>
            </w: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40" w:type="dxa"/>
            <w:vAlign w:val="bottom"/>
            <w:gridSpan w:val="3"/>
          </w:tcPr>
          <w:p>
            <w:pPr>
              <w:spacing w:after="0"/>
              <w:rPr>
                <w:sz w:val="20"/>
                <w:szCs w:val="20"/>
                <w:color w:val="auto"/>
              </w:rPr>
            </w:pPr>
            <w:r>
              <w:rPr>
                <w:rFonts w:ascii="Arial" w:cs="Arial" w:eastAsia="Arial" w:hAnsi="Arial"/>
                <w:sz w:val="13"/>
                <w:szCs w:val="13"/>
                <w:color w:val="auto"/>
              </w:rPr>
              <w:t>RAM Payment, LLC</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Financial Services</w:t>
            </w:r>
          </w:p>
        </w:tc>
        <w:tc>
          <w:tcPr>
            <w:tcW w:w="2980" w:type="dxa"/>
            <w:vAlign w:val="bottom"/>
            <w:gridSpan w:val="2"/>
          </w:tcPr>
          <w:p>
            <w:pPr>
              <w:spacing w:after="0"/>
              <w:rPr>
                <w:sz w:val="20"/>
                <w:szCs w:val="20"/>
                <w:color w:val="auto"/>
              </w:rPr>
            </w:pPr>
            <w:r>
              <w:rPr>
                <w:rFonts w:ascii="Arial" w:cs="Arial" w:eastAsia="Arial" w:hAnsi="Arial"/>
                <w:sz w:val="13"/>
                <w:szCs w:val="13"/>
                <w:color w:val="auto"/>
              </w:rPr>
              <w:t>First Lien Debt (9.8% Cash, Due 1/4/24)</w:t>
            </w:r>
            <w:r>
              <w:rPr>
                <w:rFonts w:ascii="Arial" w:cs="Arial" w:eastAsia="Arial" w:hAnsi="Arial"/>
                <w:sz w:val="19"/>
                <w:szCs w:val="19"/>
                <w:color w:val="auto"/>
                <w:vertAlign w:val="superscript"/>
              </w:rPr>
              <w:t>(11)</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1/4/2019</w:t>
            </w:r>
          </w:p>
        </w:tc>
        <w:tc>
          <w:tcPr>
            <w:tcW w:w="480" w:type="dxa"/>
            <w:vAlign w:val="bottom"/>
          </w:tcPr>
          <w:p>
            <w:pPr>
              <w:jc w:val="right"/>
              <w:spacing w:after="0"/>
              <w:rPr>
                <w:sz w:val="20"/>
                <w:szCs w:val="20"/>
                <w:color w:val="auto"/>
              </w:rPr>
            </w:pPr>
            <w:r>
              <w:rPr>
                <w:rFonts w:ascii="Arial" w:cs="Arial" w:eastAsia="Arial" w:hAnsi="Arial"/>
                <w:sz w:val="13"/>
                <w:szCs w:val="13"/>
                <w:color w:val="auto"/>
              </w:rPr>
              <w:t>6,646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6,646</w:t>
            </w: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6,646</w:t>
            </w:r>
          </w:p>
        </w:tc>
        <w:tc>
          <w:tcPr>
            <w:tcW w:w="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Financial Services</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rPr>
              <w:t>Preferred Units (86,000 units, 8.0% PIK Dividend)</w:t>
            </w:r>
            <w:r>
              <w:rPr>
                <w:rFonts w:ascii="Arial" w:cs="Arial" w:eastAsia="Arial" w:hAnsi="Arial"/>
                <w:sz w:val="19"/>
                <w:szCs w:val="19"/>
                <w:color w:val="auto"/>
                <w:w w:val="95"/>
                <w:vertAlign w:val="superscript"/>
              </w:rPr>
              <w:t>(18)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1/4/2019</w:t>
            </w:r>
          </w:p>
        </w:tc>
        <w:tc>
          <w:tcPr>
            <w:tcW w:w="4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997</w:t>
            </w:r>
          </w:p>
        </w:tc>
        <w:tc>
          <w:tcPr>
            <w:tcW w:w="8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2,874</w:t>
            </w:r>
          </w:p>
        </w:tc>
        <w:tc>
          <w:tcPr>
            <w:tcW w:w="8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10,094</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11,971</w:t>
            </w: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Oil &amp; Gas Engineering</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Sierra Hamilton Holdings Corporation</w:t>
            </w: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5"/>
              </w:rPr>
              <w:t>and Consulting Services</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Second Lien Debt (15.0% PIK, Due 9/12/23)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9/12/2019</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Oil &amp; Gas Engineering</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7/31/2017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6,958</w:t>
            </w:r>
          </w:p>
        </w:tc>
        <w:tc>
          <w:tcPr>
            <w:tcW w:w="8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977</w:t>
            </w:r>
          </w:p>
        </w:tc>
        <w:tc>
          <w:tcPr>
            <w:tcW w:w="80" w:type="dxa"/>
            <w:vAlign w:val="bottom"/>
          </w:tcPr>
          <w:p>
            <w:pPr>
              <w:spacing w:after="0"/>
              <w:rPr>
                <w:sz w:val="18"/>
                <w:szCs w:val="18"/>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40" w:type="dxa"/>
            <w:vAlign w:val="bottom"/>
            <w:gridSpan w:val="3"/>
          </w:tcPr>
          <w:p>
            <w:pPr>
              <w:spacing w:after="0"/>
              <w:rPr>
                <w:sz w:val="20"/>
                <w:szCs w:val="20"/>
                <w:color w:val="auto"/>
              </w:rPr>
            </w:pPr>
            <w:r>
              <w:rPr>
                <w:rFonts w:ascii="Arial" w:cs="Arial" w:eastAsia="Arial" w:hAnsi="Arial"/>
                <w:sz w:val="13"/>
                <w:szCs w:val="13"/>
                <w:color w:val="auto"/>
              </w:rPr>
              <w:t>Sierra Hamilton Holdings Corporation</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w w:val="95"/>
              </w:rPr>
              <w:t>and Consulting Services</w:t>
            </w:r>
          </w:p>
        </w:tc>
        <w:tc>
          <w:tcPr>
            <w:tcW w:w="2980" w:type="dxa"/>
            <w:vAlign w:val="bottom"/>
            <w:gridSpan w:val="2"/>
          </w:tcPr>
          <w:p>
            <w:pPr>
              <w:spacing w:after="0"/>
              <w:rPr>
                <w:sz w:val="20"/>
                <w:szCs w:val="20"/>
                <w:color w:val="auto"/>
              </w:rPr>
            </w:pPr>
            <w:r>
              <w:rPr>
                <w:rFonts w:ascii="Arial" w:cs="Arial" w:eastAsia="Arial" w:hAnsi="Arial"/>
                <w:sz w:val="13"/>
                <w:szCs w:val="13"/>
                <w:color w:val="auto"/>
              </w:rPr>
              <w:t>Common Stock (15,068,000 shares)</w:t>
            </w:r>
          </w:p>
        </w:tc>
        <w:tc>
          <w:tcPr>
            <w:tcW w:w="66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7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7,399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Data Processing &amp;</w:t>
            </w:r>
          </w:p>
        </w:tc>
        <w:tc>
          <w:tcPr>
            <w:tcW w:w="2980" w:type="dxa"/>
            <w:vAlign w:val="bottom"/>
            <w:gridSpan w:val="2"/>
            <w:vMerge w:val="restart"/>
          </w:tcPr>
          <w:p>
            <w:pPr>
              <w:spacing w:after="0"/>
              <w:rPr>
                <w:sz w:val="20"/>
                <w:szCs w:val="20"/>
                <w:color w:val="auto"/>
              </w:rPr>
            </w:pPr>
            <w:r>
              <w:rPr>
                <w:rFonts w:ascii="Arial" w:cs="Arial" w:eastAsia="Arial" w:hAnsi="Arial"/>
                <w:sz w:val="13"/>
                <w:szCs w:val="13"/>
                <w:color w:val="auto"/>
              </w:rPr>
              <w:t>Second Lien Debt</w:t>
            </w:r>
            <w:r>
              <w:rPr>
                <w:rFonts w:ascii="Arial" w:cs="Arial" w:eastAsia="Arial" w:hAnsi="Arial"/>
                <w:sz w:val="19"/>
                <w:szCs w:val="19"/>
                <w:color w:val="auto"/>
                <w:vertAlign w:val="superscript"/>
              </w:rPr>
              <w:t>(14)</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89"/>
              </w:rPr>
              <w:t>11/21/2016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8"/>
                <w:szCs w:val="18"/>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40" w:type="dxa"/>
            <w:vAlign w:val="bottom"/>
            <w:gridSpan w:val="3"/>
          </w:tcPr>
          <w:p>
            <w:pPr>
              <w:spacing w:after="0"/>
              <w:rPr>
                <w:sz w:val="20"/>
                <w:szCs w:val="20"/>
                <w:color w:val="auto"/>
              </w:rPr>
            </w:pPr>
            <w:r>
              <w:rPr>
                <w:rFonts w:ascii="Arial" w:cs="Arial" w:eastAsia="Arial" w:hAnsi="Arial"/>
                <w:sz w:val="13"/>
                <w:szCs w:val="13"/>
                <w:color w:val="auto"/>
              </w:rPr>
              <w:t>V12 Holdings, Inc.</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Digital Marketing</w:t>
            </w:r>
          </w:p>
        </w:tc>
        <w:tc>
          <w:tcPr>
            <w:tcW w:w="29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440" w:type="dxa"/>
            <w:vAlign w:val="bottom"/>
            <w:gridSpan w:val="3"/>
          </w:tcPr>
          <w:p>
            <w:pPr>
              <w:spacing w:after="0"/>
              <w:rPr>
                <w:sz w:val="20"/>
                <w:szCs w:val="20"/>
                <w:color w:val="auto"/>
              </w:rPr>
            </w:pPr>
            <w:r>
              <w:rPr>
                <w:rFonts w:ascii="Arial" w:cs="Arial" w:eastAsia="Arial" w:hAnsi="Arial"/>
                <w:sz w:val="13"/>
                <w:szCs w:val="13"/>
                <w:b w:val="1"/>
                <w:bCs w:val="1"/>
                <w:color w:val="auto"/>
                <w:w w:val="84"/>
              </w:rPr>
              <w:t>Sub Total Affiliate investments – United States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80,961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93,425</w:t>
            </w: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85.7%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760" w:type="dxa"/>
            <w:vAlign w:val="bottom"/>
            <w:tcBorders>
              <w:bottom w:val="single" w:sz="8" w:color="CCEEFF"/>
            </w:tcBorders>
          </w:tcPr>
          <w:p>
            <w:pPr>
              <w:spacing w:after="0"/>
              <w:rPr>
                <w:sz w:val="6"/>
                <w:szCs w:val="6"/>
                <w:color w:val="auto"/>
              </w:rPr>
            </w:pPr>
          </w:p>
        </w:tc>
        <w:tc>
          <w:tcPr>
            <w:tcW w:w="16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Control Investments – 7.7%</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440" w:type="dxa"/>
            <w:vAlign w:val="bottom"/>
            <w:gridSpan w:val="3"/>
          </w:tcPr>
          <w:p>
            <w:pPr>
              <w:spacing w:after="0"/>
              <w:rPr>
                <w:sz w:val="20"/>
                <w:szCs w:val="20"/>
                <w:color w:val="auto"/>
              </w:rPr>
            </w:pPr>
            <w:r>
              <w:rPr>
                <w:rFonts w:ascii="Arial" w:cs="Arial" w:eastAsia="Arial" w:hAnsi="Arial"/>
                <w:sz w:val="13"/>
                <w:szCs w:val="13"/>
                <w:b w:val="1"/>
                <w:bCs w:val="1"/>
                <w:color w:val="auto"/>
              </w:rPr>
              <w:t>Control investments – United States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Lien Debt (10.5% Cash (1 month LIBOR +</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Vology, Inc.</w:t>
            </w: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8"/>
              </w:rPr>
              <w:t>Information Technology</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8.5%, 2.0% Floor), Due 12/31/21)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11/25/2019</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$ 3,732</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3,732</w:t>
            </w: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440" w:type="dxa"/>
            <w:vAlign w:val="bottom"/>
            <w:gridSpan w:val="3"/>
          </w:tcPr>
          <w:p>
            <w:pPr>
              <w:spacing w:after="0"/>
              <w:rPr>
                <w:sz w:val="20"/>
                <w:szCs w:val="20"/>
                <w:color w:val="auto"/>
              </w:rPr>
            </w:pPr>
            <w:r>
              <w:rPr>
                <w:rFonts w:ascii="Arial" w:cs="Arial" w:eastAsia="Arial" w:hAnsi="Arial"/>
                <w:sz w:val="13"/>
                <w:szCs w:val="13"/>
                <w:color w:val="auto"/>
              </w:rPr>
              <w:t>Vology, Inc.</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w w:val="98"/>
              </w:rPr>
              <w:t>Information Technology</w:t>
            </w:r>
          </w:p>
        </w:tc>
        <w:tc>
          <w:tcPr>
            <w:tcW w:w="2980" w:type="dxa"/>
            <w:vAlign w:val="bottom"/>
            <w:gridSpan w:val="2"/>
          </w:tcPr>
          <w:p>
            <w:pPr>
              <w:spacing w:after="0"/>
              <w:rPr>
                <w:sz w:val="20"/>
                <w:szCs w:val="20"/>
                <w:color w:val="auto"/>
              </w:rPr>
            </w:pPr>
            <w:r>
              <w:rPr>
                <w:rFonts w:ascii="Arial" w:cs="Arial" w:eastAsia="Arial" w:hAnsi="Arial"/>
                <w:sz w:val="13"/>
                <w:szCs w:val="13"/>
                <w:color w:val="auto"/>
              </w:rPr>
              <w:t>Class A Preferred Units (9,041,810 Units)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11/25/2019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5,215</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4,687</w:t>
            </w: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Vology, Inc.</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w w:val="98"/>
              </w:rPr>
              <w:t>Information Technology</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Membership Units (5,363,982 Units)</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11/25/2019</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8,947</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8,419</w:t>
            </w: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7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w w:val="84"/>
              </w:rPr>
              <w:t>Sub Total Control investments – United States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8,947</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8,419</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440" w:type="dxa"/>
            <w:vAlign w:val="bottom"/>
            <w:gridSpan w:val="3"/>
          </w:tcPr>
          <w:p>
            <w:pPr>
              <w:spacing w:after="0"/>
              <w:rPr>
                <w:sz w:val="20"/>
                <w:szCs w:val="20"/>
                <w:color w:val="auto"/>
              </w:rPr>
            </w:pPr>
            <w:r>
              <w:rPr>
                <w:rFonts w:ascii="Arial" w:cs="Arial" w:eastAsia="Arial" w:hAnsi="Arial"/>
                <w:sz w:val="13"/>
                <w:szCs w:val="13"/>
                <w:b w:val="1"/>
                <w:bCs w:val="1"/>
                <w:color w:val="auto"/>
              </w:rPr>
              <w:t>TOTAL INVESTMENTS – 252.1%</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0"/>
              </w:rPr>
              <w:t>277,652</w:t>
            </w: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w w:val="80"/>
              </w:rPr>
              <w:t>274,692</w:t>
            </w:r>
          </w:p>
        </w:tc>
        <w:tc>
          <w:tcPr>
            <w:tcW w:w="8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Arial" w:cs="Arial" w:eastAsia="Arial" w:hAnsi="Arial"/>
                <w:sz w:val="13"/>
                <w:szCs w:val="13"/>
                <w:b w:val="1"/>
                <w:bCs w:val="1"/>
                <w:color w:val="auto"/>
              </w:rPr>
              <w:t>252.1%</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-556260</wp:posOffset>
            </wp:positionV>
            <wp:extent cx="61804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-1953895</wp:posOffset>
            </wp:positionV>
            <wp:extent cx="61804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-2390775</wp:posOffset>
            </wp:positionV>
            <wp:extent cx="61804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-2896870</wp:posOffset>
            </wp:positionV>
            <wp:extent cx="61804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-3616960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-3616960</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-3616960</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-3616960</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-3616960</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-3616960</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-3616960</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4" w:lineRule="exact"/>
        <w:rPr>
          <w:sz w:val="20"/>
          <w:szCs w:val="20"/>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investments valued by Capitala Finance Corp.’s (the “Company”) board of directors.</w:t>
      </w:r>
    </w:p>
    <w:p>
      <w:pPr>
        <w:spacing w:after="0" w:line="76" w:lineRule="exact"/>
        <w:rPr>
          <w:rFonts w:ascii="Arial" w:cs="Arial" w:eastAsia="Arial" w:hAnsi="Arial"/>
          <w:sz w:val="18"/>
          <w:szCs w:val="18"/>
          <w:color w:val="auto"/>
        </w:rPr>
      </w:pPr>
    </w:p>
    <w:p>
      <w:pPr>
        <w:ind w:left="1620" w:right="780"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Percentages are based on net assets of $108,947 as of December 31, 2020.</w:t>
      </w:r>
    </w:p>
    <w:p>
      <w:pPr>
        <w:spacing w:after="0" w:line="90" w:lineRule="exact"/>
        <w:rPr>
          <w:rFonts w:ascii="Arial" w:cs="Arial" w:eastAsia="Arial" w:hAnsi="Arial"/>
          <w:sz w:val="18"/>
          <w:szCs w:val="18"/>
          <w:color w:val="auto"/>
        </w:rPr>
      </w:pPr>
    </w:p>
    <w:p>
      <w:pPr>
        <w:jc w:val="both"/>
        <w:ind w:left="1620" w:right="780" w:hanging="360"/>
        <w:spacing w:after="0" w:line="259"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38"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0" w:lineRule="exact"/>
        <w:rPr>
          <w:rFonts w:ascii="Arial" w:cs="Arial" w:eastAsia="Arial" w:hAnsi="Arial"/>
          <w:sz w:val="18"/>
          <w:szCs w:val="18"/>
          <w:color w:val="auto"/>
        </w:rPr>
      </w:pPr>
    </w:p>
    <w:p>
      <w:pPr>
        <w:ind w:left="1620" w:right="1460"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1.0% of interest payable in cash. 9.0% of interest payable in cash or paid-in-kind at borrower’s election.</w:t>
      </w:r>
    </w:p>
    <w:p>
      <w:pPr>
        <w:spacing w:after="0" w:line="21" w:lineRule="exact"/>
        <w:rPr>
          <w:rFonts w:ascii="Arial" w:cs="Arial" w:eastAsia="Arial" w:hAnsi="Arial"/>
          <w:sz w:val="18"/>
          <w:szCs w:val="18"/>
          <w:color w:val="auto"/>
        </w:rPr>
      </w:pPr>
    </w:p>
    <w:p>
      <w:pPr>
        <w:ind w:left="1620" w:right="1460"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9.0% of interest payable in cash. 2.0% of interest payable in cash or paid-in-kind at borrower’s election.</w:t>
      </w:r>
    </w:p>
    <w:p>
      <w:pPr>
        <w:spacing w:after="0" w:line="21" w:lineRule="exact"/>
        <w:rPr>
          <w:rFonts w:ascii="Arial" w:cs="Arial" w:eastAsia="Arial" w:hAnsi="Arial"/>
          <w:sz w:val="18"/>
          <w:szCs w:val="18"/>
          <w:color w:val="auto"/>
        </w:rPr>
      </w:pPr>
    </w:p>
    <w:p>
      <w:pPr>
        <w:jc w:val="both"/>
        <w:ind w:left="1620" w:right="780" w:hanging="360"/>
        <w:spacing w:after="0" w:line="259"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2020, 1.1% of the Company’s total assets were non-qualifying assets.</w:t>
      </w:r>
    </w:p>
    <w:p>
      <w:pPr>
        <w:spacing w:after="0" w:line="51"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0"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580" w:top="131" w:right="1079" w:bottom="1440" w:gutter="0" w:footer="0" w:header="0"/>
        </w:sectPr>
      </w:pPr>
    </w:p>
    <w:bookmarkStart w:id="116" w:name="page117"/>
    <w:bookmarkEnd w:id="116"/>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2020</w:t>
      </w:r>
    </w:p>
    <w:p>
      <w:pPr>
        <w:spacing w:after="0" w:line="170" w:lineRule="exact"/>
        <w:rPr>
          <w:sz w:val="20"/>
          <w:szCs w:val="20"/>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investment has a $3.5 million unfunded commitment.</w:t>
      </w:r>
    </w:p>
    <w:p>
      <w:pPr>
        <w:spacing w:after="0" w:line="90"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investment has been exited or sold. The residual value reflects estimated earnout, escrow, or other proceeds expected post-closing.</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investment has a $3.0 million unfunded commitment.</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investment has a $1.3 million unfunded commitment.</w:t>
      </w:r>
    </w:p>
    <w:p>
      <w:pPr>
        <w:spacing w:after="0" w:line="90"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is valued using observable inputs (Level 1). The stock of the company is traded on the NASDAQ Capital Market under the ticker “USWS.”</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280" w:type="dxa"/>
            <w:vAlign w:val="bottom"/>
            <w:vMerge w:val="restart"/>
          </w:tcPr>
          <w:p>
            <w:pPr>
              <w:spacing w:after="0"/>
              <w:rPr>
                <w:sz w:val="20"/>
                <w:szCs w:val="20"/>
                <w:color w:val="auto"/>
              </w:rPr>
            </w:pPr>
            <w:r>
              <w:rPr>
                <w:rFonts w:ascii="Arial" w:cs="Arial" w:eastAsia="Arial" w:hAnsi="Arial"/>
                <w:sz w:val="12"/>
                <w:szCs w:val="12"/>
                <w:b w:val="1"/>
                <w:bCs w:val="1"/>
                <w:color w:val="auto"/>
                <w:w w:val="93"/>
              </w:rPr>
              <w:t>Portfolio Company, Country</w:t>
            </w:r>
            <w:r>
              <w:rPr>
                <w:rFonts w:ascii="Arial" w:cs="Arial" w:eastAsia="Arial" w:hAnsi="Arial"/>
                <w:sz w:val="17"/>
                <w:szCs w:val="17"/>
                <w:b w:val="1"/>
                <w:bCs w:val="1"/>
                <w:color w:val="auto"/>
                <w:w w:val="93"/>
                <w:vertAlign w:val="superscript"/>
              </w:rPr>
              <w:t>(1),(2),(3),(4),(5)</w:t>
            </w:r>
          </w:p>
        </w:tc>
        <w:tc>
          <w:tcPr>
            <w:tcW w:w="1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80" w:type="dxa"/>
            <w:vAlign w:val="bottom"/>
          </w:tcPr>
          <w:p>
            <w:pPr>
              <w:jc w:val="right"/>
              <w:ind w:right="17"/>
              <w:spacing w:after="0"/>
              <w:rPr>
                <w:sz w:val="20"/>
                <w:szCs w:val="20"/>
                <w:color w:val="auto"/>
              </w:rPr>
            </w:pPr>
            <w:r>
              <w:rPr>
                <w:rFonts w:ascii="Arial" w:cs="Arial" w:eastAsia="Arial" w:hAnsi="Arial"/>
                <w:sz w:val="12"/>
                <w:szCs w:val="12"/>
                <w:b w:val="1"/>
                <w:bCs w:val="1"/>
                <w:color w:val="auto"/>
                <w:w w:val="88"/>
              </w:rPr>
              <w:t>Acquisition</w:t>
            </w:r>
          </w:p>
        </w:tc>
        <w:tc>
          <w:tcPr>
            <w:tcW w:w="620" w:type="dxa"/>
            <w:vAlign w:val="bottom"/>
          </w:tcPr>
          <w:p>
            <w:pPr>
              <w:jc w:val="right"/>
              <w:ind w:right="78"/>
              <w:spacing w:after="0"/>
              <w:rPr>
                <w:sz w:val="20"/>
                <w:szCs w:val="20"/>
                <w:color w:val="auto"/>
              </w:rPr>
            </w:pPr>
            <w:r>
              <w:rPr>
                <w:rFonts w:ascii="Arial" w:cs="Arial" w:eastAsia="Arial" w:hAnsi="Arial"/>
                <w:sz w:val="12"/>
                <w:szCs w:val="12"/>
                <w:b w:val="1"/>
                <w:bCs w:val="1"/>
                <w:color w:val="auto"/>
                <w:w w:val="90"/>
              </w:rPr>
              <w:t>Principal</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6"/>
              </w:rPr>
              <w:t>% of</w:t>
            </w:r>
          </w:p>
        </w:tc>
        <w:tc>
          <w:tcPr>
            <w:tcW w:w="0" w:type="dxa"/>
            <w:vAlign w:val="bottom"/>
          </w:tcPr>
          <w:p>
            <w:pPr>
              <w:spacing w:after="0"/>
              <w:rPr>
                <w:sz w:val="1"/>
                <w:szCs w:val="1"/>
                <w:color w:val="auto"/>
              </w:rPr>
            </w:pPr>
          </w:p>
        </w:tc>
      </w:tr>
      <w:tr>
        <w:trPr>
          <w:trHeight w:val="184"/>
        </w:trPr>
        <w:tc>
          <w:tcPr>
            <w:tcW w:w="2280" w:type="dxa"/>
            <w:vAlign w:val="bottom"/>
            <w:vMerge w:val="continue"/>
          </w:tcPr>
          <w:p>
            <w:pPr>
              <w:spacing w:after="0"/>
              <w:rPr>
                <w:sz w:val="15"/>
                <w:szCs w:val="15"/>
                <w:color w:val="auto"/>
              </w:rPr>
            </w:pPr>
          </w:p>
        </w:tc>
        <w:tc>
          <w:tcPr>
            <w:tcW w:w="1400" w:type="dxa"/>
            <w:vAlign w:val="bottom"/>
          </w:tcPr>
          <w:p>
            <w:pPr>
              <w:ind w:left="520"/>
              <w:spacing w:after="0"/>
              <w:rPr>
                <w:sz w:val="20"/>
                <w:szCs w:val="20"/>
                <w:color w:val="auto"/>
              </w:rPr>
            </w:pPr>
            <w:r>
              <w:rPr>
                <w:rFonts w:ascii="Arial" w:cs="Arial" w:eastAsia="Arial" w:hAnsi="Arial"/>
                <w:sz w:val="12"/>
                <w:szCs w:val="12"/>
                <w:b w:val="1"/>
                <w:bCs w:val="1"/>
                <w:color w:val="auto"/>
              </w:rPr>
              <w:t>Industry</w:t>
            </w:r>
          </w:p>
        </w:tc>
        <w:tc>
          <w:tcPr>
            <w:tcW w:w="2980" w:type="dxa"/>
            <w:vAlign w:val="bottom"/>
          </w:tcPr>
          <w:p>
            <w:pPr>
              <w:ind w:left="1040"/>
              <w:spacing w:after="0"/>
              <w:rPr>
                <w:sz w:val="20"/>
                <w:szCs w:val="20"/>
                <w:color w:val="auto"/>
              </w:rPr>
            </w:pPr>
            <w:r>
              <w:rPr>
                <w:rFonts w:ascii="Arial" w:cs="Arial" w:eastAsia="Arial" w:hAnsi="Arial"/>
                <w:sz w:val="12"/>
                <w:szCs w:val="12"/>
                <w:b w:val="1"/>
                <w:bCs w:val="1"/>
                <w:color w:val="auto"/>
              </w:rPr>
              <w:t>Type of Investment</w:t>
            </w:r>
          </w:p>
        </w:tc>
        <w:tc>
          <w:tcPr>
            <w:tcW w:w="680" w:type="dxa"/>
            <w:vAlign w:val="bottom"/>
          </w:tcPr>
          <w:p>
            <w:pPr>
              <w:jc w:val="right"/>
              <w:ind w:right="157"/>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jc w:val="right"/>
              <w:ind w:right="78"/>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Cost</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Fair Value</w:t>
            </w:r>
          </w:p>
        </w:tc>
        <w:tc>
          <w:tcPr>
            <w:tcW w:w="6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0"/>
              </w:rPr>
              <w:t>Net Assets</w:t>
            </w:r>
          </w:p>
        </w:tc>
        <w:tc>
          <w:tcPr>
            <w:tcW w:w="0" w:type="dxa"/>
            <w:vAlign w:val="bottom"/>
          </w:tcPr>
          <w:p>
            <w:pPr>
              <w:spacing w:after="0"/>
              <w:rPr>
                <w:sz w:val="1"/>
                <w:szCs w:val="1"/>
                <w:color w:val="auto"/>
              </w:rPr>
            </w:pPr>
          </w:p>
        </w:tc>
      </w:tr>
      <w:tr>
        <w:trPr>
          <w:trHeight w:val="203"/>
        </w:trPr>
        <w:tc>
          <w:tcPr>
            <w:tcW w:w="36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Non-control/non-affiliated investments – 162.8%</w:t>
            </w:r>
          </w:p>
        </w:tc>
        <w:tc>
          <w:tcPr>
            <w:tcW w:w="298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Non-control/non-affiliated investments – United States</w:t>
            </w:r>
          </w:p>
        </w:tc>
        <w:tc>
          <w:tcPr>
            <w:tcW w:w="2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First Lien Debt (10.7% Cash (1 month LIBOR +</w:t>
            </w: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3 Bridge Solutions, LLC</w:t>
            </w: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IT Consulting</w:t>
            </w: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9.0%, 1.0% Floor), Due 12/4/22)</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12/4/2017</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7"/>
              </w:rPr>
              <w:t>$13,274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$13,274</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$13,274</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20"/>
                <w:szCs w:val="20"/>
                <w:color w:val="auto"/>
              </w:rPr>
            </w:pPr>
            <w:r>
              <w:rPr>
                <w:rFonts w:ascii="Arial" w:cs="Arial" w:eastAsia="Arial" w:hAnsi="Arial"/>
                <w:sz w:val="13"/>
                <w:szCs w:val="13"/>
                <w:color w:val="auto"/>
              </w:rPr>
              <w:t>3 Bridge Solutions, LLC</w:t>
            </w:r>
          </w:p>
        </w:tc>
        <w:tc>
          <w:tcPr>
            <w:tcW w:w="1400" w:type="dxa"/>
            <w:vAlign w:val="bottom"/>
          </w:tcPr>
          <w:p>
            <w:pPr>
              <w:ind w:left="80"/>
              <w:spacing w:after="0"/>
              <w:rPr>
                <w:sz w:val="20"/>
                <w:szCs w:val="20"/>
                <w:color w:val="auto"/>
              </w:rPr>
            </w:pPr>
            <w:r>
              <w:rPr>
                <w:rFonts w:ascii="Arial" w:cs="Arial" w:eastAsia="Arial" w:hAnsi="Arial"/>
                <w:sz w:val="13"/>
                <w:szCs w:val="13"/>
                <w:color w:val="auto"/>
              </w:rPr>
              <w:t>IT Consulting</w:t>
            </w:r>
          </w:p>
        </w:tc>
        <w:tc>
          <w:tcPr>
            <w:tcW w:w="2980" w:type="dxa"/>
            <w:vAlign w:val="bottom"/>
          </w:tcPr>
          <w:p>
            <w:pPr>
              <w:ind w:left="60"/>
              <w:spacing w:after="0"/>
              <w:rPr>
                <w:sz w:val="20"/>
                <w:szCs w:val="20"/>
                <w:color w:val="auto"/>
              </w:rPr>
            </w:pPr>
            <w:r>
              <w:rPr>
                <w:rFonts w:ascii="Arial" w:cs="Arial" w:eastAsia="Arial" w:hAnsi="Arial"/>
                <w:sz w:val="13"/>
                <w:szCs w:val="13"/>
                <w:color w:val="auto"/>
              </w:rPr>
              <w:t>Preferred Units (965 units)</w:t>
            </w:r>
          </w:p>
        </w:tc>
        <w:tc>
          <w:tcPr>
            <w:tcW w:w="680" w:type="dxa"/>
            <w:vAlign w:val="bottom"/>
          </w:tcPr>
          <w:p>
            <w:pPr>
              <w:jc w:val="right"/>
              <w:spacing w:after="0"/>
              <w:rPr>
                <w:sz w:val="20"/>
                <w:szCs w:val="20"/>
                <w:color w:val="auto"/>
              </w:rPr>
            </w:pPr>
            <w:r>
              <w:rPr>
                <w:rFonts w:ascii="Arial" w:cs="Arial" w:eastAsia="Arial" w:hAnsi="Arial"/>
                <w:sz w:val="13"/>
                <w:szCs w:val="13"/>
                <w:color w:val="auto"/>
              </w:rPr>
              <w:t>12/4/2017</w:t>
            </w:r>
          </w:p>
        </w:tc>
        <w:tc>
          <w:tcPr>
            <w:tcW w:w="6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1,090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499</w:t>
            </w:r>
          </w:p>
        </w:tc>
        <w:tc>
          <w:tcPr>
            <w:tcW w:w="80" w:type="dxa"/>
            <w:vAlign w:val="bottom"/>
          </w:tcPr>
          <w:p>
            <w:pPr>
              <w:spacing w:after="0"/>
              <w:rPr>
                <w:sz w:val="17"/>
                <w:szCs w:val="17"/>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3 Bridge Solutions, LLC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IT Consulting</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Membership Units (39,000 units)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12/4/2017</w:t>
            </w:r>
          </w:p>
        </w:tc>
        <w:tc>
          <w:tcPr>
            <w:tcW w:w="6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14,374</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13,773</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Alternative Biomedical Solutions, LLC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Healthcare</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94"/>
              </w:rPr>
              <w:t>First Lien Debt (8.0% Cash, 3.8% PIK, Due 12/18/22)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12/18/2017</w:t>
            </w:r>
          </w:p>
        </w:tc>
        <w:tc>
          <w:tcPr>
            <w:tcW w:w="6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5,491</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5,331</w:t>
            </w:r>
          </w:p>
        </w:tc>
        <w:tc>
          <w:tcPr>
            <w:tcW w:w="5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5,319</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w w:val="94"/>
              </w:rPr>
              <w:t>First Lien Debt (8.0% Cash, 3.8% PIK, Due 12/18/22)</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280" w:type="dxa"/>
            <w:vAlign w:val="bottom"/>
            <w:vMerge w:val="restart"/>
          </w:tcPr>
          <w:p>
            <w:pPr>
              <w:spacing w:after="0"/>
              <w:rPr>
                <w:sz w:val="20"/>
                <w:szCs w:val="20"/>
                <w:color w:val="auto"/>
              </w:rPr>
            </w:pPr>
            <w:r>
              <w:rPr>
                <w:rFonts w:ascii="Arial" w:cs="Arial" w:eastAsia="Arial" w:hAnsi="Arial"/>
                <w:sz w:val="13"/>
                <w:szCs w:val="13"/>
                <w:color w:val="auto"/>
              </w:rPr>
              <w:t>Alternative Biomedical Solutions, LLC</w:t>
            </w:r>
          </w:p>
        </w:tc>
        <w:tc>
          <w:tcPr>
            <w:tcW w:w="1400" w:type="dxa"/>
            <w:vAlign w:val="bottom"/>
            <w:vMerge w:val="restart"/>
          </w:tcPr>
          <w:p>
            <w:pPr>
              <w:ind w:left="80"/>
              <w:spacing w:after="0"/>
              <w:rPr>
                <w:sz w:val="20"/>
                <w:szCs w:val="20"/>
                <w:color w:val="auto"/>
              </w:rPr>
            </w:pPr>
            <w:r>
              <w:rPr>
                <w:rFonts w:ascii="Arial" w:cs="Arial" w:eastAsia="Arial" w:hAnsi="Arial"/>
                <w:sz w:val="13"/>
                <w:szCs w:val="13"/>
                <w:color w:val="auto"/>
              </w:rPr>
              <w:t>Healthcare</w:t>
            </w:r>
          </w:p>
        </w:tc>
        <w:tc>
          <w:tcPr>
            <w:tcW w:w="2980" w:type="dxa"/>
            <w:vAlign w:val="bottom"/>
          </w:tcPr>
          <w:p>
            <w:pPr>
              <w:ind w:left="60"/>
              <w:spacing w:after="0"/>
              <w:rPr>
                <w:sz w:val="20"/>
                <w:szCs w:val="20"/>
                <w:color w:val="auto"/>
              </w:rPr>
            </w:pPr>
            <w:r>
              <w:rPr>
                <w:rFonts w:ascii="Arial" w:cs="Arial" w:eastAsia="Arial" w:hAnsi="Arial"/>
                <w:sz w:val="10"/>
                <w:szCs w:val="10"/>
                <w:color w:val="auto"/>
              </w:rPr>
              <w:t>(6)</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5"/>
              </w:rPr>
              <w:t>12/18/2017</w:t>
            </w:r>
          </w:p>
        </w:tc>
        <w:tc>
          <w:tcPr>
            <w:tcW w:w="620" w:type="dxa"/>
            <w:vAlign w:val="bottom"/>
            <w:vMerge w:val="restart"/>
          </w:tcPr>
          <w:p>
            <w:pPr>
              <w:jc w:val="right"/>
              <w:ind w:right="78"/>
              <w:spacing w:after="0"/>
              <w:rPr>
                <w:sz w:val="20"/>
                <w:szCs w:val="20"/>
                <w:color w:val="auto"/>
              </w:rPr>
            </w:pPr>
            <w:r>
              <w:rPr>
                <w:rFonts w:ascii="Arial" w:cs="Arial" w:eastAsia="Arial" w:hAnsi="Arial"/>
                <w:sz w:val="13"/>
                <w:szCs w:val="13"/>
                <w:color w:val="auto"/>
              </w:rPr>
              <w:t>13,125</w:t>
            </w: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13,125</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10,624</w:t>
            </w:r>
          </w:p>
        </w:tc>
        <w:tc>
          <w:tcPr>
            <w:tcW w:w="80" w:type="dxa"/>
            <w:vAlign w:val="bottom"/>
          </w:tcPr>
          <w:p>
            <w:pPr>
              <w:spacing w:after="0"/>
              <w:rPr>
                <w:sz w:val="10"/>
                <w:szCs w:val="10"/>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7.2%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28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29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Alternative Biomedical Solutions, LLC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Healthcare</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Membership Units (20,092 units)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12/18/2017</w:t>
            </w:r>
          </w:p>
        </w:tc>
        <w:tc>
          <w:tcPr>
            <w:tcW w:w="6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800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19,256</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15,943</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10.8%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American Clinical Solutions, LLC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Healthcare</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First Lien Debt (7.0% Cash, Due 12/31/22)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12/31/2019</w:t>
            </w:r>
          </w:p>
        </w:tc>
        <w:tc>
          <w:tcPr>
            <w:tcW w:w="6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3,500</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3,500</w:t>
            </w:r>
          </w:p>
        </w:tc>
        <w:tc>
          <w:tcPr>
            <w:tcW w:w="5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2.3%</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3"/>
                <w:szCs w:val="13"/>
                <w:color w:val="auto"/>
              </w:rPr>
              <w:t>American Clinical Solutions, LLC</w:t>
            </w:r>
          </w:p>
        </w:tc>
        <w:tc>
          <w:tcPr>
            <w:tcW w:w="1400" w:type="dxa"/>
            <w:vAlign w:val="bottom"/>
          </w:tcPr>
          <w:p>
            <w:pPr>
              <w:ind w:left="80"/>
              <w:spacing w:after="0"/>
              <w:rPr>
                <w:sz w:val="20"/>
                <w:szCs w:val="20"/>
                <w:color w:val="auto"/>
              </w:rPr>
            </w:pPr>
            <w:r>
              <w:rPr>
                <w:rFonts w:ascii="Arial" w:cs="Arial" w:eastAsia="Arial" w:hAnsi="Arial"/>
                <w:sz w:val="13"/>
                <w:szCs w:val="13"/>
                <w:color w:val="auto"/>
              </w:rPr>
              <w:t>Healthcare</w:t>
            </w:r>
          </w:p>
        </w:tc>
        <w:tc>
          <w:tcPr>
            <w:tcW w:w="2980" w:type="dxa"/>
            <w:vAlign w:val="bottom"/>
          </w:tcPr>
          <w:p>
            <w:pPr>
              <w:ind w:left="60"/>
              <w:spacing w:after="0"/>
              <w:rPr>
                <w:sz w:val="20"/>
                <w:szCs w:val="20"/>
                <w:color w:val="auto"/>
              </w:rPr>
            </w:pPr>
            <w:r>
              <w:rPr>
                <w:rFonts w:ascii="Arial" w:cs="Arial" w:eastAsia="Arial" w:hAnsi="Arial"/>
                <w:sz w:val="13"/>
                <w:szCs w:val="13"/>
                <w:color w:val="auto"/>
              </w:rPr>
              <w:t>First Lien Debt (2.0% PIK, Due 12/31/22)</w:t>
            </w:r>
            <w:r>
              <w:rPr>
                <w:rFonts w:ascii="Arial" w:cs="Arial" w:eastAsia="Arial" w:hAnsi="Arial"/>
                <w:sz w:val="19"/>
                <w:szCs w:val="19"/>
                <w:color w:val="auto"/>
                <w:vertAlign w:val="superscript"/>
              </w:rPr>
              <w:t>(7)</w:t>
            </w:r>
          </w:p>
        </w:tc>
        <w:tc>
          <w:tcPr>
            <w:tcW w:w="680" w:type="dxa"/>
            <w:vAlign w:val="bottom"/>
          </w:tcPr>
          <w:p>
            <w:pPr>
              <w:jc w:val="right"/>
              <w:spacing w:after="0"/>
              <w:rPr>
                <w:sz w:val="20"/>
                <w:szCs w:val="20"/>
                <w:color w:val="auto"/>
              </w:rPr>
            </w:pPr>
            <w:r>
              <w:rPr>
                <w:rFonts w:ascii="Arial" w:cs="Arial" w:eastAsia="Arial" w:hAnsi="Arial"/>
                <w:sz w:val="13"/>
                <w:szCs w:val="13"/>
                <w:color w:val="auto"/>
                <w:w w:val="95"/>
              </w:rPr>
              <w:t>12/31/2019</w:t>
            </w:r>
          </w:p>
        </w:tc>
        <w:tc>
          <w:tcPr>
            <w:tcW w:w="620" w:type="dxa"/>
            <w:vAlign w:val="bottom"/>
          </w:tcPr>
          <w:p>
            <w:pPr>
              <w:jc w:val="right"/>
              <w:ind w:right="78"/>
              <w:spacing w:after="0"/>
              <w:rPr>
                <w:sz w:val="20"/>
                <w:szCs w:val="20"/>
                <w:color w:val="auto"/>
              </w:rPr>
            </w:pPr>
            <w:r>
              <w:rPr>
                <w:rFonts w:ascii="Arial" w:cs="Arial" w:eastAsia="Arial" w:hAnsi="Arial"/>
                <w:sz w:val="13"/>
                <w:szCs w:val="13"/>
                <w:color w:val="auto"/>
              </w:rPr>
              <w:t>6,000</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3,485</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3,485</w:t>
            </w:r>
          </w:p>
        </w:tc>
        <w:tc>
          <w:tcPr>
            <w:tcW w:w="8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6,985</w:t>
            </w:r>
          </w:p>
        </w:tc>
        <w:tc>
          <w:tcPr>
            <w:tcW w:w="5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6,985</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4.7%</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3"/>
                <w:szCs w:val="13"/>
                <w:color w:val="auto"/>
              </w:rPr>
              <w:t>AmeriMark Direct, LLC</w:t>
            </w:r>
          </w:p>
        </w:tc>
        <w:tc>
          <w:tcPr>
            <w:tcW w:w="1400" w:type="dxa"/>
            <w:vAlign w:val="bottom"/>
          </w:tcPr>
          <w:p>
            <w:pPr>
              <w:ind w:left="80"/>
              <w:spacing w:after="0"/>
              <w:rPr>
                <w:sz w:val="20"/>
                <w:szCs w:val="20"/>
                <w:color w:val="auto"/>
              </w:rPr>
            </w:pPr>
            <w:r>
              <w:rPr>
                <w:rFonts w:ascii="Arial" w:cs="Arial" w:eastAsia="Arial" w:hAnsi="Arial"/>
                <w:sz w:val="13"/>
                <w:szCs w:val="13"/>
                <w:color w:val="auto"/>
              </w:rPr>
              <w:t>Consumer Products</w:t>
            </w:r>
          </w:p>
        </w:tc>
        <w:tc>
          <w:tcPr>
            <w:tcW w:w="2980" w:type="dxa"/>
            <w:vAlign w:val="bottom"/>
          </w:tcPr>
          <w:p>
            <w:pPr>
              <w:ind w:left="60"/>
              <w:spacing w:after="0"/>
              <w:rPr>
                <w:sz w:val="20"/>
                <w:szCs w:val="20"/>
                <w:color w:val="auto"/>
              </w:rPr>
            </w:pPr>
            <w:r>
              <w:rPr>
                <w:rFonts w:ascii="Arial" w:cs="Arial" w:eastAsia="Arial" w:hAnsi="Arial"/>
                <w:sz w:val="13"/>
                <w:szCs w:val="13"/>
                <w:color w:val="auto"/>
              </w:rPr>
              <w:t>First Lien Debt (14.3% Cash, Due 9/8/21)</w:t>
            </w:r>
          </w:p>
        </w:tc>
        <w:tc>
          <w:tcPr>
            <w:tcW w:w="680" w:type="dxa"/>
            <w:vAlign w:val="bottom"/>
          </w:tcPr>
          <w:p>
            <w:pPr>
              <w:jc w:val="right"/>
              <w:spacing w:after="0"/>
              <w:rPr>
                <w:sz w:val="20"/>
                <w:szCs w:val="20"/>
                <w:color w:val="auto"/>
              </w:rPr>
            </w:pPr>
            <w:r>
              <w:rPr>
                <w:rFonts w:ascii="Arial" w:cs="Arial" w:eastAsia="Arial" w:hAnsi="Arial"/>
                <w:sz w:val="13"/>
                <w:szCs w:val="13"/>
                <w:color w:val="auto"/>
              </w:rPr>
              <w:t>9/8/2016</w:t>
            </w:r>
          </w:p>
        </w:tc>
        <w:tc>
          <w:tcPr>
            <w:tcW w:w="620" w:type="dxa"/>
            <w:vAlign w:val="bottom"/>
          </w:tcPr>
          <w:p>
            <w:pPr>
              <w:jc w:val="right"/>
              <w:ind w:right="78"/>
              <w:spacing w:after="0"/>
              <w:rPr>
                <w:sz w:val="20"/>
                <w:szCs w:val="20"/>
                <w:color w:val="auto"/>
              </w:rPr>
            </w:pPr>
            <w:r>
              <w:rPr>
                <w:rFonts w:ascii="Arial" w:cs="Arial" w:eastAsia="Arial" w:hAnsi="Arial"/>
                <w:sz w:val="13"/>
                <w:szCs w:val="13"/>
                <w:color w:val="auto"/>
              </w:rPr>
              <w:t>16,123</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15,974</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15,633</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10.6%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15,974</w:t>
            </w:r>
          </w:p>
        </w:tc>
        <w:tc>
          <w:tcPr>
            <w:tcW w:w="5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15,633</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10.6%</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280" w:type="dxa"/>
            <w:vAlign w:val="bottom"/>
            <w:tcBorders>
              <w:top w:val="single" w:sz="8" w:color="CCEEFF"/>
            </w:tcBorders>
          </w:tcPr>
          <w:p>
            <w:pPr>
              <w:spacing w:after="0"/>
              <w:rPr>
                <w:sz w:val="13"/>
                <w:szCs w:val="13"/>
                <w:color w:val="auto"/>
              </w:rPr>
            </w:pPr>
          </w:p>
        </w:tc>
        <w:tc>
          <w:tcPr>
            <w:tcW w:w="1400" w:type="dxa"/>
            <w:vAlign w:val="bottom"/>
            <w:tcBorders>
              <w:top w:val="single" w:sz="8" w:color="CCEEFF"/>
            </w:tcBorders>
          </w:tcPr>
          <w:p>
            <w:pPr>
              <w:spacing w:after="0"/>
              <w:rPr>
                <w:sz w:val="13"/>
                <w:szCs w:val="13"/>
                <w:color w:val="auto"/>
              </w:rPr>
            </w:pPr>
          </w:p>
        </w:tc>
        <w:tc>
          <w:tcPr>
            <w:tcW w:w="2980" w:type="dxa"/>
            <w:vAlign w:val="bottom"/>
            <w:tcBorders>
              <w:top w:val="single" w:sz="8" w:color="CCEEFF"/>
            </w:tcBorders>
          </w:tcPr>
          <w:p>
            <w:pPr>
              <w:ind w:left="60"/>
              <w:spacing w:after="0"/>
              <w:rPr>
                <w:sz w:val="20"/>
                <w:szCs w:val="20"/>
                <w:color w:val="auto"/>
              </w:rPr>
            </w:pPr>
            <w:r>
              <w:rPr>
                <w:rFonts w:ascii="Arial" w:cs="Arial" w:eastAsia="Arial" w:hAnsi="Arial"/>
                <w:sz w:val="13"/>
                <w:szCs w:val="13"/>
                <w:color w:val="auto"/>
              </w:rPr>
              <w:t>First Lien Debt (10.3% Cash (1 month LIBOR +</w:t>
            </w:r>
          </w:p>
        </w:tc>
        <w:tc>
          <w:tcPr>
            <w:tcW w:w="68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BigMouth, Inc.</w:t>
            </w:r>
          </w:p>
        </w:tc>
        <w:tc>
          <w:tcPr>
            <w:tcW w:w="1400" w:type="dxa"/>
            <w:vAlign w:val="bottom"/>
          </w:tcPr>
          <w:p>
            <w:pPr>
              <w:ind w:left="80"/>
              <w:spacing w:after="0"/>
              <w:rPr>
                <w:sz w:val="20"/>
                <w:szCs w:val="20"/>
                <w:color w:val="auto"/>
              </w:rPr>
            </w:pPr>
            <w:r>
              <w:rPr>
                <w:rFonts w:ascii="Arial" w:cs="Arial" w:eastAsia="Arial" w:hAnsi="Arial"/>
                <w:sz w:val="13"/>
                <w:szCs w:val="13"/>
                <w:color w:val="auto"/>
              </w:rPr>
              <w:t>Consumer Products</w:t>
            </w:r>
          </w:p>
        </w:tc>
        <w:tc>
          <w:tcPr>
            <w:tcW w:w="2980" w:type="dxa"/>
            <w:vAlign w:val="bottom"/>
          </w:tcPr>
          <w:p>
            <w:pPr>
              <w:ind w:left="60"/>
              <w:spacing w:after="0" w:line="189" w:lineRule="exact"/>
              <w:rPr>
                <w:sz w:val="20"/>
                <w:szCs w:val="20"/>
                <w:color w:val="auto"/>
              </w:rPr>
            </w:pPr>
            <w:r>
              <w:rPr>
                <w:rFonts w:ascii="Arial" w:cs="Arial" w:eastAsia="Arial" w:hAnsi="Arial"/>
                <w:sz w:val="13"/>
                <w:szCs w:val="13"/>
                <w:color w:val="auto"/>
              </w:rPr>
              <w:t>8.5%, 0.5% Floor, Due 11/14/21)</w:t>
            </w:r>
            <w:r>
              <w:rPr>
                <w:rFonts w:ascii="Arial" w:cs="Arial" w:eastAsia="Arial" w:hAnsi="Arial"/>
                <w:sz w:val="19"/>
                <w:szCs w:val="19"/>
                <w:color w:val="auto"/>
                <w:vertAlign w:val="superscript"/>
              </w:rPr>
              <w:t>(8)</w:t>
            </w:r>
          </w:p>
        </w:tc>
        <w:tc>
          <w:tcPr>
            <w:tcW w:w="680" w:type="dxa"/>
            <w:vAlign w:val="bottom"/>
          </w:tcPr>
          <w:p>
            <w:pPr>
              <w:jc w:val="right"/>
              <w:spacing w:after="0"/>
              <w:rPr>
                <w:sz w:val="20"/>
                <w:szCs w:val="20"/>
                <w:color w:val="auto"/>
              </w:rPr>
            </w:pPr>
            <w:r>
              <w:rPr>
                <w:rFonts w:ascii="Arial" w:cs="Arial" w:eastAsia="Arial" w:hAnsi="Arial"/>
                <w:sz w:val="13"/>
                <w:szCs w:val="13"/>
                <w:color w:val="auto"/>
                <w:w w:val="95"/>
              </w:rPr>
              <w:t>12/20/2019</w:t>
            </w:r>
          </w:p>
        </w:tc>
        <w:tc>
          <w:tcPr>
            <w:tcW w:w="620" w:type="dxa"/>
            <w:vAlign w:val="bottom"/>
          </w:tcPr>
          <w:p>
            <w:pPr>
              <w:jc w:val="right"/>
              <w:ind w:right="78"/>
              <w:spacing w:after="0"/>
              <w:rPr>
                <w:sz w:val="20"/>
                <w:szCs w:val="20"/>
                <w:color w:val="auto"/>
              </w:rPr>
            </w:pPr>
            <w:r>
              <w:rPr>
                <w:rFonts w:ascii="Arial" w:cs="Arial" w:eastAsia="Arial" w:hAnsi="Arial"/>
                <w:sz w:val="13"/>
                <w:szCs w:val="13"/>
                <w:color w:val="auto"/>
              </w:rPr>
              <w:t>857</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857</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857</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First Lien Debt (10.2% Cash (1 month LIBOR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11/14/2016</w:t>
            </w:r>
          </w:p>
        </w:tc>
        <w:tc>
          <w:tcPr>
            <w:tcW w:w="6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8,784</w:t>
            </w: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8,784</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8,628</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5.8%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BigMouth, Inc.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Consumer Products</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8.5%, 0.5% Floor, Due 11/14/21)</w:t>
            </w: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5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9,641</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9,485</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spacing w:after="0"/>
              <w:rPr>
                <w:sz w:val="16"/>
                <w:szCs w:val="16"/>
                <w:color w:val="auto"/>
              </w:rPr>
            </w:pP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Online Merchandise</w:t>
            </w: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First Lien Debt (9.3% Cash (1 month LIBOR + 7.5%,</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11/7/2014</w:t>
            </w:r>
          </w:p>
        </w:tc>
        <w:tc>
          <w:tcPr>
            <w:tcW w:w="6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3,529</w:t>
            </w: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3,529</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2,877</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Bluestem Brands, Inc.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Retailer</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1.0% Floor), Due 11/7/20)</w:t>
            </w: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5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3,529</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2,877</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spacing w:after="0"/>
              <w:rPr>
                <w:sz w:val="16"/>
                <w:szCs w:val="16"/>
                <w:color w:val="auto"/>
              </w:rPr>
            </w:pP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Home Repair Parts</w:t>
            </w:r>
          </w:p>
        </w:tc>
        <w:tc>
          <w:tcPr>
            <w:tcW w:w="29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4/30/2015</w:t>
            </w:r>
          </w:p>
        </w:tc>
        <w:tc>
          <w:tcPr>
            <w:tcW w:w="62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2,489</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Burke America Parts Group, LLC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Manufacturer</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Membership Units (14 units)</w:t>
            </w: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5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2,489</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CableOrganizer Acquisition, LLC</w:t>
            </w: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Computer Supply Retail</w:t>
            </w: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First Lien Debt</w:t>
            </w:r>
            <w:r>
              <w:rPr>
                <w:rFonts w:ascii="Arial" w:cs="Arial" w:eastAsia="Arial" w:hAnsi="Arial"/>
                <w:sz w:val="19"/>
                <w:szCs w:val="19"/>
                <w:color w:val="auto"/>
                <w:vertAlign w:val="superscript"/>
              </w:rPr>
              <w:t>(9)</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6/29/2018</w:t>
            </w:r>
          </w:p>
        </w:tc>
        <w:tc>
          <w:tcPr>
            <w:tcW w:w="6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1,532</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1,490</w:t>
            </w:r>
          </w:p>
        </w:tc>
        <w:tc>
          <w:tcPr>
            <w:tcW w:w="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1,532</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1,490</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Second Lien Debt (11.9% Cash (3 month LIBOR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9/2/2016</w:t>
            </w:r>
          </w:p>
        </w:tc>
        <w:tc>
          <w:tcPr>
            <w:tcW w:w="6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5,000</w:t>
            </w: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4,927</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California Pizza Kitchen, Inc.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Restaurant</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10.0%, 1.0% Floor), Due 8/23/23)</w:t>
            </w: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5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4,927</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4,697</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spacing w:after="0"/>
              <w:rPr>
                <w:sz w:val="16"/>
                <w:szCs w:val="16"/>
                <w:color w:val="auto"/>
              </w:rPr>
            </w:pP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Multi-platform Media</w:t>
            </w: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First Lien Debt (10.2% Cash (1 month LIBOR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12/14/2018</w:t>
            </w:r>
          </w:p>
        </w:tc>
        <w:tc>
          <w:tcPr>
            <w:tcW w:w="6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13,000</w:t>
            </w: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13,000</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13,000</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Chicken Soup for the Soul, LLC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2"/>
              </w:rPr>
              <w:t>and Consumer Products</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8.5%, 1.5% Floor), Due 12/13/20)</w:t>
            </w: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5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13,000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13,000</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spacing w:after="0"/>
              <w:rPr>
                <w:sz w:val="16"/>
                <w:szCs w:val="16"/>
                <w:color w:val="auto"/>
              </w:rPr>
            </w:pP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Security System</w:t>
            </w: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First Lien Debt (8.7% Cash (1 month LIBOR + 7.0%,</w:t>
            </w: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Chief Fire Intermediate, Inc.</w:t>
            </w: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Services</w:t>
            </w: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 Floor), Due 11/8/24)</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11/8/2019</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8,100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8,100</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8,100</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3"/>
                <w:szCs w:val="13"/>
                <w:color w:val="auto"/>
              </w:rPr>
              <w:t>Security System</w:t>
            </w:r>
          </w:p>
        </w:tc>
        <w:tc>
          <w:tcPr>
            <w:tcW w:w="2980" w:type="dxa"/>
            <w:vAlign w:val="bottom"/>
          </w:tcPr>
          <w:p>
            <w:pPr>
              <w:ind w:left="60"/>
              <w:spacing w:after="0"/>
              <w:rPr>
                <w:sz w:val="20"/>
                <w:szCs w:val="20"/>
                <w:color w:val="auto"/>
              </w:rPr>
            </w:pPr>
            <w:r>
              <w:rPr>
                <w:rFonts w:ascii="Arial" w:cs="Arial" w:eastAsia="Arial" w:hAnsi="Arial"/>
                <w:sz w:val="13"/>
                <w:szCs w:val="13"/>
                <w:color w:val="auto"/>
              </w:rPr>
              <w:t>Class A Preferred Units (34,740 units, 10.0% PIK</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Chief Fire Intermediate, Inc.</w:t>
            </w:r>
          </w:p>
        </w:tc>
        <w:tc>
          <w:tcPr>
            <w:tcW w:w="1400" w:type="dxa"/>
            <w:vAlign w:val="bottom"/>
          </w:tcPr>
          <w:p>
            <w:pPr>
              <w:ind w:left="80"/>
              <w:spacing w:after="0"/>
              <w:rPr>
                <w:sz w:val="20"/>
                <w:szCs w:val="20"/>
                <w:color w:val="auto"/>
              </w:rPr>
            </w:pPr>
            <w:r>
              <w:rPr>
                <w:rFonts w:ascii="Arial" w:cs="Arial" w:eastAsia="Arial" w:hAnsi="Arial"/>
                <w:sz w:val="13"/>
                <w:szCs w:val="13"/>
                <w:color w:val="auto"/>
              </w:rPr>
              <w:t>Services</w:t>
            </w:r>
          </w:p>
        </w:tc>
        <w:tc>
          <w:tcPr>
            <w:tcW w:w="2980" w:type="dxa"/>
            <w:vAlign w:val="bottom"/>
          </w:tcPr>
          <w:p>
            <w:pPr>
              <w:ind w:left="60"/>
              <w:spacing w:after="0" w:line="189" w:lineRule="exact"/>
              <w:rPr>
                <w:sz w:val="20"/>
                <w:szCs w:val="20"/>
                <w:color w:val="auto"/>
              </w:rPr>
            </w:pPr>
            <w:r>
              <w:rPr>
                <w:rFonts w:ascii="Arial" w:cs="Arial" w:eastAsia="Arial" w:hAnsi="Arial"/>
                <w:sz w:val="13"/>
                <w:szCs w:val="13"/>
                <w:color w:val="auto"/>
              </w:rPr>
              <w:t xml:space="preserve">Dividend) </w:t>
            </w:r>
            <w:r>
              <w:rPr>
                <w:rFonts w:ascii="Arial" w:cs="Arial" w:eastAsia="Arial" w:hAnsi="Arial"/>
                <w:sz w:val="19"/>
                <w:szCs w:val="19"/>
                <w:color w:val="auto"/>
                <w:vertAlign w:val="superscript"/>
              </w:rPr>
              <w:t>(10)</w:t>
            </w:r>
          </w:p>
        </w:tc>
        <w:tc>
          <w:tcPr>
            <w:tcW w:w="680" w:type="dxa"/>
            <w:vAlign w:val="bottom"/>
          </w:tcPr>
          <w:p>
            <w:pPr>
              <w:jc w:val="right"/>
              <w:spacing w:after="0"/>
              <w:rPr>
                <w:sz w:val="20"/>
                <w:szCs w:val="20"/>
                <w:color w:val="auto"/>
              </w:rPr>
            </w:pPr>
            <w:r>
              <w:rPr>
                <w:rFonts w:ascii="Arial" w:cs="Arial" w:eastAsia="Arial" w:hAnsi="Arial"/>
                <w:sz w:val="13"/>
                <w:szCs w:val="13"/>
                <w:color w:val="auto"/>
              </w:rPr>
              <w:t>11/8/2019</w:t>
            </w:r>
          </w:p>
        </w:tc>
        <w:tc>
          <w:tcPr>
            <w:tcW w:w="62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913</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913</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Security System</w:t>
            </w:r>
          </w:p>
        </w:tc>
        <w:tc>
          <w:tcPr>
            <w:tcW w:w="29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11/8/2019</w:t>
            </w:r>
          </w:p>
        </w:tc>
        <w:tc>
          <w:tcPr>
            <w:tcW w:w="62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Chief Fire Intermediate, Inc.</w:t>
            </w:r>
          </w:p>
        </w:tc>
        <w:tc>
          <w:tcPr>
            <w:tcW w:w="1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Services</w:t>
            </w: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Class B Common Units (3,510 units)</w:t>
            </w: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vMerge w:val="continue"/>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9,013</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9,013</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First Lien Debt (10.2% Cash (1 month LIBOR +</w:t>
            </w: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CIS Secure Computing, Inc.</w:t>
            </w:r>
          </w:p>
        </w:tc>
        <w:tc>
          <w:tcPr>
            <w:tcW w:w="1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Government Services</w:t>
            </w: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8.5%, 1.0% Floor), 1.0% PIK, Due 9/14/22)</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9/14/2017</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9,389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9,389</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9,389</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80" w:type="dxa"/>
            <w:vAlign w:val="bottom"/>
          </w:tcPr>
          <w:p>
            <w:pPr>
              <w:spacing w:after="0"/>
              <w:rPr>
                <w:sz w:val="20"/>
                <w:szCs w:val="20"/>
                <w:color w:val="auto"/>
              </w:rPr>
            </w:pPr>
            <w:r>
              <w:rPr>
                <w:rFonts w:ascii="Arial" w:cs="Arial" w:eastAsia="Arial" w:hAnsi="Arial"/>
                <w:sz w:val="13"/>
                <w:szCs w:val="13"/>
                <w:color w:val="auto"/>
              </w:rPr>
              <w:t>CIS Secure Computing, Inc.</w:t>
            </w:r>
          </w:p>
        </w:tc>
        <w:tc>
          <w:tcPr>
            <w:tcW w:w="1400" w:type="dxa"/>
            <w:vAlign w:val="bottom"/>
          </w:tcPr>
          <w:p>
            <w:pPr>
              <w:ind w:left="80"/>
              <w:spacing w:after="0"/>
              <w:rPr>
                <w:sz w:val="20"/>
                <w:szCs w:val="20"/>
                <w:color w:val="auto"/>
              </w:rPr>
            </w:pPr>
            <w:r>
              <w:rPr>
                <w:rFonts w:ascii="Arial" w:cs="Arial" w:eastAsia="Arial" w:hAnsi="Arial"/>
                <w:sz w:val="13"/>
                <w:szCs w:val="13"/>
                <w:color w:val="auto"/>
              </w:rPr>
              <w:t>Government Services</w:t>
            </w:r>
          </w:p>
        </w:tc>
        <w:tc>
          <w:tcPr>
            <w:tcW w:w="2980" w:type="dxa"/>
            <w:vAlign w:val="bottom"/>
          </w:tcPr>
          <w:p>
            <w:pPr>
              <w:ind w:left="60"/>
              <w:spacing w:after="0"/>
              <w:rPr>
                <w:sz w:val="20"/>
                <w:szCs w:val="20"/>
                <w:color w:val="auto"/>
              </w:rPr>
            </w:pPr>
            <w:r>
              <w:rPr>
                <w:rFonts w:ascii="Arial" w:cs="Arial" w:eastAsia="Arial" w:hAnsi="Arial"/>
                <w:sz w:val="13"/>
                <w:szCs w:val="13"/>
                <w:color w:val="auto"/>
              </w:rPr>
              <w:t>Common Stock (46,163 shares)</w:t>
            </w:r>
          </w:p>
        </w:tc>
        <w:tc>
          <w:tcPr>
            <w:tcW w:w="680" w:type="dxa"/>
            <w:vAlign w:val="bottom"/>
          </w:tcPr>
          <w:p>
            <w:pPr>
              <w:jc w:val="right"/>
              <w:spacing w:after="0"/>
              <w:rPr>
                <w:sz w:val="20"/>
                <w:szCs w:val="20"/>
                <w:color w:val="auto"/>
              </w:rPr>
            </w:pPr>
            <w:r>
              <w:rPr>
                <w:rFonts w:ascii="Arial" w:cs="Arial" w:eastAsia="Arial" w:hAnsi="Arial"/>
                <w:sz w:val="13"/>
                <w:szCs w:val="13"/>
                <w:color w:val="auto"/>
              </w:rPr>
              <w:t>9/14/2017</w:t>
            </w:r>
          </w:p>
        </w:tc>
        <w:tc>
          <w:tcPr>
            <w:tcW w:w="6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1,000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1,890</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10,389</w:t>
            </w:r>
          </w:p>
        </w:tc>
        <w:tc>
          <w:tcPr>
            <w:tcW w:w="5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11,279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-170815</wp:posOffset>
            </wp:positionV>
            <wp:extent cx="61550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-565150</wp:posOffset>
            </wp:positionV>
            <wp:extent cx="61550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-1447800</wp:posOffset>
            </wp:positionV>
            <wp:extent cx="61550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-1868170</wp:posOffset>
            </wp:positionV>
            <wp:extent cx="61550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-2287905</wp:posOffset>
            </wp:positionV>
            <wp:extent cx="61550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-2622550</wp:posOffset>
            </wp:positionV>
            <wp:extent cx="61550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-3042285</wp:posOffset>
            </wp:positionV>
            <wp:extent cx="61550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-3462655</wp:posOffset>
            </wp:positionV>
            <wp:extent cx="61550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-4243070</wp:posOffset>
            </wp:positionV>
            <wp:extent cx="61550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-4551045</wp:posOffset>
            </wp:positionV>
            <wp:extent cx="61804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-4851400</wp:posOffset>
            </wp:positionV>
            <wp:extent cx="61550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-5528310</wp:posOffset>
            </wp:positionV>
            <wp:extent cx="61550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-6497320</wp:posOffset>
            </wp:positionV>
            <wp:extent cx="4114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-6497320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-6497320</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-6497320</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-6497320</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-6497320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-6497320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18" w:name="page119"/>
    <w:bookmarkEnd w:id="118"/>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280" w:type="dxa"/>
            <w:vAlign w:val="bottom"/>
            <w:vMerge w:val="restart"/>
          </w:tcPr>
          <w:p>
            <w:pPr>
              <w:spacing w:after="0"/>
              <w:rPr>
                <w:sz w:val="20"/>
                <w:szCs w:val="20"/>
                <w:color w:val="auto"/>
              </w:rPr>
            </w:pPr>
            <w:r>
              <w:rPr>
                <w:rFonts w:ascii="Arial" w:cs="Arial" w:eastAsia="Arial" w:hAnsi="Arial"/>
                <w:sz w:val="12"/>
                <w:szCs w:val="12"/>
                <w:b w:val="1"/>
                <w:bCs w:val="1"/>
                <w:color w:val="auto"/>
                <w:w w:val="93"/>
              </w:rPr>
              <w:t>Portfolio Company, Country</w:t>
            </w:r>
            <w:r>
              <w:rPr>
                <w:rFonts w:ascii="Arial" w:cs="Arial" w:eastAsia="Arial" w:hAnsi="Arial"/>
                <w:sz w:val="17"/>
                <w:szCs w:val="17"/>
                <w:b w:val="1"/>
                <w:bCs w:val="1"/>
                <w:color w:val="auto"/>
                <w:w w:val="93"/>
                <w:vertAlign w:val="superscript"/>
              </w:rPr>
              <w:t>(1),(2),(3),(4),(5)</w:t>
            </w: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Acquisition</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Principal</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ind w:left="140"/>
              <w:spacing w:after="0"/>
              <w:rPr>
                <w:sz w:val="20"/>
                <w:szCs w:val="20"/>
                <w:color w:val="auto"/>
              </w:rPr>
            </w:pPr>
            <w:r>
              <w:rPr>
                <w:rFonts w:ascii="Arial" w:cs="Arial" w:eastAsia="Arial" w:hAnsi="Arial"/>
                <w:sz w:val="12"/>
                <w:szCs w:val="12"/>
                <w:b w:val="1"/>
                <w:bCs w:val="1"/>
                <w:color w:val="auto"/>
              </w:rPr>
              <w:t>% of</w:t>
            </w:r>
          </w:p>
        </w:tc>
        <w:tc>
          <w:tcPr>
            <w:tcW w:w="0" w:type="dxa"/>
            <w:vAlign w:val="bottom"/>
          </w:tcPr>
          <w:p>
            <w:pPr>
              <w:spacing w:after="0"/>
              <w:rPr>
                <w:sz w:val="1"/>
                <w:szCs w:val="1"/>
                <w:color w:val="auto"/>
              </w:rPr>
            </w:pPr>
          </w:p>
        </w:tc>
      </w:tr>
      <w:tr>
        <w:trPr>
          <w:trHeight w:val="184"/>
        </w:trPr>
        <w:tc>
          <w:tcPr>
            <w:tcW w:w="2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Industry</w:t>
            </w:r>
          </w:p>
        </w:tc>
        <w:tc>
          <w:tcPr>
            <w:tcW w:w="80" w:type="dxa"/>
            <w:vAlign w:val="bottom"/>
            <w:tcBorders>
              <w:bottom w:val="single" w:sz="8" w:color="CCEEFF"/>
            </w:tcBorders>
          </w:tcPr>
          <w:p>
            <w:pPr>
              <w:spacing w:after="0"/>
              <w:rPr>
                <w:sz w:val="15"/>
                <w:szCs w:val="15"/>
                <w:color w:val="auto"/>
              </w:rPr>
            </w:pPr>
          </w:p>
        </w:tc>
        <w:tc>
          <w:tcPr>
            <w:tcW w:w="290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auto"/>
              </w:rPr>
              <w:t>Date</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2"/>
                <w:szCs w:val="12"/>
                <w:b w:val="1"/>
                <w:bCs w:val="1"/>
                <w:color w:val="auto"/>
              </w:rPr>
              <w:t>Cost</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0"/>
              </w:rPr>
              <w:t>Fair Value</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80"/>
              </w:rPr>
              <w:t>Net Assets</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 &amp; Marketing</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Second Lien Debt (9.0% Cash, 2.0% PIK, Due</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Corporate Visions, Inc.</w:t>
            </w: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Services</w:t>
            </w:r>
          </w:p>
        </w:tc>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11/29/21)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5/29/2015</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$19,327</w:t>
            </w:r>
          </w:p>
        </w:tc>
        <w:tc>
          <w:tcPr>
            <w:tcW w:w="12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$19,327</w:t>
            </w: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$18,962</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Sales &amp; Marketing</w:t>
            </w: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5/29/2015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1,575</w:t>
            </w:r>
          </w:p>
        </w:tc>
        <w:tc>
          <w:tcPr>
            <w:tcW w:w="1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329</w:t>
            </w:r>
          </w:p>
        </w:tc>
        <w:tc>
          <w:tcPr>
            <w:tcW w:w="80" w:type="dxa"/>
            <w:vAlign w:val="bottom"/>
          </w:tcPr>
          <w:p>
            <w:pPr>
              <w:spacing w:after="0"/>
              <w:rPr>
                <w:sz w:val="16"/>
                <w:szCs w:val="16"/>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3"/>
                <w:szCs w:val="13"/>
                <w:color w:val="auto"/>
              </w:rPr>
              <w:t>Corporate Visions, Inc.</w:t>
            </w:r>
          </w:p>
        </w:tc>
        <w:tc>
          <w:tcPr>
            <w:tcW w:w="8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Services</w:t>
            </w: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Common Stock (15,750 shares)</w:t>
            </w:r>
          </w:p>
        </w:tc>
        <w:tc>
          <w:tcPr>
            <w:tcW w:w="6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20,902</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19,291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13.0%</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980" w:type="dxa"/>
            <w:vAlign w:val="bottom"/>
            <w:tcBorders>
              <w:top w:val="single" w:sz="8" w:color="CCEEFF"/>
            </w:tcBorders>
            <w:gridSpan w:val="2"/>
          </w:tcPr>
          <w:p>
            <w:pPr>
              <w:ind w:left="20"/>
              <w:spacing w:after="0"/>
              <w:rPr>
                <w:sz w:val="20"/>
                <w:szCs w:val="20"/>
                <w:color w:val="auto"/>
              </w:rPr>
            </w:pPr>
            <w:r>
              <w:rPr>
                <w:rFonts w:ascii="Arial" w:cs="Arial" w:eastAsia="Arial" w:hAnsi="Arial"/>
                <w:sz w:val="13"/>
                <w:szCs w:val="13"/>
                <w:color w:val="auto"/>
              </w:rPr>
              <w:t>First Lien Debt (13.7% Cash (1 month LIBOR +</w:t>
            </w:r>
          </w:p>
        </w:tc>
        <w:tc>
          <w:tcPr>
            <w:tcW w:w="6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Currency Capital, LLC</w:t>
            </w:r>
          </w:p>
        </w:tc>
        <w:tc>
          <w:tcPr>
            <w:tcW w:w="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Financial Services</w:t>
            </w:r>
          </w:p>
        </w:tc>
        <w:tc>
          <w:tcPr>
            <w:tcW w:w="2980" w:type="dxa"/>
            <w:vAlign w:val="bottom"/>
            <w:gridSpan w:val="2"/>
          </w:tcPr>
          <w:p>
            <w:pPr>
              <w:ind w:left="20"/>
              <w:spacing w:after="0" w:line="189" w:lineRule="exact"/>
              <w:rPr>
                <w:sz w:val="20"/>
                <w:szCs w:val="20"/>
                <w:color w:val="auto"/>
              </w:rPr>
            </w:pPr>
            <w:r>
              <w:rPr>
                <w:rFonts w:ascii="Arial" w:cs="Arial" w:eastAsia="Arial" w:hAnsi="Arial"/>
                <w:sz w:val="13"/>
                <w:szCs w:val="13"/>
                <w:color w:val="auto"/>
              </w:rPr>
              <w:t>12.0%, 0.5% Floor), 2.0% PIK, Due 1/2/20)</w:t>
            </w:r>
            <w:r>
              <w:rPr>
                <w:rFonts w:ascii="Arial" w:cs="Arial" w:eastAsia="Arial" w:hAnsi="Arial"/>
                <w:sz w:val="19"/>
                <w:szCs w:val="19"/>
                <w:color w:val="auto"/>
                <w:vertAlign w:val="superscript"/>
              </w:rPr>
              <w:t>(11)</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1/20/2017</w:t>
            </w:r>
          </w:p>
        </w:tc>
        <w:tc>
          <w:tcPr>
            <w:tcW w:w="460" w:type="dxa"/>
            <w:vAlign w:val="bottom"/>
          </w:tcPr>
          <w:p>
            <w:pPr>
              <w:jc w:val="right"/>
              <w:spacing w:after="0"/>
              <w:rPr>
                <w:sz w:val="20"/>
                <w:szCs w:val="20"/>
                <w:color w:val="auto"/>
              </w:rPr>
            </w:pPr>
            <w:r>
              <w:rPr>
                <w:rFonts w:ascii="Arial" w:cs="Arial" w:eastAsia="Arial" w:hAnsi="Arial"/>
                <w:sz w:val="13"/>
                <w:szCs w:val="13"/>
                <w:color w:val="auto"/>
              </w:rPr>
              <w:t>16,269</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16,269</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16,269</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11.0%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Currency Capital, LLC</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Class A Preferred Units (2,000,000 units)</w:t>
            </w:r>
            <w:r>
              <w:rPr>
                <w:rFonts w:ascii="Arial" w:cs="Arial" w:eastAsia="Arial" w:hAnsi="Arial"/>
                <w:sz w:val="19"/>
                <w:szCs w:val="19"/>
                <w:color w:val="auto"/>
                <w:vertAlign w:val="superscript"/>
              </w:rPr>
              <w:t>(11)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1/20/2017</w:t>
            </w:r>
          </w:p>
        </w:tc>
        <w:tc>
          <w:tcPr>
            <w:tcW w:w="4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40" w:type="dxa"/>
            <w:vAlign w:val="bottom"/>
            <w:tcBorders>
              <w:right w:val="single" w:sz="8" w:color="CCEEFF"/>
            </w:tcBorders>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2,504</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18,269</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18,773</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12.7%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Food Product</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7"/>
              </w:rPr>
              <w:t>First Lien Debt (7.7% Cash (3 month LIBOR + 5.8%,</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Flavors Holdings, Inc.</w:t>
            </w: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Manufacturer</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 Floor), Due 4/3/20)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10/23/2014</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5,789</w:t>
            </w:r>
          </w:p>
        </w:tc>
        <w:tc>
          <w:tcPr>
            <w:tcW w:w="12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5,778</w:t>
            </w: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5,767</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Food Product</w:t>
            </w: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Second Lien Debt (11.9% Cash (3 month LIBOR +</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89"/>
              </w:rPr>
              <w:t>10/27/2014</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12,000</w:t>
            </w:r>
          </w:p>
        </w:tc>
        <w:tc>
          <w:tcPr>
            <w:tcW w:w="12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11,878</w:t>
            </w:r>
          </w:p>
        </w:tc>
        <w:tc>
          <w:tcPr>
            <w:tcW w:w="1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11,842</w:t>
            </w:r>
          </w:p>
        </w:tc>
        <w:tc>
          <w:tcPr>
            <w:tcW w:w="80" w:type="dxa"/>
            <w:vAlign w:val="bottom"/>
          </w:tcPr>
          <w:p>
            <w:pPr>
              <w:spacing w:after="0"/>
              <w:rPr>
                <w:sz w:val="16"/>
                <w:szCs w:val="16"/>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3"/>
                <w:szCs w:val="13"/>
                <w:color w:val="auto"/>
              </w:rPr>
              <w:t>Flavors Holdings, Inc.</w:t>
            </w:r>
          </w:p>
        </w:tc>
        <w:tc>
          <w:tcPr>
            <w:tcW w:w="8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color w:val="auto"/>
              </w:rPr>
              <w:t>Manufacturer</w:t>
            </w: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10.0%, 1.0% Floor), Due 10/3/21)</w:t>
            </w:r>
          </w:p>
        </w:tc>
        <w:tc>
          <w:tcPr>
            <w:tcW w:w="68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17,656</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17,609</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11.9%</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rPr>
              <w:t>Electronic Machine</w:t>
            </w:r>
          </w:p>
        </w:tc>
        <w:tc>
          <w:tcPr>
            <w:tcW w:w="298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3"/>
                <w:szCs w:val="13"/>
                <w:color w:val="auto"/>
              </w:rPr>
              <w:t>First Lien Debt (8.7% Cash, Due 12/20/23)</w:t>
            </w:r>
            <w:r>
              <w:rPr>
                <w:rFonts w:ascii="Arial" w:cs="Arial" w:eastAsia="Arial" w:hAnsi="Arial"/>
                <w:sz w:val="19"/>
                <w:szCs w:val="19"/>
                <w:color w:val="auto"/>
                <w:vertAlign w:val="superscript"/>
              </w:rPr>
              <w:t>(6)(12)</w:t>
            </w:r>
          </w:p>
        </w:tc>
        <w:tc>
          <w:tcPr>
            <w:tcW w:w="6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80" w:type="dxa"/>
            <w:vAlign w:val="bottom"/>
          </w:tcPr>
          <w:p>
            <w:pPr>
              <w:spacing w:after="0"/>
              <w:rPr>
                <w:sz w:val="20"/>
                <w:szCs w:val="20"/>
                <w:color w:val="auto"/>
              </w:rPr>
            </w:pPr>
            <w:r>
              <w:rPr>
                <w:rFonts w:ascii="Arial" w:cs="Arial" w:eastAsia="Arial" w:hAnsi="Arial"/>
                <w:sz w:val="13"/>
                <w:szCs w:val="13"/>
                <w:color w:val="auto"/>
              </w:rPr>
              <w:t>Freedom Electronics, LLC</w:t>
            </w: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Repair</w:t>
            </w:r>
          </w:p>
        </w:tc>
        <w:tc>
          <w:tcPr>
            <w:tcW w:w="2980" w:type="dxa"/>
            <w:vAlign w:val="bottom"/>
            <w:gridSpan w:val="2"/>
            <w:vMerge w:val="continue"/>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12/20/2018</w:t>
            </w:r>
          </w:p>
        </w:tc>
        <w:tc>
          <w:tcPr>
            <w:tcW w:w="460" w:type="dxa"/>
            <w:vAlign w:val="bottom"/>
          </w:tcPr>
          <w:p>
            <w:pPr>
              <w:jc w:val="right"/>
              <w:spacing w:after="0"/>
              <w:rPr>
                <w:sz w:val="20"/>
                <w:szCs w:val="20"/>
                <w:color w:val="auto"/>
              </w:rPr>
            </w:pPr>
            <w:r>
              <w:rPr>
                <w:rFonts w:ascii="Arial" w:cs="Arial" w:eastAsia="Arial" w:hAnsi="Arial"/>
                <w:sz w:val="13"/>
                <w:szCs w:val="13"/>
                <w:color w:val="auto"/>
              </w:rPr>
              <w:t>5,940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5,940</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5,940</w:t>
            </w:r>
          </w:p>
        </w:tc>
        <w:tc>
          <w:tcPr>
            <w:tcW w:w="8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Electronic Machine</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89"/>
              </w:rPr>
              <w:t>12/20/2018</w:t>
            </w:r>
          </w:p>
        </w:tc>
        <w:tc>
          <w:tcPr>
            <w:tcW w:w="4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4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Freedom Electronics, LLC</w:t>
            </w:r>
          </w:p>
        </w:tc>
        <w:tc>
          <w:tcPr>
            <w:tcW w:w="8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Repair</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Membership Units (181,818 units)</w:t>
            </w:r>
          </w:p>
        </w:tc>
        <w:tc>
          <w:tcPr>
            <w:tcW w:w="680" w:type="dxa"/>
            <w:vAlign w:val="bottom"/>
            <w:tcBorders>
              <w:bottom w:val="single" w:sz="8" w:color="CCEEFF"/>
            </w:tcBorders>
            <w:gridSpan w:val="2"/>
            <w:vMerge w:val="continue"/>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46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6,122</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6,100</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HUMC Opco, LLC</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Healthcare</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First Lien Debt (9.0% Cash, Due 8/16/20)</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5,000</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5,000</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Installs, LLC</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Logistics</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First Lien Debt (9.3% Cash, Due 6/20/23)</w:t>
            </w:r>
            <w:r>
              <w:rPr>
                <w:rFonts w:ascii="Arial" w:cs="Arial" w:eastAsia="Arial" w:hAnsi="Arial"/>
                <w:sz w:val="19"/>
                <w:szCs w:val="19"/>
                <w:color w:val="auto"/>
                <w:vertAlign w:val="superscript"/>
              </w:rPr>
              <w:t>(6)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6/20/2018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12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140" w:type="dxa"/>
            <w:vAlign w:val="bottom"/>
            <w:tcBorders>
              <w:right w:val="single" w:sz="8" w:color="CCEEFF"/>
            </w:tcBorders>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2,924</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2,924</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Wireless Deployment</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7"/>
              </w:rPr>
              <w:t>First Lien Debt (8.3% Cash (1 month LIBOR + 6.5%,</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J5 Infrastructure Partners, LLC</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Services</w:t>
            </w:r>
          </w:p>
        </w:tc>
        <w:tc>
          <w:tcPr>
            <w:tcW w:w="29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3"/>
                <w:szCs w:val="13"/>
                <w:color w:val="auto"/>
              </w:rPr>
              <w:t>1.8% Floor), Due 12/20/24)</w:t>
            </w:r>
            <w:r>
              <w:rPr>
                <w:rFonts w:ascii="Arial" w:cs="Arial" w:eastAsia="Arial" w:hAnsi="Arial"/>
                <w:sz w:val="19"/>
                <w:szCs w:val="19"/>
                <w:color w:val="auto"/>
                <w:vertAlign w:val="superscript"/>
              </w:rPr>
              <w:t>(13)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12/20/2019</w:t>
            </w: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Wireless Deployment</w:t>
            </w:r>
          </w:p>
        </w:tc>
        <w:tc>
          <w:tcPr>
            <w:tcW w:w="2980" w:type="dxa"/>
            <w:vAlign w:val="bottom"/>
            <w:gridSpan w:val="2"/>
          </w:tcPr>
          <w:p>
            <w:pPr>
              <w:ind w:left="20"/>
              <w:spacing w:after="0"/>
              <w:rPr>
                <w:sz w:val="20"/>
                <w:szCs w:val="20"/>
                <w:color w:val="auto"/>
              </w:rPr>
            </w:pPr>
            <w:r>
              <w:rPr>
                <w:rFonts w:ascii="Arial" w:cs="Arial" w:eastAsia="Arial" w:hAnsi="Arial"/>
                <w:sz w:val="13"/>
                <w:szCs w:val="13"/>
                <w:color w:val="auto"/>
                <w:w w:val="97"/>
              </w:rPr>
              <w:t>First Lien Debt (8.3% Cash (1 month LIBOR + 6.5%,</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89"/>
              </w:rPr>
              <w:t>12/20/2019</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7,000</w:t>
            </w:r>
          </w:p>
        </w:tc>
        <w:tc>
          <w:tcPr>
            <w:tcW w:w="12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7,000</w:t>
            </w:r>
          </w:p>
        </w:tc>
        <w:tc>
          <w:tcPr>
            <w:tcW w:w="1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7,000</w:t>
            </w:r>
          </w:p>
        </w:tc>
        <w:tc>
          <w:tcPr>
            <w:tcW w:w="80" w:type="dxa"/>
            <w:vAlign w:val="bottom"/>
          </w:tcPr>
          <w:p>
            <w:pPr>
              <w:spacing w:after="0"/>
              <w:rPr>
                <w:sz w:val="16"/>
                <w:szCs w:val="16"/>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3"/>
                <w:szCs w:val="13"/>
                <w:color w:val="auto"/>
              </w:rPr>
              <w:t>J5 Infrastructure Partners, LLC</w:t>
            </w:r>
          </w:p>
        </w:tc>
        <w:tc>
          <w:tcPr>
            <w:tcW w:w="8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Services</w:t>
            </w: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1.8% Floor), Due 12/20/24)</w:t>
            </w:r>
          </w:p>
        </w:tc>
        <w:tc>
          <w:tcPr>
            <w:tcW w:w="68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4.7%</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980" w:type="dxa"/>
            <w:vAlign w:val="bottom"/>
            <w:tcBorders>
              <w:top w:val="single" w:sz="8" w:color="CCEEFF"/>
            </w:tcBorders>
            <w:gridSpan w:val="2"/>
          </w:tcPr>
          <w:p>
            <w:pPr>
              <w:ind w:left="20"/>
              <w:spacing w:after="0"/>
              <w:rPr>
                <w:sz w:val="20"/>
                <w:szCs w:val="20"/>
                <w:color w:val="auto"/>
              </w:rPr>
            </w:pPr>
            <w:r>
              <w:rPr>
                <w:rFonts w:ascii="Arial" w:cs="Arial" w:eastAsia="Arial" w:hAnsi="Arial"/>
                <w:sz w:val="13"/>
                <w:szCs w:val="13"/>
                <w:color w:val="auto"/>
                <w:w w:val="97"/>
              </w:rPr>
              <w:t>First Lien Debt (9.5% Cash (1 month LIBOR + 7.5%,</w:t>
            </w:r>
          </w:p>
        </w:tc>
        <w:tc>
          <w:tcPr>
            <w:tcW w:w="6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Jurassic Quest Holdings, LLC</w:t>
            </w:r>
          </w:p>
        </w:tc>
        <w:tc>
          <w:tcPr>
            <w:tcW w:w="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Entertainment</w:t>
            </w:r>
          </w:p>
        </w:tc>
        <w:tc>
          <w:tcPr>
            <w:tcW w:w="2980" w:type="dxa"/>
            <w:vAlign w:val="bottom"/>
            <w:gridSpan w:val="2"/>
          </w:tcPr>
          <w:p>
            <w:pPr>
              <w:ind w:left="20"/>
              <w:spacing w:after="0" w:line="189" w:lineRule="exact"/>
              <w:rPr>
                <w:sz w:val="20"/>
                <w:szCs w:val="20"/>
                <w:color w:val="auto"/>
              </w:rPr>
            </w:pPr>
            <w:r>
              <w:rPr>
                <w:rFonts w:ascii="Arial" w:cs="Arial" w:eastAsia="Arial" w:hAnsi="Arial"/>
                <w:sz w:val="13"/>
                <w:szCs w:val="13"/>
                <w:color w:val="auto"/>
              </w:rPr>
              <w:t>2.0% Floor), Due 5/1/24)</w:t>
            </w:r>
            <w:r>
              <w:rPr>
                <w:rFonts w:ascii="Arial" w:cs="Arial" w:eastAsia="Arial" w:hAnsi="Arial"/>
                <w:sz w:val="19"/>
                <w:szCs w:val="19"/>
                <w:color w:val="auto"/>
                <w:vertAlign w:val="superscript"/>
              </w:rPr>
              <w:t>(14)</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5/1/2019</w:t>
            </w:r>
          </w:p>
        </w:tc>
        <w:tc>
          <w:tcPr>
            <w:tcW w:w="460" w:type="dxa"/>
            <w:vAlign w:val="bottom"/>
          </w:tcPr>
          <w:p>
            <w:pPr>
              <w:jc w:val="right"/>
              <w:spacing w:after="0"/>
              <w:rPr>
                <w:sz w:val="20"/>
                <w:szCs w:val="20"/>
                <w:color w:val="auto"/>
              </w:rPr>
            </w:pPr>
            <w:r>
              <w:rPr>
                <w:rFonts w:ascii="Arial" w:cs="Arial" w:eastAsia="Arial" w:hAnsi="Arial"/>
                <w:sz w:val="13"/>
                <w:szCs w:val="13"/>
                <w:color w:val="auto"/>
              </w:rPr>
              <w:t>10,827</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10,827</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10,827</w:t>
            </w:r>
          </w:p>
        </w:tc>
        <w:tc>
          <w:tcPr>
            <w:tcW w:w="8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Jurassic Quest Holdings, LLC</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Entertainment</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Preferred Units (375,000 units)</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5/1/2019</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11,215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10,912</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MicroHoldco, LLC</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Industrial</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Preferred Units</w:t>
            </w:r>
            <w:r>
              <w:rPr>
                <w:rFonts w:ascii="Arial" w:cs="Arial" w:eastAsia="Arial" w:hAnsi="Arial"/>
                <w:sz w:val="19"/>
                <w:szCs w:val="19"/>
                <w:color w:val="auto"/>
                <w:vertAlign w:val="superscript"/>
              </w:rPr>
              <w:t>(9)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7/25/2019</w:t>
            </w:r>
          </w:p>
        </w:tc>
        <w:tc>
          <w:tcPr>
            <w:tcW w:w="4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838</w:t>
            </w:r>
          </w:p>
        </w:tc>
        <w:tc>
          <w:tcPr>
            <w:tcW w:w="1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838</w:t>
            </w: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838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838</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Professional and</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Personal Digital</w:t>
            </w:r>
          </w:p>
        </w:tc>
        <w:tc>
          <w:tcPr>
            <w:tcW w:w="29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First Lien Debt</w:t>
            </w:r>
            <w:r>
              <w:rPr>
                <w:rFonts w:ascii="Arial" w:cs="Arial" w:eastAsia="Arial" w:hAnsi="Arial"/>
                <w:sz w:val="19"/>
                <w:szCs w:val="19"/>
                <w:color w:val="auto"/>
                <w:vertAlign w:val="superscript"/>
              </w:rPr>
              <w:t>(9)</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89"/>
              </w:rPr>
              <w:t>12/31/2017</w:t>
            </w:r>
          </w:p>
        </w:tc>
        <w:tc>
          <w:tcPr>
            <w:tcW w:w="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14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Imaging</w:t>
            </w:r>
          </w:p>
        </w:tc>
        <w:tc>
          <w:tcPr>
            <w:tcW w:w="298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right w:val="single" w:sz="8" w:color="CCEEFF"/>
            </w:tcBorders>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510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Security System</w:t>
            </w:r>
          </w:p>
        </w:tc>
        <w:tc>
          <w:tcPr>
            <w:tcW w:w="29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First Lien Debt (9.2% Cash, Due 11/22/24)</w:t>
            </w:r>
            <w:r>
              <w:rPr>
                <w:rFonts w:ascii="Arial" w:cs="Arial" w:eastAsia="Arial" w:hAnsi="Arial"/>
                <w:sz w:val="19"/>
                <w:szCs w:val="19"/>
                <w:color w:val="auto"/>
                <w:vertAlign w:val="superscript"/>
              </w:rPr>
              <w:t>(6)(15)</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Rapid Fire Protection, Inc.</w:t>
            </w: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Services</w:t>
            </w:r>
          </w:p>
        </w:tc>
        <w:tc>
          <w:tcPr>
            <w:tcW w:w="2980" w:type="dxa"/>
            <w:vAlign w:val="bottom"/>
            <w:gridSpan w:val="2"/>
            <w:vMerge w:val="continue"/>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11/22/2019</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6,550</w:t>
            </w:r>
          </w:p>
        </w:tc>
        <w:tc>
          <w:tcPr>
            <w:tcW w:w="12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6,550</w:t>
            </w: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6,550</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Security System</w:t>
            </w: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89"/>
              </w:rPr>
              <w:t>11/22/2019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500</w:t>
            </w:r>
          </w:p>
        </w:tc>
        <w:tc>
          <w:tcPr>
            <w:tcW w:w="14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7"/>
                <w:szCs w:val="17"/>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3"/>
                <w:szCs w:val="13"/>
                <w:color w:val="auto"/>
              </w:rPr>
              <w:t>Rapid Fire Protection, Inc.</w:t>
            </w:r>
          </w:p>
        </w:tc>
        <w:tc>
          <w:tcPr>
            <w:tcW w:w="8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Services</w:t>
            </w: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Common Stock (363 shares)</w:t>
            </w:r>
          </w:p>
        </w:tc>
        <w:tc>
          <w:tcPr>
            <w:tcW w:w="6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7,050</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7,050</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First Lien Debt (10.0% Cash (1 month LIBOR +</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3/15/2019</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4,749</w:t>
            </w:r>
          </w:p>
        </w:tc>
        <w:tc>
          <w:tcPr>
            <w:tcW w:w="12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4,749</w:t>
            </w:r>
          </w:p>
        </w:tc>
        <w:tc>
          <w:tcPr>
            <w:tcW w:w="1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4,749</w:t>
            </w:r>
          </w:p>
        </w:tc>
        <w:tc>
          <w:tcPr>
            <w:tcW w:w="80" w:type="dxa"/>
            <w:vAlign w:val="bottom"/>
          </w:tcPr>
          <w:p>
            <w:pPr>
              <w:spacing w:after="0"/>
              <w:rPr>
                <w:sz w:val="16"/>
                <w:szCs w:val="16"/>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3"/>
                <w:szCs w:val="13"/>
                <w:color w:val="auto"/>
              </w:rPr>
              <w:t>Seitel, Inc.</w:t>
            </w:r>
          </w:p>
        </w:tc>
        <w:tc>
          <w:tcPr>
            <w:tcW w:w="8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Data Services</w:t>
            </w: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8.3%, 1.0% Floor), Due 3/15/23)</w:t>
            </w:r>
          </w:p>
        </w:tc>
        <w:tc>
          <w:tcPr>
            <w:tcW w:w="68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4,749</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4,749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3"/>
                <w:szCs w:val="13"/>
                <w:color w:val="auto"/>
              </w:rPr>
              <w:t>Sequoia Healthcare Management, LLC</w:t>
            </w:r>
          </w:p>
        </w:tc>
        <w:tc>
          <w:tcPr>
            <w:tcW w:w="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w w:val="94"/>
              </w:rPr>
              <w:t>Healthcare Management</w:t>
            </w: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First Lien Debt (12.8% Cash, Due 6/26/20)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8/21/2018</w:t>
            </w:r>
          </w:p>
        </w:tc>
        <w:tc>
          <w:tcPr>
            <w:tcW w:w="460" w:type="dxa"/>
            <w:vAlign w:val="bottom"/>
          </w:tcPr>
          <w:p>
            <w:pPr>
              <w:jc w:val="right"/>
              <w:spacing w:after="0"/>
              <w:rPr>
                <w:sz w:val="20"/>
                <w:szCs w:val="20"/>
                <w:color w:val="auto"/>
              </w:rPr>
            </w:pPr>
            <w:r>
              <w:rPr>
                <w:rFonts w:ascii="Arial" w:cs="Arial" w:eastAsia="Arial" w:hAnsi="Arial"/>
                <w:sz w:val="13"/>
                <w:szCs w:val="13"/>
                <w:color w:val="auto"/>
              </w:rPr>
              <w:t>12,744</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12,744</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12,607</w:t>
            </w:r>
          </w:p>
        </w:tc>
        <w:tc>
          <w:tcPr>
            <w:tcW w:w="8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12,744</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12,607</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-170815</wp:posOffset>
            </wp:positionV>
            <wp:extent cx="61550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-504825</wp:posOffset>
            </wp:positionV>
            <wp:extent cx="61550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-925195</wp:posOffset>
            </wp:positionV>
            <wp:extent cx="61550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-1413510</wp:posOffset>
            </wp:positionV>
            <wp:extent cx="61550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-1927860</wp:posOffset>
            </wp:positionV>
            <wp:extent cx="61550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-2253615</wp:posOffset>
            </wp:positionV>
            <wp:extent cx="61550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-2965450</wp:posOffset>
            </wp:positionV>
            <wp:extent cx="61550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-3436620</wp:posOffset>
            </wp:positionV>
            <wp:extent cx="61550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-3745230</wp:posOffset>
            </wp:positionV>
            <wp:extent cx="61550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-4053840</wp:posOffset>
            </wp:positionV>
            <wp:extent cx="61550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-4834255</wp:posOffset>
            </wp:positionV>
            <wp:extent cx="61550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-5305425</wp:posOffset>
            </wp:positionV>
            <wp:extent cx="61550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-5991225</wp:posOffset>
            </wp:positionV>
            <wp:extent cx="61550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-6463030</wp:posOffset>
            </wp:positionV>
            <wp:extent cx="254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-6463030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-6463030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-6463030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-6463030</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-6463030</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-6463030</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-6463030</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19" w:name="page120"/>
    <w:bookmarkEnd w:id="119"/>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280" w:type="dxa"/>
            <w:vAlign w:val="bottom"/>
            <w:vMerge w:val="restart"/>
          </w:tcPr>
          <w:p>
            <w:pPr>
              <w:spacing w:after="0"/>
              <w:rPr>
                <w:sz w:val="20"/>
                <w:szCs w:val="20"/>
                <w:color w:val="auto"/>
              </w:rPr>
            </w:pPr>
            <w:r>
              <w:rPr>
                <w:rFonts w:ascii="Arial" w:cs="Arial" w:eastAsia="Arial" w:hAnsi="Arial"/>
                <w:sz w:val="12"/>
                <w:szCs w:val="12"/>
                <w:b w:val="1"/>
                <w:bCs w:val="1"/>
                <w:color w:val="auto"/>
                <w:w w:val="93"/>
              </w:rPr>
              <w:t>Portfolio Company, Country</w:t>
            </w:r>
            <w:r>
              <w:rPr>
                <w:rFonts w:ascii="Arial" w:cs="Arial" w:eastAsia="Arial" w:hAnsi="Arial"/>
                <w:sz w:val="17"/>
                <w:szCs w:val="17"/>
                <w:b w:val="1"/>
                <w:bCs w:val="1"/>
                <w:color w:val="auto"/>
                <w:w w:val="93"/>
                <w:vertAlign w:val="superscript"/>
              </w:rPr>
              <w:t>(1),(2),(3),(4),(5)</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Acquisition</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Principal</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6"/>
              </w:rPr>
              <w:t>% of</w:t>
            </w:r>
          </w:p>
        </w:tc>
        <w:tc>
          <w:tcPr>
            <w:tcW w:w="0" w:type="dxa"/>
            <w:vAlign w:val="bottom"/>
          </w:tcPr>
          <w:p>
            <w:pPr>
              <w:spacing w:after="0"/>
              <w:rPr>
                <w:sz w:val="1"/>
                <w:szCs w:val="1"/>
                <w:color w:val="auto"/>
              </w:rPr>
            </w:pPr>
          </w:p>
        </w:tc>
      </w:tr>
      <w:tr>
        <w:trPr>
          <w:trHeight w:val="184"/>
        </w:trPr>
        <w:tc>
          <w:tcPr>
            <w:tcW w:w="2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Industry</w:t>
            </w:r>
          </w:p>
        </w:tc>
        <w:tc>
          <w:tcPr>
            <w:tcW w:w="80" w:type="dxa"/>
            <w:vAlign w:val="bottom"/>
            <w:tcBorders>
              <w:bottom w:val="single" w:sz="8" w:color="CCEEFF"/>
            </w:tcBorders>
          </w:tcPr>
          <w:p>
            <w:pPr>
              <w:spacing w:after="0"/>
              <w:rPr>
                <w:sz w:val="15"/>
                <w:szCs w:val="15"/>
                <w:color w:val="auto"/>
              </w:rPr>
            </w:pPr>
          </w:p>
        </w:tc>
        <w:tc>
          <w:tcPr>
            <w:tcW w:w="290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Date</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Cost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0"/>
              </w:rPr>
              <w:t>Fair Value</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80"/>
              </w:rPr>
              <w:t>Net Assets</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Lien Debt (10.9% Cash (3 month LIBOR +</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Sur La Table, Inc.</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980" w:type="dxa"/>
            <w:vAlign w:val="bottom"/>
            <w:gridSpan w:val="2"/>
            <w:shd w:val="clear" w:color="auto" w:fill="CCEEFF"/>
          </w:tcPr>
          <w:p>
            <w:pPr>
              <w:spacing w:after="0" w:line="216" w:lineRule="exact"/>
              <w:rPr>
                <w:sz w:val="20"/>
                <w:szCs w:val="20"/>
                <w:color w:val="auto"/>
              </w:rPr>
            </w:pPr>
            <w:r>
              <w:rPr>
                <w:rFonts w:ascii="Arial" w:cs="Arial" w:eastAsia="Arial" w:hAnsi="Arial"/>
                <w:sz w:val="13"/>
                <w:szCs w:val="13"/>
                <w:color w:val="auto"/>
              </w:rPr>
              <w:t>9.0%, 1.0% Floor), Due 7/31/22)</w:t>
            </w:r>
            <w:r>
              <w:rPr>
                <w:rFonts w:ascii="Arial" w:cs="Arial" w:eastAsia="Arial" w:hAnsi="Arial"/>
                <w:sz w:val="19"/>
                <w:szCs w:val="19"/>
                <w:color w:val="auto"/>
                <w:vertAlign w:val="superscript"/>
              </w:rPr>
              <w:t>(16)(17)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11/10/2016</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$10,528</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10,528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10,045</w:t>
            </w: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10,528</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10,045</w:t>
            </w:r>
          </w:p>
        </w:tc>
        <w:tc>
          <w:tcPr>
            <w:tcW w:w="8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Household Product</w:t>
            </w:r>
          </w:p>
        </w:tc>
        <w:tc>
          <w:tcPr>
            <w:tcW w:w="2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9"/>
              </w:rPr>
              <w:t>12/23/2014</w:t>
            </w:r>
          </w:p>
        </w:tc>
        <w:tc>
          <w:tcPr>
            <w:tcW w:w="4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758</w:t>
            </w:r>
          </w:p>
        </w:tc>
        <w:tc>
          <w:tcPr>
            <w:tcW w:w="80" w:type="dxa"/>
            <w:vAlign w:val="bottom"/>
            <w:shd w:val="clear" w:color="auto" w:fill="CCEEFF"/>
          </w:tcPr>
          <w:p>
            <w:pPr>
              <w:spacing w:after="0"/>
              <w:rPr>
                <w:sz w:val="15"/>
                <w:szCs w:val="15"/>
                <w:color w:val="auto"/>
              </w:rPr>
            </w:pP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8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Taylor Precision Products, Inc.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Manufacturer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Series C Preferred Stock (379 shares)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758</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758</w:t>
            </w:r>
          </w:p>
        </w:tc>
        <w:tc>
          <w:tcPr>
            <w:tcW w:w="8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U.S. BioTek Laboratories, LLC</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Testing laboratories</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Lien Debt (9.3% Cash, Due 12/14/23)</w:t>
            </w:r>
            <w:r>
              <w:rPr>
                <w:rFonts w:ascii="Arial" w:cs="Arial" w:eastAsia="Arial" w:hAnsi="Arial"/>
                <w:sz w:val="19"/>
                <w:szCs w:val="19"/>
                <w:color w:val="auto"/>
                <w:vertAlign w:val="superscript"/>
              </w:rPr>
              <w:t>(6)(12)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12/14/2018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6,930</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6,930</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6,822</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20"/>
                <w:szCs w:val="20"/>
                <w:color w:val="auto"/>
              </w:rPr>
            </w:pPr>
            <w:r>
              <w:rPr>
                <w:rFonts w:ascii="Arial" w:cs="Arial" w:eastAsia="Arial" w:hAnsi="Arial"/>
                <w:sz w:val="13"/>
                <w:szCs w:val="13"/>
                <w:color w:val="auto"/>
              </w:rPr>
              <w:t>U.S. BioTek Laboratories, LLC</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Testing laboratories</w:t>
            </w:r>
          </w:p>
        </w:tc>
        <w:tc>
          <w:tcPr>
            <w:tcW w:w="2980" w:type="dxa"/>
            <w:vAlign w:val="bottom"/>
            <w:gridSpan w:val="2"/>
          </w:tcPr>
          <w:p>
            <w:pPr>
              <w:spacing w:after="0"/>
              <w:rPr>
                <w:sz w:val="20"/>
                <w:szCs w:val="20"/>
                <w:color w:val="auto"/>
              </w:rPr>
            </w:pPr>
            <w:r>
              <w:rPr>
                <w:rFonts w:ascii="Arial" w:cs="Arial" w:eastAsia="Arial" w:hAnsi="Arial"/>
                <w:sz w:val="13"/>
                <w:szCs w:val="13"/>
                <w:color w:val="auto"/>
              </w:rPr>
              <w:t>Class A Preferred Units (500 Units)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12/14/2018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540</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204</w:t>
            </w:r>
          </w:p>
        </w:tc>
        <w:tc>
          <w:tcPr>
            <w:tcW w:w="80" w:type="dxa"/>
            <w:vAlign w:val="bottom"/>
          </w:tcPr>
          <w:p>
            <w:pPr>
              <w:spacing w:after="0"/>
              <w:rPr>
                <w:sz w:val="17"/>
                <w:szCs w:val="17"/>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U.S. BioTek Laboratories, LLC</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Testing laboratories</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Class C Units (500 Units)</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12/14/2018</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7,471</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7,026</w:t>
            </w:r>
          </w:p>
        </w:tc>
        <w:tc>
          <w:tcPr>
            <w:tcW w:w="8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U.S. Well Services, Inc.</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Oil &amp; Gas Services</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Class A Common Stock (77,073 shares)</w:t>
            </w:r>
            <w:r>
              <w:rPr>
                <w:rFonts w:ascii="Arial" w:cs="Arial" w:eastAsia="Arial" w:hAnsi="Arial"/>
                <w:sz w:val="19"/>
                <w:szCs w:val="19"/>
                <w:color w:val="auto"/>
                <w:vertAlign w:val="superscript"/>
              </w:rPr>
              <w:t>(11)(18)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11/9/2018</w:t>
            </w:r>
          </w:p>
        </w:tc>
        <w:tc>
          <w:tcPr>
            <w:tcW w:w="4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771</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3"/>
                <w:szCs w:val="13"/>
                <w:color w:val="auto"/>
              </w:rPr>
              <w:t>U.S. Well Services, Inc.</w:t>
            </w: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Oil &amp; Gas Services</w:t>
            </w:r>
          </w:p>
        </w:tc>
        <w:tc>
          <w:tcPr>
            <w:tcW w:w="2980" w:type="dxa"/>
            <w:vAlign w:val="bottom"/>
            <w:gridSpan w:val="2"/>
          </w:tcPr>
          <w:p>
            <w:pPr>
              <w:spacing w:after="0"/>
              <w:rPr>
                <w:sz w:val="20"/>
                <w:szCs w:val="20"/>
                <w:color w:val="auto"/>
              </w:rPr>
            </w:pPr>
            <w:r>
              <w:rPr>
                <w:rFonts w:ascii="Arial" w:cs="Arial" w:eastAsia="Arial" w:hAnsi="Arial"/>
                <w:sz w:val="13"/>
                <w:szCs w:val="13"/>
                <w:color w:val="auto"/>
              </w:rPr>
              <w:t>Class B Common Stock (1,125,426 shares)</w:t>
            </w:r>
            <w:r>
              <w:rPr>
                <w:rFonts w:ascii="Arial" w:cs="Arial" w:eastAsia="Arial" w:hAnsi="Arial"/>
                <w:sz w:val="19"/>
                <w:szCs w:val="19"/>
                <w:color w:val="auto"/>
                <w:vertAlign w:val="superscript"/>
              </w:rPr>
              <w:t>(11)(18)</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11/9/2018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6,701</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2,127</w:t>
            </w:r>
          </w:p>
        </w:tc>
        <w:tc>
          <w:tcPr>
            <w:tcW w:w="8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7,472</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2,273</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3"/>
                <w:szCs w:val="13"/>
                <w:color w:val="auto"/>
              </w:rPr>
              <w:t>Xirgo Technologies, LLC</w:t>
            </w:r>
          </w:p>
        </w:tc>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8"/>
              </w:rPr>
              <w:t>Information Technology</w:t>
            </w:r>
          </w:p>
        </w:tc>
        <w:tc>
          <w:tcPr>
            <w:tcW w:w="2980" w:type="dxa"/>
            <w:vAlign w:val="bottom"/>
            <w:gridSpan w:val="2"/>
          </w:tcPr>
          <w:p>
            <w:pPr>
              <w:spacing w:after="0"/>
              <w:rPr>
                <w:sz w:val="20"/>
                <w:szCs w:val="20"/>
                <w:color w:val="auto"/>
              </w:rPr>
            </w:pPr>
            <w:r>
              <w:rPr>
                <w:rFonts w:ascii="Arial" w:cs="Arial" w:eastAsia="Arial" w:hAnsi="Arial"/>
                <w:sz w:val="13"/>
                <w:szCs w:val="13"/>
                <w:color w:val="auto"/>
              </w:rPr>
              <w:t>Membership Units (600,000 units)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12/1/2016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917</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40" w:type="dxa"/>
            <w:vAlign w:val="bottom"/>
            <w:gridSpan w:val="4"/>
          </w:tcPr>
          <w:p>
            <w:pPr>
              <w:spacing w:after="0"/>
              <w:rPr>
                <w:sz w:val="20"/>
                <w:szCs w:val="20"/>
                <w:color w:val="auto"/>
              </w:rPr>
            </w:pPr>
            <w:r>
              <w:rPr>
                <w:rFonts w:ascii="Arial" w:cs="Arial" w:eastAsia="Arial" w:hAnsi="Arial"/>
                <w:sz w:val="13"/>
                <w:szCs w:val="13"/>
                <w:b w:val="1"/>
                <w:bCs w:val="1"/>
                <w:color w:val="auto"/>
                <w:w w:val="93"/>
              </w:rPr>
              <w:t>Sub Total Non-control/non-affiliated investments – United States</w:t>
            </w: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80"/>
              </w:rPr>
              <w:t>250,433</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80"/>
              </w:rPr>
              <w:t>241,046</w:t>
            </w:r>
          </w:p>
        </w:tc>
        <w:tc>
          <w:tcPr>
            <w:tcW w:w="8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162.8%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28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3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28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Affiliate Investments – 66.7%</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20"/>
                <w:szCs w:val="20"/>
                <w:color w:val="auto"/>
              </w:rPr>
            </w:pPr>
            <w:r>
              <w:rPr>
                <w:rFonts w:ascii="Arial" w:cs="Arial" w:eastAsia="Arial" w:hAnsi="Arial"/>
                <w:sz w:val="13"/>
                <w:szCs w:val="13"/>
                <w:b w:val="1"/>
                <w:bCs w:val="1"/>
                <w:color w:val="auto"/>
              </w:rPr>
              <w:t>Affiliate investments – United States</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Automobile</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Part Manufacturer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6"/>
              </w:rPr>
              <w:t>First Lien Debt (12.0% Cash, 3.0% PIK, Due 3/23/21)</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3/23/2018</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$14,421</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14,421</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14,421</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9.7%</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Automobile</w:t>
            </w: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3"/>
                <w:szCs w:val="13"/>
                <w:color w:val="auto"/>
              </w:rPr>
              <w:t>Burgaflex Holdings, LLC</w:t>
            </w:r>
          </w:p>
        </w:tc>
        <w:tc>
          <w:tcPr>
            <w:tcW w:w="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Part Manufacturer</w:t>
            </w:r>
          </w:p>
        </w:tc>
        <w:tc>
          <w:tcPr>
            <w:tcW w:w="2980" w:type="dxa"/>
            <w:vAlign w:val="bottom"/>
            <w:gridSpan w:val="2"/>
          </w:tcPr>
          <w:p>
            <w:pPr>
              <w:spacing w:after="0"/>
              <w:rPr>
                <w:sz w:val="20"/>
                <w:szCs w:val="20"/>
                <w:color w:val="auto"/>
              </w:rPr>
            </w:pPr>
            <w:r>
              <w:rPr>
                <w:rFonts w:ascii="Arial" w:cs="Arial" w:eastAsia="Arial" w:hAnsi="Arial"/>
                <w:sz w:val="13"/>
                <w:szCs w:val="13"/>
                <w:color w:val="auto"/>
              </w:rPr>
              <w:t>Common Stock Class B (1,085,073 shares)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5/7/2019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362</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635</w:t>
            </w:r>
          </w:p>
        </w:tc>
        <w:tc>
          <w:tcPr>
            <w:tcW w:w="8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Automobile</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7/15/2014</w:t>
            </w:r>
          </w:p>
        </w:tc>
        <w:tc>
          <w:tcPr>
            <w:tcW w:w="4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1,504</w:t>
            </w: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Part Manufacturer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Stock Class A (1,253,198 shares)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vMerge w:val="continue"/>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16,287</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15,056</w:t>
            </w:r>
          </w:p>
        </w:tc>
        <w:tc>
          <w:tcPr>
            <w:tcW w:w="8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City Gear, LLC</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Footwear Retail</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Membership Unit Warrants</w:t>
            </w:r>
            <w:r>
              <w:rPr>
                <w:rFonts w:ascii="Arial" w:cs="Arial" w:eastAsia="Arial" w:hAnsi="Arial"/>
                <w:sz w:val="19"/>
                <w:szCs w:val="19"/>
                <w:color w:val="auto"/>
                <w:vertAlign w:val="superscript"/>
              </w:rPr>
              <w:t>(9)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6/28/2012</w:t>
            </w:r>
          </w:p>
        </w:tc>
        <w:tc>
          <w:tcPr>
            <w:tcW w:w="4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3,326</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3,326</w:t>
            </w:r>
          </w:p>
        </w:tc>
        <w:tc>
          <w:tcPr>
            <w:tcW w:w="8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Second Lien Debt (14.9% Cash (3 month LIBOR +</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Business Services</w:t>
            </w:r>
          </w:p>
        </w:tc>
        <w:tc>
          <w:tcPr>
            <w:tcW w:w="2980" w:type="dxa"/>
            <w:vAlign w:val="bottom"/>
            <w:gridSpan w:val="2"/>
            <w:shd w:val="clear" w:color="auto" w:fill="CCEEFF"/>
          </w:tcPr>
          <w:p>
            <w:pPr>
              <w:spacing w:after="0" w:line="216" w:lineRule="exact"/>
              <w:rPr>
                <w:sz w:val="20"/>
                <w:szCs w:val="20"/>
                <w:color w:val="auto"/>
              </w:rPr>
            </w:pPr>
            <w:r>
              <w:rPr>
                <w:rFonts w:ascii="Arial" w:cs="Arial" w:eastAsia="Arial" w:hAnsi="Arial"/>
                <w:sz w:val="13"/>
                <w:szCs w:val="13"/>
                <w:color w:val="auto"/>
              </w:rPr>
              <w:t>13.0%, 0.5% Floor), Due 12/29/21)</w:t>
            </w:r>
            <w:r>
              <w:rPr>
                <w:rFonts w:ascii="Arial" w:cs="Arial" w:eastAsia="Arial" w:hAnsi="Arial"/>
                <w:sz w:val="19"/>
                <w:szCs w:val="19"/>
                <w:color w:val="auto"/>
                <w:vertAlign w:val="superscript"/>
              </w:rPr>
              <w:t>(16)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1/12/2016</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16,155</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16,500</w:t>
            </w: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20"/>
                <w:szCs w:val="20"/>
                <w:color w:val="auto"/>
              </w:rPr>
            </w:pPr>
            <w:r>
              <w:rPr>
                <w:rFonts w:ascii="Arial" w:cs="Arial" w:eastAsia="Arial" w:hAnsi="Arial"/>
                <w:sz w:val="13"/>
                <w:szCs w:val="13"/>
                <w:color w:val="auto"/>
              </w:rPr>
              <w:t>Eastport Holdings, LLC</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Business Services</w:t>
            </w:r>
          </w:p>
        </w:tc>
        <w:tc>
          <w:tcPr>
            <w:tcW w:w="2980" w:type="dxa"/>
            <w:vAlign w:val="bottom"/>
            <w:gridSpan w:val="2"/>
          </w:tcPr>
          <w:p>
            <w:pPr>
              <w:spacing w:after="0"/>
              <w:rPr>
                <w:sz w:val="20"/>
                <w:szCs w:val="20"/>
                <w:color w:val="auto"/>
              </w:rPr>
            </w:pPr>
            <w:r>
              <w:rPr>
                <w:rFonts w:ascii="Arial" w:cs="Arial" w:eastAsia="Arial" w:hAnsi="Arial"/>
                <w:sz w:val="13"/>
                <w:szCs w:val="13"/>
                <w:color w:val="auto"/>
              </w:rPr>
              <w:t>Membership Units (22.9% ownership)</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1/12/2016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3,263</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17,822</w:t>
            </w:r>
          </w:p>
        </w:tc>
        <w:tc>
          <w:tcPr>
            <w:tcW w:w="80" w:type="dxa"/>
            <w:vAlign w:val="bottom"/>
          </w:tcPr>
          <w:p>
            <w:pPr>
              <w:spacing w:after="0"/>
              <w:rPr>
                <w:sz w:val="17"/>
                <w:szCs w:val="17"/>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19,418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34,322</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gridSpan w:val="2"/>
          </w:tcPr>
          <w:p>
            <w:pPr>
              <w:ind w:left="20"/>
              <w:spacing w:after="0"/>
              <w:rPr>
                <w:sz w:val="20"/>
                <w:szCs w:val="20"/>
                <w:color w:val="auto"/>
              </w:rPr>
            </w:pPr>
            <w:r>
              <w:rPr>
                <w:rFonts w:ascii="Arial" w:cs="Arial" w:eastAsia="Arial" w:hAnsi="Arial"/>
                <w:sz w:val="13"/>
                <w:szCs w:val="13"/>
                <w:color w:val="auto"/>
              </w:rPr>
              <w:t>Advertising &amp;</w:t>
            </w:r>
          </w:p>
        </w:tc>
        <w:tc>
          <w:tcPr>
            <w:tcW w:w="298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w w:val="98"/>
              </w:rPr>
              <w:t>Series A-1 Preferred Stock (1,998 shares, 8.0% PIK</w:t>
            </w:r>
          </w:p>
        </w:tc>
        <w:tc>
          <w:tcPr>
            <w:tcW w:w="5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auto"/>
              </w:rPr>
              <w:t>GA Communications, Inc.</w:t>
            </w:r>
          </w:p>
        </w:tc>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Marketing Services</w:t>
            </w:r>
          </w:p>
        </w:tc>
        <w:tc>
          <w:tcPr>
            <w:tcW w:w="2980" w:type="dxa"/>
            <w:vAlign w:val="bottom"/>
            <w:gridSpan w:val="2"/>
          </w:tcPr>
          <w:p>
            <w:pPr>
              <w:spacing w:after="0" w:line="216" w:lineRule="exact"/>
              <w:rPr>
                <w:sz w:val="20"/>
                <w:szCs w:val="20"/>
                <w:color w:val="auto"/>
              </w:rPr>
            </w:pPr>
            <w:r>
              <w:rPr>
                <w:rFonts w:ascii="Arial" w:cs="Arial" w:eastAsia="Arial" w:hAnsi="Arial"/>
                <w:sz w:val="13"/>
                <w:szCs w:val="13"/>
                <w:color w:val="auto"/>
              </w:rPr>
              <w:t>Dividend)</w:t>
            </w:r>
            <w:r>
              <w:rPr>
                <w:rFonts w:ascii="Arial" w:cs="Arial" w:eastAsia="Arial" w:hAnsi="Arial"/>
                <w:sz w:val="19"/>
                <w:szCs w:val="19"/>
                <w:color w:val="auto"/>
                <w:vertAlign w:val="superscript"/>
              </w:rPr>
              <w:t>(10)</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10/14/2011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3,476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3,761</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Advertising &amp;</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9"/>
              </w:rPr>
              <w:t>10/14/2011</w:t>
            </w: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Marketing Services</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Series B-1 Common Stock (200,000 shares)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3,478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4,262</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LJS Partners, LLC</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QSR Franchisor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Preferred Units (92,924 units)</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8/12/2019</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tcPr>
          <w:p>
            <w:pPr>
              <w:spacing w:after="0"/>
              <w:rPr>
                <w:sz w:val="20"/>
                <w:szCs w:val="20"/>
                <w:color w:val="auto"/>
              </w:rPr>
            </w:pPr>
            <w:r>
              <w:rPr>
                <w:rFonts w:ascii="Arial" w:cs="Arial" w:eastAsia="Arial" w:hAnsi="Arial"/>
                <w:sz w:val="13"/>
                <w:szCs w:val="13"/>
                <w:color w:val="auto"/>
              </w:rPr>
              <w:t>LJS Partners, LLC</w:t>
            </w:r>
          </w:p>
        </w:tc>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QSR Franchisor</w:t>
            </w:r>
          </w:p>
        </w:tc>
        <w:tc>
          <w:tcPr>
            <w:tcW w:w="2980" w:type="dxa"/>
            <w:vAlign w:val="bottom"/>
            <w:gridSpan w:val="2"/>
          </w:tcPr>
          <w:p>
            <w:pPr>
              <w:spacing w:after="0"/>
              <w:rPr>
                <w:sz w:val="20"/>
                <w:szCs w:val="20"/>
                <w:color w:val="auto"/>
              </w:rPr>
            </w:pPr>
            <w:r>
              <w:rPr>
                <w:rFonts w:ascii="Arial" w:cs="Arial" w:eastAsia="Arial" w:hAnsi="Arial"/>
                <w:sz w:val="13"/>
                <w:szCs w:val="13"/>
                <w:color w:val="auto"/>
              </w:rPr>
              <w:t>Common Membership Units (2,593,234 units)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1/1/2012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1,509</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gridSpan w:val="2"/>
          </w:tcPr>
          <w:p>
            <w:pPr>
              <w:ind w:left="20"/>
              <w:spacing w:after="0"/>
              <w:rPr>
                <w:sz w:val="20"/>
                <w:szCs w:val="20"/>
                <w:color w:val="auto"/>
              </w:rPr>
            </w:pPr>
            <w:r>
              <w:rPr>
                <w:rFonts w:ascii="Arial" w:cs="Arial" w:eastAsia="Arial" w:hAnsi="Arial"/>
                <w:sz w:val="13"/>
                <w:szCs w:val="13"/>
                <w:color w:val="auto"/>
              </w:rPr>
              <w:t>Medical Device</w:t>
            </w:r>
          </w:p>
        </w:tc>
        <w:tc>
          <w:tcPr>
            <w:tcW w:w="29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3"/>
                <w:szCs w:val="13"/>
                <w:color w:val="auto"/>
              </w:rPr>
              <w:t>First Lien Debt (12.0% Cash, Due 1/31/21)</w:t>
            </w:r>
            <w:r>
              <w:rPr>
                <w:rFonts w:ascii="Arial" w:cs="Arial" w:eastAsia="Arial" w:hAnsi="Arial"/>
                <w:sz w:val="19"/>
                <w:szCs w:val="19"/>
                <w:color w:val="auto"/>
                <w:vertAlign w:val="superscript"/>
              </w:rPr>
              <w:t>(16)</w:t>
            </w:r>
          </w:p>
        </w:tc>
        <w:tc>
          <w:tcPr>
            <w:tcW w:w="5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20"/>
                <w:szCs w:val="20"/>
                <w:color w:val="auto"/>
              </w:rPr>
            </w:pPr>
            <w:r>
              <w:rPr>
                <w:rFonts w:ascii="Arial" w:cs="Arial" w:eastAsia="Arial" w:hAnsi="Arial"/>
                <w:sz w:val="13"/>
                <w:szCs w:val="13"/>
                <w:color w:val="auto"/>
              </w:rPr>
              <w:t>MMI Holdings, LLC</w:t>
            </w:r>
          </w:p>
        </w:tc>
        <w:tc>
          <w:tcPr>
            <w:tcW w:w="8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Distributor</w:t>
            </w:r>
          </w:p>
        </w:tc>
        <w:tc>
          <w:tcPr>
            <w:tcW w:w="2980" w:type="dxa"/>
            <w:vAlign w:val="bottom"/>
            <w:gridSpan w:val="2"/>
            <w:vMerge w:val="continue"/>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10/17/2011</w:t>
            </w:r>
          </w:p>
        </w:tc>
        <w:tc>
          <w:tcPr>
            <w:tcW w:w="480" w:type="dxa"/>
            <w:vAlign w:val="bottom"/>
          </w:tcPr>
          <w:p>
            <w:pPr>
              <w:jc w:val="right"/>
              <w:spacing w:after="0"/>
              <w:rPr>
                <w:sz w:val="20"/>
                <w:szCs w:val="20"/>
                <w:color w:val="auto"/>
              </w:rPr>
            </w:pPr>
            <w:r>
              <w:rPr>
                <w:rFonts w:ascii="Arial" w:cs="Arial" w:eastAsia="Arial" w:hAnsi="Arial"/>
                <w:sz w:val="13"/>
                <w:szCs w:val="13"/>
                <w:color w:val="auto"/>
              </w:rPr>
              <w:t>2,600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2,600</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2,600</w:t>
            </w:r>
          </w:p>
        </w:tc>
        <w:tc>
          <w:tcPr>
            <w:tcW w:w="8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Medical Device</w:t>
            </w:r>
          </w:p>
        </w:tc>
        <w:tc>
          <w:tcPr>
            <w:tcW w:w="29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Second Lien Debt (6.0% Cash, Due 1/31/21)</w:t>
            </w:r>
            <w:r>
              <w:rPr>
                <w:rFonts w:ascii="Arial" w:cs="Arial" w:eastAsia="Arial" w:hAnsi="Arial"/>
                <w:sz w:val="19"/>
                <w:szCs w:val="19"/>
                <w:color w:val="auto"/>
                <w:vertAlign w:val="superscript"/>
              </w:rPr>
              <w:t>(16)</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Distributor</w:t>
            </w:r>
          </w:p>
        </w:tc>
        <w:tc>
          <w:tcPr>
            <w:tcW w:w="2980" w:type="dxa"/>
            <w:vAlign w:val="bottom"/>
            <w:gridSpan w:val="2"/>
            <w:vMerge w:val="continue"/>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10/17/2011</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Medical Device</w:t>
            </w:r>
          </w:p>
        </w:tc>
        <w:tc>
          <w:tcPr>
            <w:tcW w:w="2980" w:type="dxa"/>
            <w:vAlign w:val="bottom"/>
            <w:gridSpan w:val="2"/>
            <w:vMerge w:val="restart"/>
          </w:tcPr>
          <w:p>
            <w:pPr>
              <w:spacing w:after="0"/>
              <w:rPr>
                <w:sz w:val="20"/>
                <w:szCs w:val="20"/>
                <w:color w:val="auto"/>
              </w:rPr>
            </w:pPr>
            <w:r>
              <w:rPr>
                <w:rFonts w:ascii="Arial" w:cs="Arial" w:eastAsia="Arial" w:hAnsi="Arial"/>
                <w:sz w:val="13"/>
                <w:szCs w:val="13"/>
                <w:color w:val="auto"/>
                <w:w w:val="98"/>
              </w:rPr>
              <w:t>Preferred Units (1,000 units, 6.0% PIK Dividend)</w:t>
            </w:r>
            <w:r>
              <w:rPr>
                <w:rFonts w:ascii="Arial" w:cs="Arial" w:eastAsia="Arial" w:hAnsi="Arial"/>
                <w:sz w:val="19"/>
                <w:szCs w:val="19"/>
                <w:color w:val="auto"/>
                <w:w w:val="98"/>
                <w:vertAlign w:val="superscript"/>
              </w:rPr>
              <w:t>(10)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Arial" w:cs="Arial" w:eastAsia="Arial" w:hAnsi="Arial"/>
                <w:sz w:val="13"/>
                <w:szCs w:val="13"/>
                <w:color w:val="auto"/>
              </w:rPr>
              <w:t>MMI Holdings, LLC</w:t>
            </w: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Distributor</w:t>
            </w:r>
          </w:p>
        </w:tc>
        <w:tc>
          <w:tcPr>
            <w:tcW w:w="2980" w:type="dxa"/>
            <w:vAlign w:val="bottom"/>
            <w:gridSpan w:val="2"/>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10/17/2011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1,572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1,710</w:t>
            </w:r>
          </w:p>
        </w:tc>
        <w:tc>
          <w:tcPr>
            <w:tcW w:w="8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-941070</wp:posOffset>
            </wp:positionV>
            <wp:extent cx="61550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-1258570</wp:posOffset>
            </wp:positionV>
            <wp:extent cx="61550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-2089785</wp:posOffset>
            </wp:positionV>
            <wp:extent cx="61550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-2484120</wp:posOffset>
            </wp:positionV>
            <wp:extent cx="61550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-2792730</wp:posOffset>
            </wp:positionV>
            <wp:extent cx="61550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-4267200</wp:posOffset>
            </wp:positionV>
            <wp:extent cx="61550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-4584700</wp:posOffset>
            </wp:positionV>
            <wp:extent cx="61804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-4884420</wp:posOffset>
            </wp:positionV>
            <wp:extent cx="61550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-5484495</wp:posOffset>
            </wp:positionV>
            <wp:extent cx="61550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-5887720</wp:posOffset>
            </wp:positionV>
            <wp:extent cx="61550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-6290310</wp:posOffset>
            </wp:positionV>
            <wp:extent cx="254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-6290310</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-6290310</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-6290310</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-6290310</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-6290310</wp:posOffset>
            </wp:positionV>
            <wp:extent cx="514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-6290310</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-6290310</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20" w:name="page121"/>
    <w:bookmarkEnd w:id="120"/>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2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3"/>
              </w:rPr>
              <w:t>Portfolio Company, Country</w:t>
            </w:r>
            <w:r>
              <w:rPr>
                <w:rFonts w:ascii="Arial" w:cs="Arial" w:eastAsia="Arial" w:hAnsi="Arial"/>
                <w:sz w:val="17"/>
                <w:szCs w:val="17"/>
                <w:b w:val="1"/>
                <w:bCs w:val="1"/>
                <w:color w:val="auto"/>
                <w:w w:val="93"/>
                <w:vertAlign w:val="superscript"/>
              </w:rPr>
              <w:t>(1),(2),(3),(4),(5)</w:t>
            </w:r>
          </w:p>
        </w:tc>
        <w:tc>
          <w:tcPr>
            <w:tcW w:w="8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Acquisition</w:t>
            </w:r>
          </w:p>
        </w:tc>
        <w:tc>
          <w:tcPr>
            <w:tcW w:w="660" w:type="dxa"/>
            <w:vAlign w:val="bottom"/>
            <w:gridSpan w:val="4"/>
          </w:tcPr>
          <w:p>
            <w:pPr>
              <w:jc w:val="right"/>
              <w:ind w:right="148"/>
              <w:spacing w:after="0"/>
              <w:rPr>
                <w:sz w:val="20"/>
                <w:szCs w:val="20"/>
                <w:color w:val="auto"/>
              </w:rPr>
            </w:pPr>
            <w:r>
              <w:rPr>
                <w:rFonts w:ascii="Arial" w:cs="Arial" w:eastAsia="Arial" w:hAnsi="Arial"/>
                <w:sz w:val="12"/>
                <w:szCs w:val="12"/>
                <w:b w:val="1"/>
                <w:bCs w:val="1"/>
                <w:color w:val="auto"/>
                <w:w w:val="86"/>
              </w:rPr>
              <w:t>Principal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6"/>
              </w:rPr>
              <w:t>% of</w:t>
            </w:r>
          </w:p>
        </w:tc>
        <w:tc>
          <w:tcPr>
            <w:tcW w:w="0" w:type="dxa"/>
            <w:vAlign w:val="bottom"/>
          </w:tcPr>
          <w:p>
            <w:pPr>
              <w:spacing w:after="0"/>
              <w:rPr>
                <w:sz w:val="1"/>
                <w:szCs w:val="1"/>
                <w:color w:val="auto"/>
              </w:rPr>
            </w:pPr>
          </w:p>
        </w:tc>
      </w:tr>
      <w:tr>
        <w:trPr>
          <w:trHeight w:val="184"/>
        </w:trPr>
        <w:tc>
          <w:tcPr>
            <w:tcW w:w="22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Industry</w:t>
            </w:r>
          </w:p>
        </w:tc>
        <w:tc>
          <w:tcPr>
            <w:tcW w:w="80" w:type="dxa"/>
            <w:vAlign w:val="bottom"/>
            <w:tcBorders>
              <w:bottom w:val="single" w:sz="8" w:color="CCEEFF"/>
            </w:tcBorders>
          </w:tcPr>
          <w:p>
            <w:pPr>
              <w:spacing w:after="0"/>
              <w:rPr>
                <w:sz w:val="15"/>
                <w:szCs w:val="15"/>
                <w:color w:val="auto"/>
              </w:rPr>
            </w:pPr>
          </w:p>
        </w:tc>
        <w:tc>
          <w:tcPr>
            <w:tcW w:w="290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Date</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88"/>
              </w:rPr>
              <w:t>Amount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Cost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0"/>
              </w:rPr>
              <w:t>Fair Value</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80"/>
              </w:rPr>
              <w:t>Net Assets</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Medical Device</w:t>
            </w: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9"/>
              </w:rPr>
              <w:t>10/17/2011</w:t>
            </w:r>
          </w:p>
        </w:tc>
        <w:tc>
          <w:tcPr>
            <w:tcW w:w="12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2"/>
            <w:vMerge w:val="restart"/>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Distributor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Membership Units (45 units)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4,560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4,904</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Textile Equipment</w:t>
            </w:r>
          </w:p>
        </w:tc>
        <w:tc>
          <w:tcPr>
            <w:tcW w:w="29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First Lien Debt (11.0% Cash, Due 6/30/23)</w:t>
            </w:r>
            <w:r>
              <w:rPr>
                <w:rFonts w:ascii="Arial" w:cs="Arial" w:eastAsia="Arial" w:hAnsi="Arial"/>
                <w:sz w:val="19"/>
                <w:szCs w:val="19"/>
                <w:color w:val="auto"/>
                <w:vertAlign w:val="superscript"/>
              </w:rPr>
              <w:t>(16)</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Manufacturer</w:t>
            </w:r>
          </w:p>
        </w:tc>
        <w:tc>
          <w:tcPr>
            <w:tcW w:w="2980" w:type="dxa"/>
            <w:vAlign w:val="bottom"/>
            <w:gridSpan w:val="2"/>
            <w:vMerge w:val="continue"/>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2/1/2011</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0"/>
              </w:rPr>
              <w:t>10,100</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10,100</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10,100</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Textile Equipment</w:t>
            </w:r>
          </w:p>
        </w:tc>
        <w:tc>
          <w:tcPr>
            <w:tcW w:w="2980" w:type="dxa"/>
            <w:vAlign w:val="bottom"/>
            <w:gridSpan w:val="2"/>
          </w:tcPr>
          <w:p>
            <w:pPr>
              <w:spacing w:after="0"/>
              <w:rPr>
                <w:sz w:val="20"/>
                <w:szCs w:val="20"/>
                <w:color w:val="auto"/>
              </w:rPr>
            </w:pPr>
            <w:r>
              <w:rPr>
                <w:rFonts w:ascii="Arial" w:cs="Arial" w:eastAsia="Arial" w:hAnsi="Arial"/>
                <w:sz w:val="13"/>
                <w:szCs w:val="13"/>
                <w:color w:val="auto"/>
                <w:w w:val="98"/>
              </w:rPr>
              <w:t>Class A Preferred Stock (1,000 shares, 10.0% Cash</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spacing w:after="0"/>
              <w:rPr>
                <w:sz w:val="20"/>
                <w:szCs w:val="20"/>
                <w:color w:val="auto"/>
              </w:rPr>
            </w:pPr>
            <w:r>
              <w:rPr>
                <w:rFonts w:ascii="Arial" w:cs="Arial" w:eastAsia="Arial" w:hAnsi="Arial"/>
                <w:sz w:val="13"/>
                <w:szCs w:val="13"/>
                <w:color w:val="auto"/>
              </w:rPr>
              <w:t>Navis Holdings, Inc.</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Manufacturer</w:t>
            </w:r>
          </w:p>
        </w:tc>
        <w:tc>
          <w:tcPr>
            <w:tcW w:w="2980" w:type="dxa"/>
            <w:vAlign w:val="bottom"/>
            <w:gridSpan w:val="2"/>
          </w:tcPr>
          <w:p>
            <w:pPr>
              <w:spacing w:after="0" w:line="189" w:lineRule="exact"/>
              <w:rPr>
                <w:sz w:val="20"/>
                <w:szCs w:val="20"/>
                <w:color w:val="auto"/>
              </w:rPr>
            </w:pPr>
            <w:r>
              <w:rPr>
                <w:rFonts w:ascii="Arial" w:cs="Arial" w:eastAsia="Arial" w:hAnsi="Arial"/>
                <w:sz w:val="13"/>
                <w:szCs w:val="13"/>
                <w:color w:val="auto"/>
              </w:rPr>
              <w:t>Dividend)</w:t>
            </w:r>
            <w:r>
              <w:rPr>
                <w:rFonts w:ascii="Arial" w:cs="Arial" w:eastAsia="Arial" w:hAnsi="Arial"/>
                <w:sz w:val="19"/>
                <w:szCs w:val="19"/>
                <w:color w:val="auto"/>
                <w:vertAlign w:val="superscript"/>
              </w:rPr>
              <w:t>(10)</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2/1/2011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Textile Equipment</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2/1/2011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Manufacturer</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Stock (60,000 shares)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11,100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11,564</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Nth Degree Investment Group, LLC</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Business Services</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Membership Units (6,088,000 Units)</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12/3/2019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6,088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6,088</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6,088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6,088</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Financial Services</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Lien Debt (10.0% Cash, Due 1/4/24)</w:t>
            </w:r>
            <w:r>
              <w:rPr>
                <w:rFonts w:ascii="Arial" w:cs="Arial" w:eastAsia="Arial" w:hAnsi="Arial"/>
                <w:sz w:val="19"/>
                <w:szCs w:val="19"/>
                <w:color w:val="auto"/>
                <w:vertAlign w:val="superscript"/>
              </w:rPr>
              <w:t>(6)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1/4/2019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9,019</w:t>
            </w: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9,019</w:t>
            </w: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9,019</w:t>
            </w: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gridSpan w:val="3"/>
          </w:tcPr>
          <w:p>
            <w:pPr>
              <w:spacing w:after="0"/>
              <w:rPr>
                <w:sz w:val="20"/>
                <w:szCs w:val="20"/>
                <w:color w:val="auto"/>
              </w:rPr>
            </w:pPr>
            <w:r>
              <w:rPr>
                <w:rFonts w:ascii="Arial" w:cs="Arial" w:eastAsia="Arial" w:hAnsi="Arial"/>
                <w:sz w:val="13"/>
                <w:szCs w:val="13"/>
                <w:color w:val="auto"/>
              </w:rPr>
              <w:t>RAM Payment, LLC</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Financial Services</w:t>
            </w:r>
          </w:p>
        </w:tc>
        <w:tc>
          <w:tcPr>
            <w:tcW w:w="2980" w:type="dxa"/>
            <w:vAlign w:val="bottom"/>
            <w:gridSpan w:val="2"/>
          </w:tcPr>
          <w:p>
            <w:pPr>
              <w:spacing w:after="0"/>
              <w:rPr>
                <w:sz w:val="20"/>
                <w:szCs w:val="20"/>
                <w:color w:val="auto"/>
              </w:rPr>
            </w:pPr>
            <w:r>
              <w:rPr>
                <w:rFonts w:ascii="Arial" w:cs="Arial" w:eastAsia="Arial" w:hAnsi="Arial"/>
                <w:sz w:val="13"/>
                <w:szCs w:val="13"/>
                <w:color w:val="auto"/>
                <w:w w:val="95"/>
              </w:rPr>
              <w:t>Preferred Units (86,000 units, 8.0% PIK Dividend)</w:t>
            </w:r>
            <w:r>
              <w:rPr>
                <w:rFonts w:ascii="Arial" w:cs="Arial" w:eastAsia="Arial" w:hAnsi="Arial"/>
                <w:sz w:val="19"/>
                <w:szCs w:val="19"/>
                <w:color w:val="auto"/>
                <w:w w:val="95"/>
                <w:vertAlign w:val="superscript"/>
              </w:rPr>
              <w:t>(10)</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1/4/2019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928</w:t>
            </w: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1,725</w:t>
            </w:r>
          </w:p>
        </w:tc>
        <w:tc>
          <w:tcPr>
            <w:tcW w:w="80" w:type="dxa"/>
            <w:vAlign w:val="bottom"/>
          </w:tcPr>
          <w:p>
            <w:pPr>
              <w:spacing w:after="0"/>
              <w:rPr>
                <w:sz w:val="21"/>
                <w:szCs w:val="21"/>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9,947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10,744</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7.3%</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gridSpan w:val="3"/>
          </w:tcPr>
          <w:p>
            <w:pPr>
              <w:ind w:left="20"/>
              <w:spacing w:after="0"/>
              <w:rPr>
                <w:sz w:val="20"/>
                <w:szCs w:val="20"/>
                <w:color w:val="auto"/>
              </w:rPr>
            </w:pPr>
            <w:r>
              <w:rPr>
                <w:rFonts w:ascii="Arial" w:cs="Arial" w:eastAsia="Arial" w:hAnsi="Arial"/>
                <w:sz w:val="13"/>
                <w:szCs w:val="13"/>
                <w:color w:val="auto"/>
              </w:rPr>
              <w:t>Oil &amp; Gas Engineering</w:t>
            </w:r>
          </w:p>
        </w:tc>
        <w:tc>
          <w:tcPr>
            <w:tcW w:w="29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360" w:type="dxa"/>
            <w:vAlign w:val="bottom"/>
            <w:gridSpan w:val="3"/>
          </w:tcPr>
          <w:p>
            <w:pPr>
              <w:spacing w:after="0"/>
              <w:rPr>
                <w:sz w:val="20"/>
                <w:szCs w:val="20"/>
                <w:color w:val="auto"/>
              </w:rPr>
            </w:pPr>
            <w:r>
              <w:rPr>
                <w:rFonts w:ascii="Arial" w:cs="Arial" w:eastAsia="Arial" w:hAnsi="Arial"/>
                <w:sz w:val="13"/>
                <w:szCs w:val="13"/>
                <w:color w:val="auto"/>
              </w:rPr>
              <w:t>Sierra Hamilton Holdings Corporation</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w w:val="95"/>
              </w:rPr>
              <w:t>and Consulting Services</w:t>
            </w:r>
          </w:p>
        </w:tc>
        <w:tc>
          <w:tcPr>
            <w:tcW w:w="2980" w:type="dxa"/>
            <w:vAlign w:val="bottom"/>
            <w:gridSpan w:val="2"/>
          </w:tcPr>
          <w:p>
            <w:pPr>
              <w:spacing w:after="0"/>
              <w:rPr>
                <w:sz w:val="20"/>
                <w:szCs w:val="20"/>
                <w:color w:val="auto"/>
              </w:rPr>
            </w:pPr>
            <w:r>
              <w:rPr>
                <w:rFonts w:ascii="Arial" w:cs="Arial" w:eastAsia="Arial" w:hAnsi="Arial"/>
                <w:sz w:val="13"/>
                <w:szCs w:val="13"/>
                <w:color w:val="auto"/>
              </w:rPr>
              <w:t>Second Lien Debt (15.0% PIK, Due 9/12/23)</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9/12/2019</w:t>
            </w: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748</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748</w:t>
            </w:r>
          </w:p>
        </w:tc>
        <w:tc>
          <w:tcPr>
            <w:tcW w:w="80" w:type="dxa"/>
            <w:vAlign w:val="bottom"/>
          </w:tcPr>
          <w:p>
            <w:pPr>
              <w:spacing w:after="0"/>
              <w:rPr>
                <w:sz w:val="14"/>
                <w:szCs w:val="1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Oil &amp; Gas Engineering</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7/31/2017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6,958</w:t>
            </w: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5,160</w:t>
            </w: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Sierra Hamilton Holdings Corporation</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w w:val="95"/>
              </w:rPr>
              <w:t>and Consulting Services</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Stock (15,068,000 shares)</w:t>
            </w:r>
          </w:p>
        </w:tc>
        <w:tc>
          <w:tcPr>
            <w:tcW w:w="66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7,706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5,908</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Data Processing &amp;</w:t>
            </w:r>
          </w:p>
        </w:tc>
        <w:tc>
          <w:tcPr>
            <w:tcW w:w="29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Second Lien Debt</w:t>
            </w:r>
            <w:r>
              <w:rPr>
                <w:rFonts w:ascii="Arial" w:cs="Arial" w:eastAsia="Arial" w:hAnsi="Arial"/>
                <w:sz w:val="19"/>
                <w:szCs w:val="19"/>
                <w:color w:val="auto"/>
                <w:vertAlign w:val="superscript"/>
              </w:rPr>
              <w:t>(9)</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9"/>
              </w:rPr>
              <w:t>11/21/2016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655</w:t>
            </w: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V12 Holdings, Inc.</w:t>
            </w:r>
          </w:p>
        </w:tc>
        <w:tc>
          <w:tcPr>
            <w:tcW w:w="8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Digital Marketing</w:t>
            </w:r>
          </w:p>
        </w:tc>
        <w:tc>
          <w:tcPr>
            <w:tcW w:w="29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655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708</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w w:val="81"/>
              </w:rPr>
              <w:t>Sub Total Affiliate investments – United States</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80,756</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98,763</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66.7%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b w:val="1"/>
                <w:bCs w:val="1"/>
                <w:color w:val="auto"/>
              </w:rPr>
              <w:t>Control Investments – 15.3%</w:t>
            </w: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3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Control investments – United States</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Second Lien Debt (6.7% Cash (1 month LIBOR +</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spacing w:after="0"/>
              <w:rPr>
                <w:sz w:val="20"/>
                <w:szCs w:val="20"/>
                <w:color w:val="auto"/>
              </w:rPr>
            </w:pPr>
            <w:r>
              <w:rPr>
                <w:rFonts w:ascii="Arial" w:cs="Arial" w:eastAsia="Arial" w:hAnsi="Arial"/>
                <w:sz w:val="13"/>
                <w:szCs w:val="13"/>
                <w:color w:val="auto"/>
              </w:rPr>
              <w:t>Capitala Senior Loan Fund II, LLC</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Investment Funds</w:t>
            </w:r>
          </w:p>
        </w:tc>
        <w:tc>
          <w:tcPr>
            <w:tcW w:w="2980" w:type="dxa"/>
            <w:vAlign w:val="bottom"/>
            <w:gridSpan w:val="2"/>
          </w:tcPr>
          <w:p>
            <w:pPr>
              <w:spacing w:after="0" w:line="189" w:lineRule="exact"/>
              <w:rPr>
                <w:sz w:val="20"/>
                <w:szCs w:val="20"/>
                <w:color w:val="auto"/>
              </w:rPr>
            </w:pPr>
            <w:r>
              <w:rPr>
                <w:rFonts w:ascii="Arial" w:cs="Arial" w:eastAsia="Arial" w:hAnsi="Arial"/>
                <w:sz w:val="13"/>
                <w:szCs w:val="13"/>
                <w:color w:val="auto"/>
              </w:rPr>
              <w:t>5.0)%, Due 9/3/24)</w:t>
            </w:r>
            <w:r>
              <w:rPr>
                <w:rFonts w:ascii="Arial" w:cs="Arial" w:eastAsia="Arial" w:hAnsi="Arial"/>
                <w:sz w:val="19"/>
                <w:szCs w:val="19"/>
                <w:color w:val="auto"/>
                <w:vertAlign w:val="superscript"/>
              </w:rPr>
              <w:t>(11)(19)</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9/3/2019</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Capitala Senior Loan Fund II, LLC</w:t>
            </w:r>
          </w:p>
        </w:tc>
        <w:tc>
          <w:tcPr>
            <w:tcW w:w="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Investment Funds</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Membership Units (80.0% ownership)</w:t>
            </w:r>
            <w:r>
              <w:rPr>
                <w:rFonts w:ascii="Arial" w:cs="Arial" w:eastAsia="Arial" w:hAnsi="Arial"/>
                <w:sz w:val="19"/>
                <w:szCs w:val="19"/>
                <w:color w:val="auto"/>
                <w:vertAlign w:val="superscript"/>
              </w:rPr>
              <w:t>(11)(20)(21)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12/20/2018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13,600</w:t>
            </w:r>
          </w:p>
        </w:tc>
        <w:tc>
          <w:tcPr>
            <w:tcW w:w="8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13,631</w:t>
            </w:r>
          </w:p>
        </w:tc>
        <w:tc>
          <w:tcPr>
            <w:tcW w:w="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13,600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13,631</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Lien Debt (10.5% Cash (1 month LIBOR +</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Vology, Inc.</w:t>
            </w: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8"/>
              </w:rPr>
              <w:t>Information Technology</w:t>
            </w: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8.5%, 2.0% Floor), Due 12/31/21)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11/25/2019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3,877</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3,877</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3,877</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360" w:type="dxa"/>
            <w:vAlign w:val="bottom"/>
            <w:gridSpan w:val="3"/>
          </w:tcPr>
          <w:p>
            <w:pPr>
              <w:spacing w:after="0"/>
              <w:rPr>
                <w:sz w:val="20"/>
                <w:szCs w:val="20"/>
                <w:color w:val="auto"/>
              </w:rPr>
            </w:pPr>
            <w:r>
              <w:rPr>
                <w:rFonts w:ascii="Arial" w:cs="Arial" w:eastAsia="Arial" w:hAnsi="Arial"/>
                <w:sz w:val="13"/>
                <w:szCs w:val="13"/>
                <w:color w:val="auto"/>
              </w:rPr>
              <w:t>Vology, Inc.</w:t>
            </w:r>
          </w:p>
        </w:tc>
        <w:tc>
          <w:tcPr>
            <w:tcW w:w="1380" w:type="dxa"/>
            <w:vAlign w:val="bottom"/>
            <w:gridSpan w:val="3"/>
          </w:tcPr>
          <w:p>
            <w:pPr>
              <w:ind w:left="20"/>
              <w:spacing w:after="0"/>
              <w:rPr>
                <w:sz w:val="20"/>
                <w:szCs w:val="20"/>
                <w:color w:val="auto"/>
              </w:rPr>
            </w:pPr>
            <w:r>
              <w:rPr>
                <w:rFonts w:ascii="Arial" w:cs="Arial" w:eastAsia="Arial" w:hAnsi="Arial"/>
                <w:sz w:val="13"/>
                <w:szCs w:val="13"/>
                <w:color w:val="auto"/>
                <w:w w:val="98"/>
              </w:rPr>
              <w:t>Information Technology</w:t>
            </w:r>
          </w:p>
        </w:tc>
        <w:tc>
          <w:tcPr>
            <w:tcW w:w="2980" w:type="dxa"/>
            <w:vAlign w:val="bottom"/>
            <w:gridSpan w:val="2"/>
          </w:tcPr>
          <w:p>
            <w:pPr>
              <w:spacing w:after="0"/>
              <w:rPr>
                <w:sz w:val="20"/>
                <w:szCs w:val="20"/>
                <w:color w:val="auto"/>
              </w:rPr>
            </w:pPr>
            <w:r>
              <w:rPr>
                <w:rFonts w:ascii="Arial" w:cs="Arial" w:eastAsia="Arial" w:hAnsi="Arial"/>
                <w:sz w:val="13"/>
                <w:szCs w:val="13"/>
                <w:color w:val="auto"/>
              </w:rPr>
              <w:t>Class A Preferred Units (9,041,810 Units)</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11/25/2019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5,215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5,215</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Vology, Inc.</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w w:val="98"/>
              </w:rPr>
              <w:t>Information Technology</w:t>
            </w: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Membership Units (5,363,982 Units)</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11/25/2019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9,092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9,092</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96"/>
              </w:rPr>
              <w:t>Sub Total Control investments – United</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2"/>
            <w:vMerge w:val="restart"/>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w w:val="95"/>
              </w:rPr>
              <w:t>22,692</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22,723</w:t>
            </w: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b w:val="1"/>
                <w:bCs w:val="1"/>
                <w:color w:val="auto"/>
              </w:rPr>
              <w:t>States</w:t>
            </w:r>
          </w:p>
        </w:tc>
        <w:tc>
          <w:tcPr>
            <w:tcW w:w="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5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TOTAL INVESTMENTS – 244.8%</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0"/>
              </w:rPr>
              <w:t>353,881</w:t>
            </w: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w w:val="80"/>
              </w:rPr>
              <w:t>362,532</w:t>
            </w:r>
          </w:p>
        </w:tc>
        <w:tc>
          <w:tcPr>
            <w:tcW w:w="80" w:type="dxa"/>
            <w:vAlign w:val="bottom"/>
          </w:tcPr>
          <w:p>
            <w:pPr>
              <w:spacing w:after="0"/>
              <w:rPr>
                <w:sz w:val="15"/>
                <w:szCs w:val="15"/>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244.8%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-624840</wp:posOffset>
            </wp:positionV>
            <wp:extent cx="61550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-1328420</wp:posOffset>
            </wp:positionV>
            <wp:extent cx="61550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-2348230</wp:posOffset>
            </wp:positionV>
            <wp:extent cx="61550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-2767965</wp:posOffset>
            </wp:positionV>
            <wp:extent cx="61550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-3582670</wp:posOffset>
            </wp:positionV>
            <wp:extent cx="618045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-3899535</wp:posOffset>
            </wp:positionV>
            <wp:extent cx="61550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-4225290</wp:posOffset>
            </wp:positionV>
            <wp:extent cx="61550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-5108575</wp:posOffset>
            </wp:positionV>
            <wp:extent cx="61550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-5528310</wp:posOffset>
            </wp:positionV>
            <wp:extent cx="254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-5528310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-5528310</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-5528310</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-5528310</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-5528310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-5528310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-5528310</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ind w:left="1620" w:hanging="360"/>
        <w:spacing w:after="0"/>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investments valued by Capitala Finance Corp.’s (the “Company”) board of directors.</w:t>
      </w:r>
    </w:p>
    <w:p>
      <w:pPr>
        <w:spacing w:after="0" w:line="90" w:lineRule="exact"/>
        <w:rPr>
          <w:rFonts w:ascii="Arial" w:cs="Arial" w:eastAsia="Arial" w:hAnsi="Arial"/>
          <w:sz w:val="18"/>
          <w:szCs w:val="18"/>
          <w:color w:val="auto"/>
        </w:rPr>
      </w:pPr>
    </w:p>
    <w:p>
      <w:pPr>
        <w:ind w:left="1620" w:right="760" w:hanging="360"/>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spacing w:after="0" w:line="48" w:lineRule="exact"/>
        <w:rPr>
          <w:rFonts w:ascii="Arial" w:cs="Arial" w:eastAsia="Arial" w:hAnsi="Arial"/>
          <w:sz w:val="18"/>
          <w:szCs w:val="18"/>
          <w:color w:val="auto"/>
        </w:rPr>
      </w:pPr>
    </w:p>
    <w:p>
      <w:pPr>
        <w:ind w:left="1620" w:hanging="360"/>
        <w:spacing w:after="0"/>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Percentages are based on net assets of $148,113 as of December 31, 2019.</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21" w:name="page122"/>
    <w:bookmarkEnd w:id="121"/>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2019</w:t>
      </w:r>
    </w:p>
    <w:p>
      <w:pPr>
        <w:spacing w:after="0" w:line="170" w:lineRule="exact"/>
        <w:rPr>
          <w:sz w:val="20"/>
          <w:szCs w:val="20"/>
          <w:color w:val="auto"/>
        </w:rPr>
      </w:pPr>
    </w:p>
    <w:p>
      <w:pPr>
        <w:jc w:val="both"/>
        <w:ind w:left="1620" w:right="419" w:hanging="360"/>
        <w:spacing w:after="0" w:line="259"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38"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cash rate equals the approximate current yield on our last-out portion of the unitranche facility.</w:t>
      </w:r>
    </w:p>
    <w:p>
      <w:pPr>
        <w:spacing w:after="0" w:line="101" w:lineRule="exact"/>
        <w:rPr>
          <w:rFonts w:ascii="Arial" w:cs="Arial" w:eastAsia="Arial" w:hAnsi="Arial"/>
          <w:sz w:val="17"/>
          <w:szCs w:val="17"/>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is convertible to preferred equity.</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has a $2.6 million unfunded commitment.</w:t>
      </w:r>
    </w:p>
    <w:p>
      <w:pPr>
        <w:spacing w:after="0" w:line="76"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has been exited or sold. The residual value reflects estimated earnout, escrow, or other proceeds expected post-closing.</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76" w:lineRule="exact"/>
        <w:rPr>
          <w:rFonts w:ascii="Arial" w:cs="Arial" w:eastAsia="Arial" w:hAnsi="Arial"/>
          <w:sz w:val="18"/>
          <w:szCs w:val="18"/>
          <w:color w:val="auto"/>
        </w:rPr>
      </w:pPr>
    </w:p>
    <w:p>
      <w:pPr>
        <w:jc w:val="both"/>
        <w:ind w:left="1620" w:right="419" w:hanging="360"/>
        <w:spacing w:after="0" w:line="259"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2019, 8.1% of the Company’s total assets were non-qualifying assets.</w:t>
      </w:r>
    </w:p>
    <w:p>
      <w:pPr>
        <w:spacing w:after="0" w:line="38"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has a $3.5 million unfunded commitment.</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has a $0.5 million unfunded commitment.</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has a $4.5 million unfunded commitment.</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may elect to have 1.5% of its cash interest capitalized as paid-in-kind interest.</w:t>
      </w:r>
    </w:p>
    <w:p>
      <w:pPr>
        <w:spacing w:after="0" w:line="76"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 is valued using observable inputs (Level 1). The stock of the company is traded on the NASDAQ Capital Market under the ticker “USWS.”</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has a $5.0 million unfunded commitment.</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has a $6.4 million unfunded commitment.</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investment is valued based on the net asset value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Organization</w:t>
      </w:r>
    </w:p>
    <w:p>
      <w:pPr>
        <w:spacing w:after="0" w:line="148"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14"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subsidiary that is licensed by the U.S. Small Business Administration (“SBA”) under the Small Business Investment Act of 1958, as amended,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110"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11"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w:t>
      </w:r>
    </w:p>
    <w:p>
      <w:pPr>
        <w:spacing w:after="0" w:line="119"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04" w:lineRule="exact"/>
        <w:rPr>
          <w:sz w:val="20"/>
          <w:szCs w:val="20"/>
          <w:color w:val="auto"/>
        </w:rPr>
      </w:pPr>
    </w:p>
    <w:p>
      <w:pPr>
        <w:jc w:val="both"/>
        <w:ind w:left="1260" w:right="419" w:firstLine="360"/>
        <w:spacing w:after="0" w:line="308" w:lineRule="auto"/>
        <w:rPr>
          <w:sz w:val="20"/>
          <w:szCs w:val="20"/>
          <w:color w:val="auto"/>
        </w:rPr>
      </w:pPr>
      <w:r>
        <w:rPr>
          <w:rFonts w:ascii="Arial" w:cs="Arial" w:eastAsia="Arial" w:hAnsi="Arial"/>
          <w:sz w:val="17"/>
          <w:szCs w:val="17"/>
          <w:color w:val="auto"/>
        </w:rPr>
        <w:t>Capitala Business Lending, LLC (“CBL”), a wholly-owned subsidiary of the Company, was established on October 30, 2020, for the sole purpose of holding certain investments pledged as collateral under the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Organization – (continued)</w:t>
      </w:r>
    </w:p>
    <w:p>
      <w:pPr>
        <w:spacing w:after="0" w:line="216" w:lineRule="exact"/>
        <w:rPr>
          <w:sz w:val="20"/>
          <w:szCs w:val="20"/>
          <w:color w:val="auto"/>
        </w:rPr>
      </w:pPr>
    </w:p>
    <w:p>
      <w:pPr>
        <w:jc w:val="both"/>
        <w:ind w:left="1260" w:right="419"/>
        <w:spacing w:after="0" w:line="235" w:lineRule="auto"/>
        <w:rPr>
          <w:sz w:val="20"/>
          <w:szCs w:val="20"/>
          <w:color w:val="auto"/>
        </w:rPr>
      </w:pPr>
      <w:r>
        <w:rPr>
          <w:rFonts w:ascii="Arial" w:cs="Arial" w:eastAsia="Arial" w:hAnsi="Arial"/>
          <w:sz w:val="18"/>
          <w:szCs w:val="18"/>
          <w:color w:val="auto"/>
        </w:rPr>
        <w:t>Company’s line of credit with KeyBank National Association (the “KeyBank Credit Facility”). See Note 8 for more details about the KeyBank Credit Facility. The financial statements of CBL are consolidated with those of Capitala Finance Corp.</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Reverse Stock Split</w:t>
      </w:r>
    </w:p>
    <w:p>
      <w:pPr>
        <w:spacing w:after="0" w:line="135"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7"/>
          <w:szCs w:val="17"/>
          <w:color w:val="auto"/>
        </w:rPr>
        <w:t>On July 30, 2020, the Company’s board of directors (the “Board”) approved a one- 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 At the Effective Time, every six (6) issued and outstanding Shares were converted into one (1) Share. The Articles of Amendment also provided that there was no change in the par value of $0.01 per Share as a result of the Reverse Stock Split.</w:t>
      </w:r>
    </w:p>
    <w:p>
      <w:pPr>
        <w:spacing w:after="0" w:line="112" w:lineRule="exact"/>
        <w:rPr>
          <w:sz w:val="20"/>
          <w:szCs w:val="20"/>
          <w:color w:val="auto"/>
        </w:rPr>
      </w:pPr>
    </w:p>
    <w:p>
      <w:pPr>
        <w:jc w:val="both"/>
        <w:ind w:left="1260" w:right="419" w:firstLine="360"/>
        <w:spacing w:after="0" w:line="231" w:lineRule="auto"/>
        <w:rPr>
          <w:sz w:val="20"/>
          <w:szCs w:val="20"/>
          <w:color w:val="auto"/>
        </w:rPr>
      </w:pPr>
      <w:r>
        <w:rPr>
          <w:rFonts w:ascii="Arial" w:cs="Arial" w:eastAsia="Arial" w:hAnsi="Arial"/>
          <w:sz w:val="18"/>
          <w:szCs w:val="18"/>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jc w:val="both"/>
        <w:ind w:left="1260" w:right="419" w:firstLine="360"/>
        <w:spacing w:after="0" w:line="225" w:lineRule="auto"/>
        <w:rPr>
          <w:sz w:val="20"/>
          <w:szCs w:val="20"/>
          <w:color w:val="auto"/>
        </w:rPr>
      </w:pPr>
      <w:r>
        <w:rPr>
          <w:rFonts w:ascii="Arial" w:cs="Arial" w:eastAsia="Arial" w:hAnsi="Arial"/>
          <w:sz w:val="18"/>
          <w:szCs w:val="18"/>
          <w:color w:val="auto"/>
        </w:rPr>
        <w:t>The Company is considered an investment company as defined in Accounting Standards Codification (“ASC”) Topic 946 — Financial Services — Investment Companies (“ASC 946”). The accompanying consolidated financial statements have been prepared on the accrual basis of accounting in conformity with U.S. generally accepted accounting principles (“U.S. GAAP”) and pursuant to the requirements for reporting on Form 10 -K and Article 6 of Regulation S- X. The consolidated financial statements of the Company include the accounts of the Company and its wholly owned subsidiaries, including Fund II, Fund III, CBL, and the Taxable Subsidiaries.</w:t>
      </w:r>
    </w:p>
    <w:p>
      <w:pPr>
        <w:spacing w:after="0" w:line="113"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Company’s financial statements as of December 31, 2020 and 2019 and for the years ended December 31, 2020, 2019 and 2018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jc w:val="both"/>
        <w:ind w:left="1260" w:right="419" w:firstLine="360"/>
        <w:spacing w:after="0" w:line="291"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 substantially wholly owned investment company subsidiary or a controlled operating company</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229"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7"/>
          <w:szCs w:val="17"/>
          <w:color w:val="auto"/>
        </w:rPr>
        <w:t>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w:t>
      </w:r>
    </w:p>
    <w:p>
      <w:pPr>
        <w:spacing w:after="0" w:line="3" w:lineRule="exact"/>
        <w:rPr>
          <w:sz w:val="20"/>
          <w:szCs w:val="20"/>
          <w:color w:val="auto"/>
        </w:rPr>
      </w:pPr>
    </w:p>
    <w:p>
      <w:pPr>
        <w:jc w:val="both"/>
        <w:ind w:left="1260" w:right="419"/>
        <w:spacing w:after="0" w:line="255" w:lineRule="auto"/>
        <w:tabs>
          <w:tab w:leader="none" w:pos="14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was a joint venture for which shared power existed relating to the decisions that most significantly impacted the economic performance of the entity. See Note 4 to the consolidated financial statements for a description of the Company’s investment in CSLF II.</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1260" w:right="419" w:firstLine="360"/>
        <w:spacing w:after="0" w:line="286" w:lineRule="auto"/>
        <w:rPr>
          <w:sz w:val="20"/>
          <w:szCs w:val="20"/>
          <w:color w:val="auto"/>
        </w:rPr>
      </w:pPr>
      <w:r>
        <w:rPr>
          <w:rFonts w:ascii="Arial" w:cs="Arial" w:eastAsia="Arial" w:hAnsi="Arial"/>
          <w:sz w:val="17"/>
          <w:szCs w:val="17"/>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Classification</w:t>
      </w:r>
    </w:p>
    <w:p>
      <w:pPr>
        <w:spacing w:after="0" w:line="162"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Valuation of Investments</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w:t>
      </w:r>
    </w:p>
    <w:p>
      <w:pPr>
        <w:spacing w:after="0" w:line="125"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20" w:lineRule="exact"/>
        <w:rPr>
          <w:sz w:val="20"/>
          <w:szCs w:val="20"/>
          <w:color w:val="auto"/>
        </w:rPr>
      </w:pPr>
    </w:p>
    <w:p>
      <w:pPr>
        <w:jc w:val="both"/>
        <w:ind w:left="1260" w:right="419" w:firstLine="360"/>
        <w:spacing w:after="0" w:line="308" w:lineRule="auto"/>
        <w:rPr>
          <w:sz w:val="20"/>
          <w:szCs w:val="20"/>
          <w:color w:val="auto"/>
        </w:rPr>
      </w:pPr>
      <w:r>
        <w:rPr>
          <w:rFonts w:ascii="Arial" w:cs="Arial" w:eastAsia="Arial" w:hAnsi="Arial"/>
          <w:sz w:val="17"/>
          <w:szCs w:val="17"/>
          <w:color w:val="auto"/>
        </w:rPr>
        <w:t>Observable inputs are those that market participants would use in pricing the asset or liability based on market data obtained from sources independent of the Board. Unobservable inputs reflect the Board’s</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229"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assumptions about the inputs market participants would use in pricing the asset or liability developed based upon the best information available in the circumstances.</w:t>
      </w:r>
    </w:p>
    <w:p>
      <w:pPr>
        <w:spacing w:after="0" w:line="89"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19"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27"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07"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valuation methodologies summarized below are utilized by the Company in estimating fair value.</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w:t>
      </w:r>
    </w:p>
    <w:p>
      <w:pPr>
        <w:sectPr>
          <w:pgSz w:w="11900" w:h="16838" w:orient="portrait"/>
          <w:cols w:equalWidth="0" w:num="1">
            <w:col w:w="9879"/>
          </w:cols>
          <w:pgMar w:left="580" w:top="131"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229"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portfolio company. The adjusted enterprise value is then apportioned based on the seniority and privileges of the Company’s investments within the portfolio company.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Approach</w:t>
      </w:r>
    </w:p>
    <w:p>
      <w:pPr>
        <w:spacing w:after="0" w:line="144"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Asset Approach</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44"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i w:val="1"/>
          <w:iCs w:val="1"/>
          <w:color w:val="auto"/>
        </w:rPr>
        <w:t xml:space="preserve">Interest income and paid -in-kind interest income: </w:t>
      </w:r>
      <w:r>
        <w:rPr>
          <w:rFonts w:ascii="Arial" w:cs="Arial" w:eastAsia="Arial" w:hAnsi="Arial"/>
          <w:sz w:val="18"/>
          <w:szCs w:val="18"/>
          <w:color w:val="auto"/>
        </w:rPr>
        <w:t>Interest income is recorded on the accrual basis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such amounts are expected to 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22"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Management reviews all loans that become 90 days or more past due, or</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16"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using the specific identification method.</w:t>
      </w:r>
    </w:p>
    <w:p>
      <w:pPr>
        <w:spacing w:after="0" w:line="90"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i w:val="1"/>
          <w:iCs w:val="1"/>
          <w:color w:val="auto"/>
        </w:rPr>
        <w:t xml:space="preserve">Dividend income and paid-in -kind dividends: </w:t>
      </w:r>
      <w:r>
        <w:rPr>
          <w:rFonts w:ascii="Arial" w:cs="Arial" w:eastAsia="Arial" w:hAnsi="Arial"/>
          <w:sz w:val="17"/>
          <w:szCs w:val="17"/>
          <w:color w:val="auto"/>
        </w:rPr>
        <w:t>Dividend income is recognized on the date dividends</w:t>
      </w:r>
      <w:r>
        <w:rPr>
          <w:rFonts w:ascii="Arial" w:cs="Arial" w:eastAsia="Arial" w:hAnsi="Arial"/>
          <w:sz w:val="17"/>
          <w:szCs w:val="17"/>
          <w:i w:val="1"/>
          <w:iCs w:val="1"/>
          <w:color w:val="auto"/>
        </w:rPr>
        <w:t xml:space="preserve"> </w:t>
      </w:r>
      <w:r>
        <w:rPr>
          <w:rFonts w:ascii="Arial" w:cs="Arial" w:eastAsia="Arial" w:hAnsi="Arial"/>
          <w:sz w:val="17"/>
          <w:szCs w:val="17"/>
          <w:color w:val="auto"/>
        </w:rPr>
        <w:t>are declared. The Company holds preferred equity investments in the portfolio that contain a PIK dividend provision. PIK dividends, which represent contractually deferred dividends added to the equity balance, are</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229"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0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income over the life of the loan. Any remaining discount is accreted into income upon prepayment of the loan.</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fees, consent fees, and other fees 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Loan Sales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 xml:space="preserve">The Company follows the guidance in ASC Topic 860 —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The Company follows the guidance of ASC Topic 460 — Guarantees (“ASC 460”) .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Financing Fees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Earnings per share</w:t>
      </w:r>
    </w:p>
    <w:p>
      <w:pPr>
        <w:spacing w:after="0" w:line="148"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w:t>
      </w:r>
    </w:p>
    <w:p>
      <w:pPr>
        <w:sectPr>
          <w:pgSz w:w="11900" w:h="16838" w:orient="portrait"/>
          <w:cols w:equalWidth="0" w:num="1">
            <w:col w:w="9879"/>
          </w:cols>
          <w:pgMar w:left="580" w:top="131" w:right="1440" w:bottom="1440" w:gutter="0" w:footer="0" w:header="0"/>
        </w:sectPr>
      </w:pPr>
    </w:p>
    <w:p>
      <w:pPr>
        <w:spacing w:after="0" w:line="38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229"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Retroactive Adjustments for Reverse Stock Split</w:t>
      </w:r>
    </w:p>
    <w:p>
      <w:pPr>
        <w:spacing w:after="0" w:line="148" w:lineRule="exact"/>
        <w:rPr>
          <w:sz w:val="20"/>
          <w:szCs w:val="20"/>
          <w:color w:val="auto"/>
        </w:rPr>
      </w:pPr>
    </w:p>
    <w:p>
      <w:pPr>
        <w:jc w:val="both"/>
        <w:ind w:left="1260" w:right="419" w:firstLine="360"/>
        <w:spacing w:after="0" w:line="286" w:lineRule="auto"/>
        <w:rPr>
          <w:sz w:val="20"/>
          <w:szCs w:val="20"/>
          <w:color w:val="auto"/>
        </w:rPr>
      </w:pPr>
      <w:r>
        <w:rPr>
          <w:rFonts w:ascii="Arial" w:cs="Arial" w:eastAsia="Arial" w:hAnsi="Arial"/>
          <w:sz w:val="17"/>
          <w:szCs w:val="17"/>
          <w:color w:val="auto"/>
        </w:rPr>
        <w:t>The share amount and per share amount of the Company’s common stock in the consolidated financial statements and notes have been retroactively adjusted for the Reverse Stock Split effected on August 21, 2020 for all periods presented. See Note 1 for more information regarding the Reverse Stock Split.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As of December 31, 2020, the Company had outstanding unfunded commitments related to debt investments in existing portfolio companies of $4.3 million (Rapid Fire Protection, Inc.), $3.5 million (J5 Infrastructure Partners, LLC), $1.0 million (Freedom Electronics, LLC), and $1.0 million (U.S. BioTek Laboratories, LLC). As of December 31, 2019, the Company had outstanding unfunded commitments related to debt and equity investments in existing portfolio companies of $11.4 million (CSLF II), $4.5 million (Rapid Fire Protection, Inc.), $3.5 million (J5 Infrastructure Partners, LLC), $2.6 million (BigMouth, Inc.), $1.0 million (Freedom Electronics, LLC), $1.0 million (U.S. BioTek Laboratories, LLC), and $0.5 million (Jurassic Quest Holdings, LLC).</w:t>
      </w:r>
    </w:p>
    <w:p>
      <w:pPr>
        <w:spacing w:after="0" w:line="124"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06"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29"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management’s opinion, no direct losses with respect to litigation contingencies were probable as of December 31, 2020 and 2019.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06"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229"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income if it does not distribute at least 98.0% of its ordinary income in any calendar year and 98.2% of its capital gain net income for each one-year period ending on October 31.</w:t>
      </w:r>
    </w:p>
    <w:p>
      <w:pPr>
        <w:spacing w:after="0" w:line="89"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27"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The tax years ended December 31, 2020, 2019, 2018 and 2017 remain subject to examination by U.S. federal, state, and local tax authorities. No interest expense or penalties have been assessed for the years ended December 31, 2020, 2019, and 2018. If the Company was required to recognize interest and penalties, if any, related to unrecognized tax benefits this would be recognized as income tax expense in the consolidated statements of operations.</w:t>
      </w:r>
    </w:p>
    <w:p>
      <w:pPr>
        <w:spacing w:after="0" w:line="120"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The Company’s Taxable Subsidiaries record deferred tax assets or liabilities related to temporary book versus tax differences on the income or loss generated by the underlying equity investments held by the Taxable Subsidiaries. As of December 31, 2020 and 2019, the Company recorded a net deferred tax asset of $0.0. For the years ended December 31, 2020, 2019, and 2018, the Company recorded a deferred tax benefit (provision) of $0.0, $(0.6) million, and $1.9 million, respectively. As of December 31, 2020 and 2019, the valuation allowance on the Company’s deferred tax asset was $4.6 million and $3.2 million, respectively. For the years ended December 31, 2020, 2019, and 2018, the Company recognized an increase in the valuation allowance of $1.4 million, $2.8 million, and $0.0, respectively.</w:t>
      </w:r>
    </w:p>
    <w:p>
      <w:pPr>
        <w:spacing w:after="0" w:line="97"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For income tax purposes, the Company has paid distributions on its shares of common stock from ordinary income in the amount of $0.7 million, $13.4 million, and $16.0 million during the tax years ended December 31, 2020, 2019, and, 2018, respectively. For income tax purposes, the Company has paid distributions on its shares of common stock that were accounted for as a return of capital in the amount of $3.4 million, $2.7 million, and $0.0 for the tax years ended December 31, 2020, 2019, and 2018 respectively.</w:t>
      </w:r>
    </w:p>
    <w:p>
      <w:pPr>
        <w:spacing w:after="0" w:line="126"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ASC Topic 740 — Income Taxes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2020 and 2019, there were no uncertain tax positions.</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0" w:name="page131"/>
    <w:bookmarkEnd w:id="130"/>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229"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11"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16"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5) indirect tax measures, including workplace tax credits and deferral of social security payroll tax. Management has considered the impact of the CARES Act on the Company, its Taxable Subsidiaries, and the underlying portfolio companies, and the Company has reflected these potential impacts in the consolidated financial statements, related tax disclosures, and the value of the investments.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03"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Company Investment Risk, Concentration of Credit Risk, Liquidity Risk, and COVID-19 Risk</w:t>
      </w:r>
    </w:p>
    <w:p>
      <w:pPr>
        <w:spacing w:after="0" w:line="162" w:lineRule="exact"/>
        <w:rPr>
          <w:sz w:val="20"/>
          <w:szCs w:val="20"/>
          <w:color w:val="auto"/>
        </w:rPr>
      </w:pPr>
    </w:p>
    <w:p>
      <w:pPr>
        <w:jc w:val="both"/>
        <w:ind w:left="1260" w:right="419" w:firstLine="360"/>
        <w:spacing w:after="0" w:line="273" w:lineRule="auto"/>
        <w:rPr>
          <w:sz w:val="20"/>
          <w:szCs w:val="20"/>
          <w:color w:val="auto"/>
        </w:rPr>
      </w:pPr>
      <w:r>
        <w:rPr>
          <w:rFonts w:ascii="Arial" w:cs="Arial" w:eastAsia="Arial" w:hAnsi="Arial"/>
          <w:sz w:val="17"/>
          <w:szCs w:val="17"/>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10"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229"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90"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22"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The Company’s operating results and portfolio companies may be negatively impacted by the recent outbreak of COVID-19. On March 11, 2020, the World Health Organization declared COVID-19 a pandemic, and on March 13, 2020, a national emergency was declared in the U.S. The ongoing spread of COVID-19 has had, and will continue to have, a material adverse impact on the U.S. and global economy as commercial activity and public perception have been negatively impacted by the outbreak. The ultimate extent to which the COVID-19 pandemic will impact the Company’s financial condition and results of operations will depend on future developments affecting not only the Company, but also the entire U.S. and global economy, which are inherently uncertain, including, among others, new information that may emerge concerning the severity and rate of spread of the disease.</w:t>
      </w:r>
    </w:p>
    <w:p>
      <w:pPr>
        <w:spacing w:after="0" w:line="116"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We will continue to monitor the rapidly evolving situation surrounding the COVID -19 pandemic and guidance from U.S. and international authorities, including federal, state and local public health authorities, and may take additional actions based on their recommendations. In these circumstances, there may be developments outside our control requiring us to adjust our plan of operation. For example, recurring COVID- 19 outbreaks have led to the re-introduction or continuation of certain public health restrictions (such as instituting quarantines, prohibitions on travel and the closure of offices, businesses, schools, retail stores and other public venues) in certain states in the United States and globally and could continue to lead to the re-introduction of such restrictions elsewhere. As such, given the dynamic nature of this situation, we cannot reasonably estimate the impact of the COVID-19 pandemic on our financial condition, results of operations or cash flows in the future.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14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2018-13, Disclosure Framework — Changes to the Disclosure Requirement for Fair Value Measurement. The FASB issued the amendments as part of the disclosure framework project which is intended to improve the effectiveness of fair value disclosures in the notes to the financial statements by facilitating clear communication of the information required by U.S. GAAP that is most important to users of the financial statements. The standard is effective for interim and annual reporting periods in fiscal years that begin after December 15, 2019. Management has evaluated the impact of adoption of ASU 2018-13 and determined that these changes did not have a significant impact on the Company’s consolidated financial statements and disclosures.</w:t>
      </w:r>
    </w:p>
    <w:p>
      <w:pPr>
        <w:spacing w:after="0" w:line="124"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In March 2020, the FASB issued ASU 2020-04, Reference Rate Reform. The amendments in ASU 2020-04 provide optional expedients and exceptions for applying U.S. GAAP to contracts, hedging relationships, and other transactions affected by reference rate reform if certain criteria are met. The standard is effective as of March 12, 2020 through December 31, 2022. Management is currently evaluating the impact of the optional guidance on the Company’s consolidated financial statements and disclosures. The Company did not utilize the optional expedients and exceptions provided by ASU 2020-04 during the year ended December 31, 2020.</w:t>
      </w:r>
    </w:p>
    <w:p>
      <w:pPr>
        <w:spacing w:after="0" w:line="123"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In August 2020, the FASB issued ASU 2020- 06, Accounting for Convertible Instruments and Contracts in an Entity’s Own Equity. The FASB issued the amendments to reduce the number of accounting models used for convertible debt instruments and convertible preferred stock, simplify the derivative scope exception</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Recent Accounting Pronouncements – (continued)</w:t>
      </w:r>
    </w:p>
    <w:p>
      <w:pPr>
        <w:spacing w:after="0" w:line="229"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for contracts in an entity’s own equity, and to improve guidance related to earnings per share disclosures. The standard is effective for fiscal years ending after December 15, 2021. Early adoption is permitted, but no earlier than fiscal years beginning after December 15, 2020. Management is currently evaluating the impact of adoption of ASU 2020-06.</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December 31, 2020, our portfolio consisted of investments in 36 portfolio companies with a fair value of approximately $274.7 million.</w:t>
      </w:r>
    </w:p>
    <w:p>
      <w:pPr>
        <w:spacing w:after="0" w:line="127"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2020, 14.5% of the fair value of our first lien loans consisted of last-out loans. As of December 31, 2019, 18.1% of the fair value of our first lien loans consisted of last-out loans. In some cases, first lien loans may be subordinated, solely with respect to the payment of cash interest, to an asset based revolving credit facility.</w:t>
      </w:r>
    </w:p>
    <w:p>
      <w:pPr>
        <w:spacing w:after="0" w:line="11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06"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During the year ended December 31, 2020, the Company made approximately $21.1 million of investments and had approximately $75.8 million in repayments and sales, resulting in net repayments and sales of approximately $54.7 million for the year. During the year ended December 31, 2019, the Company made approximately $77.8 million of investments and had approximately $128.1 million in repayments and sales resulting in net repayments and sales of approximately $50.3 million for the year. During the year ended December 31, 2018, the Company made approximately $107.8 million of investments and had approximately $123.5 million in repayments and sales resulting in net repayments and sales of approximately $15.7 million for the year.</w:t>
      </w:r>
    </w:p>
    <w:p>
      <w:pPr>
        <w:spacing w:after="0" w:line="124"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During the year ended December 31, 2020, the Company funded $4.5 million of previously committed capital to existing portfolio companies. During the year ended December 31, 2020, the Company funded $16.6 million of investments in portfolio companies for which it was not previously committed to fund. During the year ended December 31, 2019, the Company funded $6.7 million of previously committed capital to existing portfolio companies. During the year ended December 31, 2019, the Company funded $71.1 million of investments in portfolio companies for which it was not previously committed to fund. During the year ended December 31, 2018, the Company funded $6.5 million of previously committed capital to existing portfolio companies. During the year ended December 31, 2018, the Company funded $101.3 million of investments in portfolio companies for which it was not previously committed to fund. During the years ended December 31, 2020, 2019, and 2018, the Company did not lead any syndicates.</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29"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As of December 31, 2020, the Company’s Board approved the fair value of the Company’s investment portfolio of approximately $274.7 million in good faith in accordance with the Company’s valuation procedures. The Company’s Board approved the fair value of the Company’s investment portfolio as of December 31, 2020 with input from a third-party valuation firm and the Investment Advisor based on information known or knowable as of the valuation date, including trailing and forward looking data. The COVID-19 pandemic is an unprecedented circumstance that materially impacts the fair value of the Company’s investments. As a result, the fair value of the Company’s portfolio investments may be further negatively impacted after December 31, 2020 by circumstances and events that are not yet known.</w:t>
      </w:r>
    </w:p>
    <w:p>
      <w:pPr>
        <w:spacing w:after="0" w:line="97"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COVID-19 pandemic may also impact the Company’s portfolio companies’ ability to pay their respective contractual obligations, including principal and interest due to the Company, and some portfolio companies may require interest or principal deferrals in order to fulfill short-term liquidity needs in response to the COVID-19 pandemic. As deemed necessary, the Company is working with each of its portfolio companies to help them access short-term liquidity through interest deferrals, funding on unused lines of credit, and other sources of liquidity.</w:t>
      </w:r>
    </w:p>
    <w:p>
      <w:pPr>
        <w:spacing w:after="0" w:line="125"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composition of our investments as of December 31, 2020, at amortized cost and fair value was as follows (dollars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Amortized Cost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2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Percentage of</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Percentage of</w:t>
            </w:r>
          </w:p>
        </w:tc>
      </w:tr>
      <w:tr>
        <w:trPr>
          <w:trHeight w:val="186"/>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at Amortized Cost</w:t>
            </w: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Total Portfolio</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at Fair Value</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Total Portfolio</w:t>
            </w:r>
          </w:p>
        </w:tc>
      </w:tr>
      <w:tr>
        <w:trPr>
          <w:trHeight w:val="25"/>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$185,108</w:t>
            </w:r>
          </w:p>
        </w:tc>
        <w:tc>
          <w:tcPr>
            <w:tcW w:w="2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66.7%</w:t>
            </w:r>
          </w:p>
        </w:tc>
        <w:tc>
          <w:tcPr>
            <w:tcW w:w="28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$167,418</w:t>
            </w: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60.9%</w:t>
            </w: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Second Lien Debt</w:t>
            </w: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39,026</w:t>
            </w:r>
          </w:p>
        </w:tc>
        <w:tc>
          <w:tcPr>
            <w:tcW w:w="220" w:type="dxa"/>
            <w:vAlign w:val="bottom"/>
          </w:tcPr>
          <w:p>
            <w:pPr>
              <w:spacing w:after="0"/>
              <w:rPr>
                <w:sz w:val="22"/>
                <w:szCs w:val="2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39,209</w:t>
            </w:r>
          </w:p>
        </w:tc>
        <w:tc>
          <w:tcPr>
            <w:tcW w:w="2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14.3</w:t>
            </w:r>
          </w:p>
        </w:tc>
      </w:tr>
      <w:tr>
        <w:trPr>
          <w:trHeight w:val="26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440" w:type="dxa"/>
            <w:vAlign w:val="bottom"/>
            <w:gridSpan w:val="2"/>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53,518</w:t>
            </w:r>
          </w:p>
        </w:tc>
        <w:tc>
          <w:tcPr>
            <w:tcW w:w="2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28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68,065</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r>
      <w:tr>
        <w:trPr>
          <w:trHeight w:val="20"/>
        </w:trPr>
        <w:tc>
          <w:tcPr>
            <w:tcW w:w="3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4"/>
        </w:trPr>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$277,652</w:t>
            </w:r>
          </w:p>
        </w:tc>
        <w:tc>
          <w:tcPr>
            <w:tcW w:w="220" w:type="dxa"/>
            <w:vAlign w:val="bottom"/>
          </w:tcPr>
          <w:p>
            <w:pPr>
              <w:spacing w:after="0"/>
              <w:rPr>
                <w:sz w:val="22"/>
                <w:szCs w:val="22"/>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$274,692</w:t>
            </w:r>
          </w:p>
        </w:tc>
        <w:tc>
          <w:tcPr>
            <w:tcW w:w="220" w:type="dxa"/>
            <w:vAlign w:val="bottom"/>
          </w:tcPr>
          <w:p>
            <w:pPr>
              <w:spacing w:after="0"/>
              <w:rPr>
                <w:sz w:val="22"/>
                <w:szCs w:val="22"/>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r>
      <w:tr>
        <w:trPr>
          <w:trHeight w:val="20"/>
        </w:trPr>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-710565</wp:posOffset>
            </wp:positionV>
            <wp:extent cx="1371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-710565</wp:posOffset>
            </wp:positionV>
            <wp:extent cx="1371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-710565</wp:posOffset>
            </wp:positionV>
            <wp:extent cx="324866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09"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composition of our investments as of December 31, 2019, at amortized cost and fair value was as follows (dollars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1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Percentage of</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Percentage of</w:t>
            </w:r>
          </w:p>
        </w:tc>
      </w:tr>
      <w:tr>
        <w:trPr>
          <w:trHeight w:val="186"/>
        </w:trPr>
        <w:tc>
          <w:tcPr>
            <w:tcW w:w="3960" w:type="dxa"/>
            <w:vAlign w:val="bottom"/>
          </w:tcPr>
          <w:p>
            <w:pPr>
              <w:spacing w:after="0"/>
              <w:rPr>
                <w:sz w:val="16"/>
                <w:szCs w:val="16"/>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at Amortized Cost</w:t>
            </w:r>
          </w:p>
        </w:tc>
        <w:tc>
          <w:tcPr>
            <w:tcW w:w="220" w:type="dxa"/>
            <w:vAlign w:val="bottom"/>
          </w:tcPr>
          <w:p>
            <w:pPr>
              <w:spacing w:after="0"/>
              <w:rPr>
                <w:sz w:val="16"/>
                <w:szCs w:val="16"/>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at Fair Value</w:t>
            </w:r>
          </w:p>
        </w:tc>
        <w:tc>
          <w:tcPr>
            <w:tcW w:w="20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$235,646</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28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$231,203</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r>
      <w:tr>
        <w:trPr>
          <w:trHeight w:val="256"/>
        </w:trPr>
        <w:tc>
          <w:tcPr>
            <w:tcW w:w="3960" w:type="dxa"/>
            <w:vAlign w:val="bottom"/>
          </w:tcPr>
          <w:p>
            <w:pPr>
              <w:spacing w:after="0"/>
              <w:rPr>
                <w:sz w:val="20"/>
                <w:szCs w:val="20"/>
                <w:color w:val="auto"/>
              </w:rPr>
            </w:pPr>
            <w:r>
              <w:rPr>
                <w:rFonts w:ascii="Arial" w:cs="Arial" w:eastAsia="Arial" w:hAnsi="Arial"/>
                <w:sz w:val="18"/>
                <w:szCs w:val="18"/>
                <w:color w:val="auto"/>
              </w:rPr>
              <w:t>Second Lien Debt</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54,079</w:t>
            </w:r>
          </w:p>
        </w:tc>
        <w:tc>
          <w:tcPr>
            <w:tcW w:w="2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53,857</w:t>
            </w:r>
          </w:p>
        </w:tc>
        <w:tc>
          <w:tcPr>
            <w:tcW w:w="22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14.8</w:t>
            </w:r>
          </w:p>
        </w:tc>
      </w:tr>
      <w:tr>
        <w:trPr>
          <w:trHeight w:val="257"/>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50,556</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8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63,841</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r>
      <w:tr>
        <w:trPr>
          <w:trHeight w:val="263"/>
        </w:trPr>
        <w:tc>
          <w:tcPr>
            <w:tcW w:w="3960" w:type="dxa"/>
            <w:vAlign w:val="bottom"/>
          </w:tcPr>
          <w:p>
            <w:pPr>
              <w:spacing w:after="0"/>
              <w:rPr>
                <w:sz w:val="20"/>
                <w:szCs w:val="20"/>
                <w:color w:val="auto"/>
              </w:rPr>
            </w:pPr>
            <w:r>
              <w:rPr>
                <w:rFonts w:ascii="Arial" w:cs="Arial" w:eastAsia="Arial" w:hAnsi="Arial"/>
                <w:sz w:val="18"/>
                <w:szCs w:val="18"/>
                <w:color w:val="auto"/>
              </w:rPr>
              <w:t>Capitala Senior Loan Fund II, LLC</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13,631</w:t>
            </w:r>
          </w:p>
        </w:tc>
        <w:tc>
          <w:tcPr>
            <w:tcW w:w="22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r>
      <w:tr>
        <w:trPr>
          <w:trHeight w:val="20"/>
        </w:trPr>
        <w:tc>
          <w:tcPr>
            <w:tcW w:w="3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4"/>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$353,881</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28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$362,532</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-205105</wp:posOffset>
            </wp:positionV>
            <wp:extent cx="137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-205105</wp:posOffset>
            </wp:positionV>
            <wp:extent cx="3086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-205105</wp:posOffset>
            </wp:positionV>
            <wp:extent cx="30861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-205105</wp:posOffset>
            </wp:positionV>
            <wp:extent cx="3505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-873760</wp:posOffset>
            </wp:positionV>
            <wp:extent cx="137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-873760</wp:posOffset>
            </wp:positionV>
            <wp:extent cx="137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336867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06"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2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79" w:lineRule="exact"/>
        <w:rPr>
          <w:sz w:val="20"/>
          <w:szCs w:val="20"/>
          <w:color w:val="auto"/>
        </w:rPr>
      </w:pPr>
    </w:p>
    <w:p>
      <w:pPr>
        <w:ind w:left="1800" w:right="419" w:hanging="180"/>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8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19"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fair value measurements of investments, by major class,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(dollars in thousands), according to the fair value hierarchy:</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Fair Value Measurements</w:t>
            </w:r>
          </w:p>
        </w:tc>
        <w:tc>
          <w:tcPr>
            <w:tcW w:w="680" w:type="dxa"/>
            <w:vAlign w:val="bottom"/>
          </w:tcPr>
          <w:p>
            <w:pPr>
              <w:spacing w:after="0"/>
              <w:rPr>
                <w:sz w:val="16"/>
                <w:szCs w:val="16"/>
                <w:color w:val="auto"/>
              </w:rPr>
            </w:pPr>
          </w:p>
        </w:tc>
      </w:tr>
      <w:tr>
        <w:trPr>
          <w:trHeight w:val="25"/>
        </w:trPr>
        <w:tc>
          <w:tcPr>
            <w:tcW w:w="504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5040" w:type="dxa"/>
            <w:vAlign w:val="bottom"/>
          </w:tcPr>
          <w:p>
            <w:pPr>
              <w:spacing w:after="0"/>
              <w:rPr>
                <w:sz w:val="17"/>
                <w:szCs w:val="17"/>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Level 1</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680" w:type="dxa"/>
            <w:vAlign w:val="bottom"/>
          </w:tcPr>
          <w:p>
            <w:pPr>
              <w:jc w:val="right"/>
              <w:ind w:right="94"/>
              <w:spacing w:after="0"/>
              <w:rPr>
                <w:sz w:val="20"/>
                <w:szCs w:val="20"/>
                <w:color w:val="auto"/>
              </w:rPr>
            </w:pPr>
            <w:r>
              <w:rPr>
                <w:rFonts w:ascii="Arial" w:cs="Arial" w:eastAsia="Arial" w:hAnsi="Arial"/>
                <w:sz w:val="14"/>
                <w:szCs w:val="14"/>
                <w:b w:val="1"/>
                <w:bCs w:val="1"/>
                <w:color w:val="auto"/>
              </w:rPr>
              <w:t>Total</w:t>
            </w:r>
          </w:p>
        </w:tc>
      </w:tr>
      <w:tr>
        <w:trPr>
          <w:trHeight w:val="25"/>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$167,418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$167,418</w:t>
            </w: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Second Lien Debt</w:t>
            </w:r>
          </w:p>
        </w:tc>
        <w:tc>
          <w:tcPr>
            <w:tcW w:w="18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39,209</w:t>
            </w:r>
          </w:p>
        </w:tc>
        <w:tc>
          <w:tcPr>
            <w:tcW w:w="680" w:type="dxa"/>
            <w:vAlign w:val="bottom"/>
          </w:tcPr>
          <w:p>
            <w:pPr>
              <w:jc w:val="right"/>
              <w:spacing w:after="0"/>
              <w:rPr>
                <w:sz w:val="20"/>
                <w:szCs w:val="20"/>
                <w:color w:val="auto"/>
              </w:rPr>
            </w:pPr>
            <w:r>
              <w:rPr>
                <w:rFonts w:ascii="Arial" w:cs="Arial" w:eastAsia="Arial" w:hAnsi="Arial"/>
                <w:sz w:val="18"/>
                <w:szCs w:val="18"/>
                <w:color w:val="auto"/>
              </w:rPr>
              <w:t>39,209</w:t>
            </w:r>
          </w:p>
        </w:tc>
      </w:tr>
      <w:tr>
        <w:trPr>
          <w:trHeight w:val="263"/>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24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68,065</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493</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$274,199</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$274,692</w:t>
            </w: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-710565</wp:posOffset>
            </wp:positionV>
            <wp:extent cx="137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-710565</wp:posOffset>
            </wp:positionV>
            <wp:extent cx="41833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fair value measurements of investments, by major class,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2019 (dollars in thousands), according to the fair value hierarchy:</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19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2"/>
              </w:rPr>
              <w:t>Fair Value Measurements</w:t>
            </w:r>
            <w:r>
              <w:rPr>
                <w:rFonts w:ascii="Arial" w:cs="Arial" w:eastAsia="Arial" w:hAnsi="Arial"/>
                <w:sz w:val="21"/>
                <w:szCs w:val="21"/>
                <w:b w:val="1"/>
                <w:bCs w:val="1"/>
                <w:color w:val="auto"/>
                <w:w w:val="92"/>
                <w:vertAlign w:val="superscript"/>
              </w:rPr>
              <w:t>(1)</w:t>
            </w:r>
          </w:p>
        </w:tc>
        <w:tc>
          <w:tcPr>
            <w:tcW w:w="680" w:type="dxa"/>
            <w:vAlign w:val="bottom"/>
            <w:tcBorders>
              <w:bottom w:val="single" w:sz="8" w:color="auto"/>
            </w:tcBorders>
          </w:tcPr>
          <w:p>
            <w:pPr>
              <w:spacing w:after="0"/>
              <w:rPr>
                <w:sz w:val="22"/>
                <w:szCs w:val="22"/>
                <w:color w:val="auto"/>
              </w:rPr>
            </w:pPr>
          </w:p>
        </w:tc>
      </w:tr>
      <w:tr>
        <w:trPr>
          <w:trHeight w:val="198"/>
        </w:trPr>
        <w:tc>
          <w:tcPr>
            <w:tcW w:w="19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680" w:type="dxa"/>
            <w:vAlign w:val="bottom"/>
          </w:tcPr>
          <w:p>
            <w:pPr>
              <w:jc w:val="right"/>
              <w:ind w:right="94"/>
              <w:spacing w:after="0"/>
              <w:rPr>
                <w:sz w:val="20"/>
                <w:szCs w:val="20"/>
                <w:color w:val="auto"/>
              </w:rPr>
            </w:pPr>
            <w:r>
              <w:rPr>
                <w:rFonts w:ascii="Arial" w:cs="Arial" w:eastAsia="Arial" w:hAnsi="Arial"/>
                <w:sz w:val="14"/>
                <w:szCs w:val="14"/>
                <w:b w:val="1"/>
                <w:bCs w:val="1"/>
                <w:color w:val="auto"/>
              </w:rPr>
              <w:t>Total</w:t>
            </w:r>
          </w:p>
        </w:tc>
      </w:tr>
      <w:tr>
        <w:trPr>
          <w:trHeight w:val="25"/>
        </w:trPr>
        <w:tc>
          <w:tcPr>
            <w:tcW w:w="19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$231,203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$231,203</w:t>
            </w:r>
          </w:p>
        </w:tc>
      </w:tr>
      <w:tr>
        <w:trPr>
          <w:trHeight w:val="256"/>
        </w:trPr>
        <w:tc>
          <w:tcPr>
            <w:tcW w:w="5040" w:type="dxa"/>
            <w:vAlign w:val="bottom"/>
            <w:gridSpan w:val="2"/>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53,857</w:t>
            </w:r>
          </w:p>
        </w:tc>
        <w:tc>
          <w:tcPr>
            <w:tcW w:w="680" w:type="dxa"/>
            <w:vAlign w:val="bottom"/>
          </w:tcPr>
          <w:p>
            <w:pPr>
              <w:jc w:val="right"/>
              <w:spacing w:after="0"/>
              <w:rPr>
                <w:sz w:val="20"/>
                <w:szCs w:val="20"/>
                <w:color w:val="auto"/>
              </w:rPr>
            </w:pPr>
            <w:r>
              <w:rPr>
                <w:rFonts w:ascii="Arial" w:cs="Arial" w:eastAsia="Arial" w:hAnsi="Arial"/>
                <w:sz w:val="18"/>
                <w:szCs w:val="18"/>
                <w:color w:val="auto"/>
              </w:rPr>
              <w:t>53,857</w:t>
            </w:r>
          </w:p>
        </w:tc>
      </w:tr>
      <w:tr>
        <w:trPr>
          <w:trHeight w:val="263"/>
        </w:trPr>
        <w:tc>
          <w:tcPr>
            <w:tcW w:w="5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2,273</w:t>
            </w:r>
          </w:p>
        </w:tc>
        <w:tc>
          <w:tcPr>
            <w:tcW w:w="12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63,841</w:t>
            </w:r>
          </w:p>
        </w:tc>
      </w:tr>
      <w:tr>
        <w:trPr>
          <w:trHeight w:val="20"/>
        </w:trPr>
        <w:tc>
          <w:tcPr>
            <w:tcW w:w="1940" w:type="dxa"/>
            <w:vAlign w:val="bottom"/>
            <w:shd w:val="clear" w:color="auto" w:fill="CCEEFF"/>
          </w:tcPr>
          <w:p>
            <w:pPr>
              <w:spacing w:after="0" w:line="20" w:lineRule="exact"/>
              <w:rPr>
                <w:sz w:val="1"/>
                <w:szCs w:val="1"/>
                <w:color w:val="auto"/>
              </w:rPr>
            </w:pPr>
          </w:p>
        </w:tc>
        <w:tc>
          <w:tcPr>
            <w:tcW w:w="3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63"/>
        </w:trPr>
        <w:tc>
          <w:tcPr>
            <w:tcW w:w="5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2,273</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$346,628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$348,901</w:t>
            </w:r>
          </w:p>
        </w:tc>
      </w:tr>
      <w:tr>
        <w:trPr>
          <w:trHeight w:val="20"/>
        </w:trPr>
        <w:tc>
          <w:tcPr>
            <w:tcW w:w="1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81"/>
        </w:trPr>
        <w:tc>
          <w:tcPr>
            <w:tcW w:w="194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-779145</wp:posOffset>
            </wp:positionV>
            <wp:extent cx="137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-779145</wp:posOffset>
            </wp:positionV>
            <wp:extent cx="41833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14" w:lineRule="exact"/>
        <w:rPr>
          <w:sz w:val="20"/>
          <w:szCs w:val="20"/>
          <w:color w:val="auto"/>
        </w:rPr>
      </w:pPr>
    </w:p>
    <w:p>
      <w:pPr>
        <w:ind w:left="5160" w:right="2139" w:hanging="3900"/>
        <w:spacing w:after="0" w:line="950" w:lineRule="auto"/>
        <w:tabs>
          <w:tab w:leader="none" w:pos="16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Excludes the Company’s $13.6 million investment in CSLF II, measured at NAV. 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8065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29"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2020 (dollars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First Lien</w:t>
            </w: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Second Lien</w:t>
            </w:r>
          </w:p>
        </w:tc>
        <w:tc>
          <w:tcPr>
            <w:tcW w:w="160" w:type="dxa"/>
            <w:vAlign w:val="bottom"/>
          </w:tcPr>
          <w:p>
            <w:pPr>
              <w:spacing w:after="0"/>
              <w:rPr>
                <w:sz w:val="14"/>
                <w:szCs w:val="14"/>
                <w:color w:val="auto"/>
              </w:rPr>
            </w:pPr>
          </w:p>
        </w:tc>
        <w:tc>
          <w:tcPr>
            <w:tcW w:w="1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Equity</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6"/>
                <w:szCs w:val="16"/>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Debt</w:t>
            </w:r>
          </w:p>
        </w:tc>
        <w:tc>
          <w:tcPr>
            <w:tcW w:w="1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and Warrants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6"/>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$231,203</w:t>
            </w:r>
          </w:p>
        </w:tc>
        <w:tc>
          <w:tcPr>
            <w:tcW w:w="2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$ 53,857</w:t>
            </w: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$61,568</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$346,628</w:t>
            </w:r>
          </w:p>
        </w:tc>
      </w:tr>
      <w:tr>
        <w:trPr>
          <w:trHeight w:val="257"/>
        </w:trPr>
        <w:tc>
          <w:tcPr>
            <w:tcW w:w="4140" w:type="dxa"/>
            <w:vAlign w:val="bottom"/>
            <w:gridSpan w:val="2"/>
          </w:tcPr>
          <w:p>
            <w:pPr>
              <w:spacing w:after="0"/>
              <w:rPr>
                <w:sz w:val="20"/>
                <w:szCs w:val="20"/>
                <w:color w:val="auto"/>
              </w:rPr>
            </w:pPr>
            <w:r>
              <w:rPr>
                <w:rFonts w:ascii="Arial" w:cs="Arial" w:eastAsia="Arial" w:hAnsi="Arial"/>
                <w:sz w:val="18"/>
                <w:szCs w:val="18"/>
                <w:color w:val="auto"/>
              </w:rPr>
              <w:t>Reclassifications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(9,380)</w:t>
            </w:r>
          </w:p>
        </w:tc>
        <w:tc>
          <w:tcPr>
            <w:tcW w:w="200" w:type="dxa"/>
            <w:vAlign w:val="bottom"/>
          </w:tcPr>
          <w:p>
            <w:pPr>
              <w:spacing w:after="0"/>
              <w:rPr>
                <w:sz w:val="22"/>
                <w:szCs w:val="22"/>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1,953</w:t>
            </w:r>
          </w:p>
        </w:tc>
        <w:tc>
          <w:tcPr>
            <w:tcW w:w="220" w:type="dxa"/>
            <w:vAlign w:val="bottom"/>
          </w:tcPr>
          <w:p>
            <w:pPr>
              <w:spacing w:after="0"/>
              <w:rPr>
                <w:sz w:val="22"/>
                <w:szCs w:val="22"/>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7,427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(47,362)</w:t>
            </w:r>
          </w:p>
        </w:tc>
        <w:tc>
          <w:tcPr>
            <w:tcW w:w="2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(12,740)</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(62,646)</w:t>
            </w:r>
          </w:p>
        </w:tc>
      </w:tr>
      <w:tr>
        <w:trPr>
          <w:trHeight w:val="257"/>
        </w:trPr>
        <w:tc>
          <w:tcPr>
            <w:tcW w:w="4140" w:type="dxa"/>
            <w:vAlign w:val="bottom"/>
            <w:gridSpan w:val="2"/>
          </w:tcPr>
          <w:p>
            <w:pPr>
              <w:spacing w:after="0"/>
              <w:rPr>
                <w:sz w:val="20"/>
                <w:szCs w:val="20"/>
                <w:color w:val="auto"/>
              </w:rPr>
            </w:pPr>
            <w:r>
              <w:rPr>
                <w:rFonts w:ascii="Arial" w:cs="Arial" w:eastAsia="Arial" w:hAnsi="Arial"/>
                <w:sz w:val="18"/>
                <w:szCs w:val="18"/>
                <w:color w:val="auto"/>
              </w:rPr>
              <w:t>Purchases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19,480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1,590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21,070</w:t>
            </w:r>
          </w:p>
        </w:tc>
      </w:tr>
      <w:tr>
        <w:trPr>
          <w:trHeight w:val="25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Payment-in-kind interest and dividends accrued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2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r>
      <w:tr>
        <w:trPr>
          <w:trHeight w:val="257"/>
        </w:trPr>
        <w:tc>
          <w:tcPr>
            <w:tcW w:w="4140" w:type="dxa"/>
            <w:vAlign w:val="bottom"/>
            <w:gridSpan w:val="2"/>
          </w:tcPr>
          <w:p>
            <w:pPr>
              <w:spacing w:after="0"/>
              <w:rPr>
                <w:sz w:val="20"/>
                <w:szCs w:val="20"/>
                <w:color w:val="auto"/>
              </w:rPr>
            </w:pPr>
            <w:r>
              <w:rPr>
                <w:rFonts w:ascii="Arial" w:cs="Arial" w:eastAsia="Arial" w:hAnsi="Arial"/>
                <w:sz w:val="18"/>
                <w:szCs w:val="18"/>
                <w:color w:val="auto"/>
              </w:rPr>
              <w:t>Accretion of original issue discount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2"/>
                <w:szCs w:val="22"/>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r>
      <w:tr>
        <w:trPr>
          <w:trHeight w:val="257"/>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(15,100)</w:t>
            </w:r>
          </w:p>
        </w:tc>
        <w:tc>
          <w:tcPr>
            <w:tcW w:w="2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(4,782)</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2,544</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(17,338)</w:t>
            </w: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 on</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(13,247)</w:t>
            </w:r>
          </w:p>
        </w:tc>
        <w:tc>
          <w:tcPr>
            <w:tcW w:w="2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(3,186)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(16,026)</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57"/>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$167,418</w:t>
            </w:r>
          </w:p>
        </w:tc>
        <w:tc>
          <w:tcPr>
            <w:tcW w:w="2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$ 39,209</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$67,572</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$274,199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-205105</wp:posOffset>
            </wp:positionV>
            <wp:extent cx="596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-205105</wp:posOffset>
            </wp:positionV>
            <wp:extent cx="29146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-205105</wp:posOffset>
            </wp:positionV>
            <wp:extent cx="3003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-205105</wp:posOffset>
            </wp:positionV>
            <wp:extent cx="33261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2613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-1662430</wp:posOffset>
            </wp:positionV>
            <wp:extent cx="1371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-1662430</wp:posOffset>
            </wp:positionV>
            <wp:extent cx="1371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-1662430</wp:posOffset>
            </wp:positionV>
            <wp:extent cx="325755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2019 (dollars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spacing w:after="0"/>
              <w:rPr>
                <w:sz w:val="14"/>
                <w:szCs w:val="14"/>
                <w:color w:val="auto"/>
              </w:rPr>
            </w:pPr>
          </w:p>
        </w:tc>
      </w:tr>
      <w:tr>
        <w:trPr>
          <w:trHeight w:val="158"/>
        </w:trPr>
        <w:tc>
          <w:tcPr>
            <w:tcW w:w="1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First Lien</w:t>
            </w:r>
          </w:p>
        </w:tc>
        <w:tc>
          <w:tcPr>
            <w:tcW w:w="1100" w:type="dxa"/>
            <w:vAlign w:val="bottom"/>
            <w:gridSpan w:val="5"/>
          </w:tcPr>
          <w:p>
            <w:pPr>
              <w:ind w:left="60"/>
              <w:spacing w:after="0" w:line="158" w:lineRule="exact"/>
              <w:rPr>
                <w:sz w:val="20"/>
                <w:szCs w:val="20"/>
                <w:color w:val="auto"/>
              </w:rPr>
            </w:pPr>
            <w:r>
              <w:rPr>
                <w:rFonts w:ascii="Arial" w:cs="Arial" w:eastAsia="Arial" w:hAnsi="Arial"/>
                <w:sz w:val="14"/>
                <w:szCs w:val="14"/>
                <w:b w:val="1"/>
                <w:bCs w:val="1"/>
                <w:color w:val="auto"/>
              </w:rPr>
              <w:t>Second Lien</w:t>
            </w:r>
          </w:p>
        </w:tc>
        <w:tc>
          <w:tcPr>
            <w:tcW w:w="100" w:type="dxa"/>
            <w:vAlign w:val="bottom"/>
          </w:tcPr>
          <w:p>
            <w:pPr>
              <w:spacing w:after="0"/>
              <w:rPr>
                <w:sz w:val="13"/>
                <w:szCs w:val="13"/>
                <w:color w:val="auto"/>
              </w:rPr>
            </w:pPr>
          </w:p>
        </w:tc>
        <w:tc>
          <w:tcPr>
            <w:tcW w:w="10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96"/>
              </w:rPr>
              <w:t>and</w:t>
            </w:r>
          </w:p>
        </w:tc>
        <w:tc>
          <w:tcPr>
            <w:tcW w:w="800" w:type="dxa"/>
            <w:vAlign w:val="bottom"/>
          </w:tcPr>
          <w:p>
            <w:pPr>
              <w:spacing w:after="0"/>
              <w:rPr>
                <w:sz w:val="13"/>
                <w:szCs w:val="13"/>
                <w:color w:val="auto"/>
              </w:rPr>
            </w:pPr>
          </w:p>
        </w:tc>
      </w:tr>
      <w:tr>
        <w:trPr>
          <w:trHeight w:val="230"/>
        </w:trPr>
        <w:tc>
          <w:tcPr>
            <w:tcW w:w="19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Debt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Debt</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3"/>
          </w:tcPr>
          <w:p>
            <w:pPr>
              <w:jc w:val="center"/>
              <w:spacing w:after="0" w:line="230" w:lineRule="exact"/>
              <w:rPr>
                <w:sz w:val="20"/>
                <w:szCs w:val="20"/>
                <w:color w:val="auto"/>
              </w:rPr>
            </w:pPr>
            <w:r>
              <w:rPr>
                <w:rFonts w:ascii="Arial" w:cs="Arial" w:eastAsia="Arial" w:hAnsi="Arial"/>
                <w:sz w:val="14"/>
                <w:szCs w:val="14"/>
                <w:b w:val="1"/>
                <w:bCs w:val="1"/>
                <w:color w:val="auto"/>
                <w:w w:val="87"/>
              </w:rPr>
              <w:t>Warrants</w:t>
            </w:r>
            <w:r>
              <w:rPr>
                <w:rFonts w:ascii="Arial" w:cs="Arial" w:eastAsia="Arial" w:hAnsi="Arial"/>
                <w:sz w:val="21"/>
                <w:szCs w:val="21"/>
                <w:b w:val="1"/>
                <w:bCs w:val="1"/>
                <w:color w:val="auto"/>
                <w:w w:val="87"/>
                <w:vertAlign w:val="superscript"/>
              </w:rPr>
              <w:t>(1)</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250"/>
        </w:trPr>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$237,570</w:t>
            </w: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105,608</w:t>
            </w: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$ 92,054</w:t>
            </w:r>
          </w:p>
        </w:tc>
        <w:tc>
          <w:tcPr>
            <w:tcW w:w="28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$ 435,232</w:t>
            </w:r>
          </w:p>
        </w:tc>
      </w:tr>
      <w:tr>
        <w:trPr>
          <w:trHeight w:val="257"/>
        </w:trPr>
        <w:tc>
          <w:tcPr>
            <w:tcW w:w="4140" w:type="dxa"/>
            <w:vAlign w:val="bottom"/>
            <w:gridSpan w:val="3"/>
          </w:tcPr>
          <w:p>
            <w:pPr>
              <w:spacing w:after="0"/>
              <w:rPr>
                <w:sz w:val="20"/>
                <w:szCs w:val="20"/>
                <w:color w:val="auto"/>
              </w:rPr>
            </w:pPr>
            <w:r>
              <w:rPr>
                <w:rFonts w:ascii="Arial" w:cs="Arial" w:eastAsia="Arial" w:hAnsi="Arial"/>
                <w:sz w:val="18"/>
                <w:szCs w:val="18"/>
                <w:color w:val="auto"/>
              </w:rPr>
              <w:t>Reclassifications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(2,773)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(5,215)</w:t>
            </w:r>
          </w:p>
        </w:tc>
        <w:tc>
          <w:tcPr>
            <w:tcW w:w="22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7,988</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(65,495)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(27,843)</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(34,784)</w:t>
            </w:r>
          </w:p>
        </w:tc>
        <w:tc>
          <w:tcPr>
            <w:tcW w:w="28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(128,122)</w:t>
            </w:r>
          </w:p>
        </w:tc>
      </w:tr>
      <w:tr>
        <w:trPr>
          <w:trHeight w:val="257"/>
        </w:trPr>
        <w:tc>
          <w:tcPr>
            <w:tcW w:w="4140" w:type="dxa"/>
            <w:vAlign w:val="bottom"/>
            <w:gridSpan w:val="3"/>
          </w:tcPr>
          <w:p>
            <w:pPr>
              <w:spacing w:after="0"/>
              <w:rPr>
                <w:sz w:val="20"/>
                <w:szCs w:val="20"/>
                <w:color w:val="auto"/>
              </w:rPr>
            </w:pPr>
            <w:r>
              <w:rPr>
                <w:rFonts w:ascii="Arial" w:cs="Arial" w:eastAsia="Arial" w:hAnsi="Arial"/>
                <w:sz w:val="18"/>
                <w:szCs w:val="18"/>
                <w:color w:val="auto"/>
              </w:rPr>
              <w:t>Purchases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70,184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4,511</w:t>
            </w:r>
          </w:p>
        </w:tc>
        <w:tc>
          <w:tcPr>
            <w:tcW w:w="22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3,136</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77,831</w:t>
            </w:r>
          </w:p>
        </w:tc>
      </w:tr>
      <w:tr>
        <w:trPr>
          <w:trHeight w:val="256"/>
        </w:trPr>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Payment-in-kind interest and dividends accrued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c>
          <w:tcPr>
            <w:tcW w:w="28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57"/>
        </w:trPr>
        <w:tc>
          <w:tcPr>
            <w:tcW w:w="4140" w:type="dxa"/>
            <w:vAlign w:val="bottom"/>
            <w:gridSpan w:val="3"/>
          </w:tcPr>
          <w:p>
            <w:pPr>
              <w:spacing w:after="0"/>
              <w:rPr>
                <w:sz w:val="20"/>
                <w:szCs w:val="20"/>
                <w:color w:val="auto"/>
              </w:rPr>
            </w:pPr>
            <w:r>
              <w:rPr>
                <w:rFonts w:ascii="Arial" w:cs="Arial" w:eastAsia="Arial" w:hAnsi="Arial"/>
                <w:sz w:val="18"/>
                <w:szCs w:val="18"/>
                <w:color w:val="auto"/>
              </w:rPr>
              <w:t>Accretion of original issue discount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56"/>
        </w:trPr>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(19,859)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(24,699)</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24,802</w:t>
            </w:r>
          </w:p>
        </w:tc>
        <w:tc>
          <w:tcPr>
            <w:tcW w:w="28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(19,756)</w:t>
            </w:r>
          </w:p>
        </w:tc>
      </w:tr>
      <w:tr>
        <w:trPr>
          <w:trHeight w:val="229"/>
        </w:trPr>
        <w:tc>
          <w:tcPr>
            <w:tcW w:w="4140" w:type="dxa"/>
            <w:vAlign w:val="bottom"/>
            <w:gridSpan w:val="3"/>
          </w:tcPr>
          <w:p>
            <w:pPr>
              <w:spacing w:after="0"/>
              <w:rPr>
                <w:sz w:val="20"/>
                <w:szCs w:val="20"/>
                <w:color w:val="auto"/>
              </w:rPr>
            </w:pPr>
            <w:r>
              <w:rPr>
                <w:rFonts w:ascii="Arial" w:cs="Arial" w:eastAsia="Arial" w:hAnsi="Arial"/>
                <w:sz w:val="18"/>
                <w:szCs w:val="18"/>
                <w:color w:val="auto"/>
              </w:rPr>
              <w:t>Net unrealized appreciation (depreciation) on</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7"/>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investments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10,162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(22,587)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(12,654)</w:t>
            </w:r>
          </w:p>
        </w:tc>
      </w:tr>
      <w:tr>
        <w:trPr>
          <w:trHeight w:val="290"/>
        </w:trPr>
        <w:tc>
          <w:tcPr>
            <w:tcW w:w="4040" w:type="dxa"/>
            <w:vAlign w:val="bottom"/>
            <w:gridSpan w:val="2"/>
            <w:shd w:val="clear" w:color="auto" w:fill="CCEEFF"/>
          </w:tcPr>
          <w:p>
            <w:pPr>
              <w:spacing w:after="0" w:line="29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6"/>
                <w:szCs w:val="26"/>
                <w:color w:val="auto"/>
                <w:vertAlign w:val="superscript"/>
              </w:rPr>
              <w:t>(2)</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(9,861)</w:t>
            </w:r>
          </w:p>
        </w:tc>
        <w:tc>
          <w:tcPr>
            <w:tcW w:w="280" w:type="dxa"/>
            <w:vAlign w:val="bottom"/>
            <w:tcBorders>
              <w:right w:val="single" w:sz="8" w:color="CCEEFF"/>
            </w:tcBorders>
            <w:shd w:val="clear" w:color="auto" w:fill="CCEEFF"/>
          </w:tcPr>
          <w:p>
            <w:pPr>
              <w:spacing w:after="0"/>
              <w:rPr>
                <w:sz w:val="24"/>
                <w:szCs w:val="2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r>
      <w:tr>
        <w:trPr>
          <w:trHeight w:val="20"/>
        </w:trPr>
        <w:tc>
          <w:tcPr>
            <w:tcW w:w="19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57"/>
        </w:trPr>
        <w:tc>
          <w:tcPr>
            <w:tcW w:w="4140" w:type="dxa"/>
            <w:vAlign w:val="bottom"/>
            <w:gridSpan w:val="3"/>
          </w:tcPr>
          <w:p>
            <w:pPr>
              <w:spacing w:after="0"/>
              <w:rPr>
                <w:sz w:val="20"/>
                <w:szCs w:val="20"/>
                <w:color w:val="auto"/>
              </w:rPr>
            </w:pPr>
            <w:r>
              <w:rPr>
                <w:rFonts w:ascii="Arial" w:cs="Arial" w:eastAsia="Arial" w:hAnsi="Arial"/>
                <w:sz w:val="18"/>
                <w:szCs w:val="18"/>
                <w:color w:val="auto"/>
              </w:rPr>
              <w:t>Balance as of December 31, 2019</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$231,203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53,857</w:t>
            </w:r>
          </w:p>
        </w:tc>
        <w:tc>
          <w:tcPr>
            <w:tcW w:w="22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$ 61,568</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$ 346,628</w:t>
            </w:r>
          </w:p>
        </w:tc>
      </w:tr>
      <w:tr>
        <w:trPr>
          <w:trHeight w:val="20"/>
        </w:trPr>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-1902460</wp:posOffset>
            </wp:positionV>
            <wp:extent cx="137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-1902460</wp:posOffset>
            </wp:positionV>
            <wp:extent cx="1371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-1902460</wp:posOffset>
            </wp:positionV>
            <wp:extent cx="32658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87" w:lineRule="exact"/>
        <w:rPr>
          <w:sz w:val="20"/>
          <w:szCs w:val="20"/>
          <w:color w:val="auto"/>
        </w:rPr>
      </w:pPr>
    </w:p>
    <w:p>
      <w:pPr>
        <w:ind w:left="1620" w:right="419" w:hanging="360"/>
        <w:spacing w:after="0" w:line="273"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Excludes the Company’s $13.6 million investment in CSLF II, measured at NAV as of December 31, 2019.</w:t>
      </w:r>
    </w:p>
    <w:p>
      <w:pPr>
        <w:spacing w:after="0" w:line="1" w:lineRule="exact"/>
        <w:rPr>
          <w:rFonts w:ascii="Arial" w:cs="Arial" w:eastAsia="Arial" w:hAnsi="Arial"/>
          <w:sz w:val="18"/>
          <w:szCs w:val="18"/>
          <w:color w:val="auto"/>
        </w:rPr>
      </w:pPr>
    </w:p>
    <w:p>
      <w:pPr>
        <w:jc w:val="both"/>
        <w:ind w:left="1620" w:right="419" w:hanging="360"/>
        <w:spacing w:after="0" w:line="255"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Company’s investment in U.S. Well Services, Inc. is traded on the NASDAQ Capital Market under the ticker “USWS”. Because the Company’s investment is now traded in an active market, the Company has reclassified its investment in U.S. Well Services, Inc. from Level 3 to Level 1 of the fair value hierarchy. Transfers between levels, if any, are recognized at the beginning of the period in which transfers occur. The unrealized depreciation on the Company’s investment in U.S. Well Services, Inc. for the year ended December 31, 2019 was $(7.6) million.</w:t>
      </w:r>
    </w:p>
    <w:p>
      <w:pPr>
        <w:spacing w:after="0" w:line="125"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net change in unrealized depreciation on investments held as of December 31, 2020 and 2019, was $(20.1) million and $(13.5) million, respectively, and is included in net unrealized depreciation on investments on the consolidated statements of operations.</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29" w:lineRule="exact"/>
        <w:rPr>
          <w:sz w:val="20"/>
          <w:szCs w:val="20"/>
          <w:color w:val="auto"/>
        </w:rPr>
      </w:pPr>
    </w:p>
    <w:p>
      <w:pPr>
        <w:ind w:left="1260" w:right="760" w:firstLine="360"/>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and (liabilities) as of December 31, 2020 were as follows:</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Fair Value</w:t>
            </w:r>
          </w:p>
        </w:tc>
        <w:tc>
          <w:tcPr>
            <w:tcW w:w="1780" w:type="dxa"/>
            <w:vAlign w:val="bottom"/>
            <w:gridSpan w:val="2"/>
          </w:tcPr>
          <w:p>
            <w:pPr>
              <w:ind w:left="540"/>
              <w:spacing w:after="0"/>
              <w:rPr>
                <w:sz w:val="20"/>
                <w:szCs w:val="20"/>
                <w:color w:val="auto"/>
              </w:rPr>
            </w:pPr>
            <w:r>
              <w:rPr>
                <w:rFonts w:ascii="Arial" w:cs="Arial" w:eastAsia="Arial" w:hAnsi="Arial"/>
                <w:sz w:val="14"/>
                <w:szCs w:val="14"/>
                <w:b w:val="1"/>
                <w:bCs w:val="1"/>
                <w:color w:val="auto"/>
              </w:rPr>
              <w:t>Valuation</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 millions)</w:t>
            </w:r>
          </w:p>
        </w:tc>
        <w:tc>
          <w:tcPr>
            <w:tcW w:w="1780" w:type="dxa"/>
            <w:vAlign w:val="bottom"/>
            <w:gridSpan w:val="2"/>
          </w:tcPr>
          <w:p>
            <w:pPr>
              <w:ind w:left="540"/>
              <w:spacing w:after="0"/>
              <w:rPr>
                <w:sz w:val="20"/>
                <w:szCs w:val="20"/>
                <w:color w:val="auto"/>
              </w:rPr>
            </w:pPr>
            <w:r>
              <w:rPr>
                <w:rFonts w:ascii="Arial" w:cs="Arial" w:eastAsia="Arial" w:hAnsi="Arial"/>
                <w:sz w:val="14"/>
                <w:szCs w:val="14"/>
                <w:b w:val="1"/>
                <w:bCs w:val="1"/>
                <w:color w:val="auto"/>
              </w:rPr>
              <w:t>Approach</w:t>
            </w:r>
          </w:p>
        </w:tc>
        <w:tc>
          <w:tcPr>
            <w:tcW w:w="2020" w:type="dxa"/>
            <w:vAlign w:val="bottom"/>
            <w:gridSpan w:val="2"/>
          </w:tcPr>
          <w:p>
            <w:pPr>
              <w:ind w:left="360"/>
              <w:spacing w:after="0"/>
              <w:rPr>
                <w:sz w:val="20"/>
                <w:szCs w:val="20"/>
                <w:color w:val="auto"/>
              </w:rPr>
            </w:pPr>
            <w:r>
              <w:rPr>
                <w:rFonts w:ascii="Arial" w:cs="Arial" w:eastAsia="Arial" w:hAnsi="Arial"/>
                <w:sz w:val="14"/>
                <w:szCs w:val="14"/>
                <w:b w:val="1"/>
                <w:bCs w:val="1"/>
                <w:color w:val="auto"/>
              </w:rPr>
              <w:t>Unobservable Input</w:t>
            </w:r>
          </w:p>
        </w:tc>
        <w:tc>
          <w:tcPr>
            <w:tcW w:w="340" w:type="dxa"/>
            <w:vAlign w:val="bottom"/>
          </w:tcPr>
          <w:p>
            <w:pPr>
              <w:spacing w:after="0"/>
              <w:rPr>
                <w:sz w:val="16"/>
                <w:szCs w:val="16"/>
                <w:color w:val="auto"/>
              </w:rPr>
            </w:pPr>
          </w:p>
        </w:tc>
        <w:tc>
          <w:tcPr>
            <w:tcW w:w="3280" w:type="dxa"/>
            <w:vAlign w:val="bottom"/>
          </w:tcPr>
          <w:p>
            <w:pPr>
              <w:ind w:left="68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26"/>
        </w:trPr>
        <w:tc>
          <w:tcPr>
            <w:tcW w:w="1480" w:type="dxa"/>
            <w:vAlign w:val="bottom"/>
            <w:vMerge w:val="restart"/>
          </w:tcPr>
          <w:p>
            <w:pPr>
              <w:spacing w:after="0"/>
              <w:rPr>
                <w:sz w:val="20"/>
                <w:szCs w:val="20"/>
                <w:color w:val="auto"/>
              </w:rPr>
            </w:pPr>
            <w:r>
              <w:rPr>
                <w:rFonts w:ascii="Arial" w:cs="Arial" w:eastAsia="Arial" w:hAnsi="Arial"/>
                <w:sz w:val="18"/>
                <w:szCs w:val="18"/>
                <w:color w:val="auto"/>
              </w:rPr>
              <w:t>First lien debt</w:t>
            </w:r>
          </w:p>
        </w:tc>
        <w:tc>
          <w:tcPr>
            <w:tcW w:w="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80" w:type="dxa"/>
            <w:vAlign w:val="bottom"/>
            <w:vMerge w:val="continue"/>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94"/>
              </w:rPr>
              <w:t>$139.1</w:t>
            </w:r>
          </w:p>
        </w:tc>
        <w:tc>
          <w:tcPr>
            <w:tcW w:w="100" w:type="dxa"/>
            <w:vAlign w:val="bottom"/>
            <w:vMerge w:val="continue"/>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Income</w:t>
            </w:r>
          </w:p>
        </w:tc>
        <w:tc>
          <w:tcPr>
            <w:tcW w:w="100" w:type="dxa"/>
            <w:vAlign w:val="bottom"/>
            <w:vMerge w:val="continue"/>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w w:val="96"/>
              </w:rPr>
              <w:t>Required Rate of Return</w:t>
            </w:r>
          </w:p>
        </w:tc>
        <w:tc>
          <w:tcPr>
            <w:tcW w:w="120" w:type="dxa"/>
            <w:vAlign w:val="bottom"/>
            <w:vMerge w:val="continue"/>
          </w:tcPr>
          <w:p>
            <w:pPr>
              <w:spacing w:after="0"/>
              <w:rPr>
                <w:sz w:val="16"/>
                <w:szCs w:val="16"/>
                <w:color w:val="auto"/>
              </w:rPr>
            </w:pPr>
          </w:p>
        </w:tc>
        <w:tc>
          <w:tcPr>
            <w:tcW w:w="3620" w:type="dxa"/>
            <w:vAlign w:val="bottom"/>
            <w:gridSpan w:val="2"/>
          </w:tcPr>
          <w:p>
            <w:pPr>
              <w:spacing w:after="0" w:line="195" w:lineRule="exact"/>
              <w:rPr>
                <w:sz w:val="20"/>
                <w:szCs w:val="20"/>
                <w:color w:val="auto"/>
              </w:rPr>
            </w:pPr>
            <w:r>
              <w:rPr>
                <w:rFonts w:ascii="Arial" w:cs="Arial" w:eastAsia="Arial" w:hAnsi="Arial"/>
                <w:sz w:val="18"/>
                <w:szCs w:val="18"/>
                <w:color w:val="auto"/>
              </w:rPr>
              <w:t>6.9% – 15.0% (10.5%)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340" w:type="dxa"/>
            <w:vAlign w:val="bottom"/>
          </w:tcPr>
          <w:p>
            <w:pPr>
              <w:spacing w:after="0"/>
              <w:rPr>
                <w:sz w:val="20"/>
                <w:szCs w:val="20"/>
                <w:color w:val="auto"/>
              </w:rPr>
            </w:pPr>
            <w:r>
              <w:rPr>
                <w:rFonts w:ascii="Arial" w:cs="Arial" w:eastAsia="Arial" w:hAnsi="Arial"/>
                <w:sz w:val="18"/>
                <w:szCs w:val="18"/>
                <w:color w:val="auto"/>
                <w:w w:val="93"/>
              </w:rPr>
              <w:t>0.9x</w:t>
            </w:r>
          </w:p>
        </w:tc>
        <w:tc>
          <w:tcPr>
            <w:tcW w:w="3280" w:type="dxa"/>
            <w:vAlign w:val="bottom"/>
          </w:tcPr>
          <w:p>
            <w:pPr>
              <w:ind w:left="20"/>
              <w:spacing w:after="0"/>
              <w:rPr>
                <w:sz w:val="20"/>
                <w:szCs w:val="20"/>
                <w:color w:val="auto"/>
              </w:rPr>
            </w:pPr>
            <w:r>
              <w:rPr>
                <w:rFonts w:ascii="Arial" w:cs="Arial" w:eastAsia="Arial" w:hAnsi="Arial"/>
                <w:sz w:val="18"/>
                <w:szCs w:val="18"/>
                <w:color w:val="auto"/>
              </w:rPr>
              <w:t>– 3.5x (2.0x)</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620" w:type="dxa"/>
            <w:vAlign w:val="bottom"/>
            <w:gridSpan w:val="2"/>
          </w:tcPr>
          <w:p>
            <w:pPr>
              <w:spacing w:after="0"/>
              <w:rPr>
                <w:sz w:val="20"/>
                <w:szCs w:val="20"/>
                <w:color w:val="auto"/>
              </w:rPr>
            </w:pPr>
            <w:r>
              <w:rPr>
                <w:rFonts w:ascii="Arial" w:cs="Arial" w:eastAsia="Arial" w:hAnsi="Arial"/>
                <w:sz w:val="18"/>
                <w:szCs w:val="18"/>
                <w:color w:val="auto"/>
              </w:rPr>
              <w:t>($1.6) million – $51.7 million ($13.1 million)</w:t>
            </w:r>
          </w:p>
        </w:tc>
        <w:tc>
          <w:tcPr>
            <w:tcW w:w="0" w:type="dxa"/>
            <w:vAlign w:val="bottom"/>
          </w:tcPr>
          <w:p>
            <w:pPr>
              <w:spacing w:after="0"/>
              <w:rPr>
                <w:sz w:val="1"/>
                <w:szCs w:val="1"/>
                <w:color w:val="auto"/>
              </w:rPr>
            </w:pPr>
          </w:p>
        </w:tc>
      </w:tr>
      <w:tr>
        <w:trPr>
          <w:trHeight w:val="179"/>
        </w:trPr>
        <w:tc>
          <w:tcPr>
            <w:tcW w:w="1480" w:type="dxa"/>
            <w:vAlign w:val="bottom"/>
          </w:tcPr>
          <w:p>
            <w:pPr>
              <w:spacing w:after="0" w:line="179" w:lineRule="exact"/>
              <w:rPr>
                <w:sz w:val="20"/>
                <w:szCs w:val="20"/>
                <w:color w:val="auto"/>
              </w:rPr>
            </w:pPr>
            <w:r>
              <w:rPr>
                <w:rFonts w:ascii="Arial" w:cs="Arial" w:eastAsia="Arial" w:hAnsi="Arial"/>
                <w:sz w:val="18"/>
                <w:szCs w:val="18"/>
                <w:color w:val="auto"/>
              </w:rPr>
              <w:t>First lien debt</w:t>
            </w:r>
          </w:p>
        </w:tc>
        <w:tc>
          <w:tcPr>
            <w:tcW w:w="720" w:type="dxa"/>
            <w:vAlign w:val="bottom"/>
          </w:tcPr>
          <w:p>
            <w:pPr>
              <w:jc w:val="center"/>
              <w:spacing w:after="0" w:line="179" w:lineRule="exact"/>
              <w:rPr>
                <w:sz w:val="20"/>
                <w:szCs w:val="20"/>
                <w:color w:val="auto"/>
              </w:rPr>
            </w:pPr>
            <w:r>
              <w:rPr>
                <w:rFonts w:ascii="Arial" w:cs="Arial" w:eastAsia="Arial" w:hAnsi="Arial"/>
                <w:sz w:val="18"/>
                <w:szCs w:val="18"/>
                <w:color w:val="auto"/>
                <w:w w:val="93"/>
              </w:rPr>
              <w:t>$28.3</w:t>
            </w:r>
          </w:p>
        </w:tc>
        <w:tc>
          <w:tcPr>
            <w:tcW w:w="100" w:type="dxa"/>
            <w:vAlign w:val="bottom"/>
          </w:tcPr>
          <w:p>
            <w:pPr>
              <w:spacing w:after="0"/>
              <w:rPr>
                <w:sz w:val="15"/>
                <w:szCs w:val="15"/>
                <w:color w:val="auto"/>
              </w:rPr>
            </w:pPr>
          </w:p>
        </w:tc>
        <w:tc>
          <w:tcPr>
            <w:tcW w:w="1780" w:type="dxa"/>
            <w:vAlign w:val="bottom"/>
            <w:gridSpan w:val="2"/>
          </w:tcPr>
          <w:p>
            <w:pPr>
              <w:spacing w:after="0" w:line="179" w:lineRule="exact"/>
              <w:rPr>
                <w:sz w:val="20"/>
                <w:szCs w:val="20"/>
                <w:color w:val="auto"/>
              </w:rPr>
            </w:pPr>
            <w:r>
              <w:rPr>
                <w:rFonts w:ascii="Arial" w:cs="Arial" w:eastAsia="Arial" w:hAnsi="Arial"/>
                <w:sz w:val="18"/>
                <w:szCs w:val="18"/>
                <w:color w:val="auto"/>
              </w:rPr>
              <w:t>Enterprise Value</w:t>
            </w:r>
          </w:p>
        </w:tc>
        <w:tc>
          <w:tcPr>
            <w:tcW w:w="2020" w:type="dxa"/>
            <w:vAlign w:val="bottom"/>
            <w:gridSpan w:val="2"/>
          </w:tcPr>
          <w:p>
            <w:pPr>
              <w:spacing w:after="0" w:line="179"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179" w:lineRule="exact"/>
              <w:rPr>
                <w:sz w:val="20"/>
                <w:szCs w:val="20"/>
                <w:color w:val="auto"/>
              </w:rPr>
            </w:pPr>
            <w:r>
              <w:rPr>
                <w:rFonts w:ascii="Arial" w:cs="Arial" w:eastAsia="Arial" w:hAnsi="Arial"/>
                <w:sz w:val="18"/>
                <w:szCs w:val="18"/>
                <w:color w:val="auto"/>
                <w:w w:val="93"/>
              </w:rPr>
              <w:t>4.0x</w:t>
            </w:r>
          </w:p>
        </w:tc>
        <w:tc>
          <w:tcPr>
            <w:tcW w:w="3280" w:type="dxa"/>
            <w:vAlign w:val="bottom"/>
          </w:tcPr>
          <w:p>
            <w:pPr>
              <w:ind w:left="20"/>
              <w:spacing w:after="0" w:line="179" w:lineRule="exact"/>
              <w:rPr>
                <w:sz w:val="20"/>
                <w:szCs w:val="20"/>
                <w:color w:val="auto"/>
              </w:rPr>
            </w:pPr>
            <w:r>
              <w:rPr>
                <w:rFonts w:ascii="Arial" w:cs="Arial" w:eastAsia="Arial" w:hAnsi="Arial"/>
                <w:sz w:val="18"/>
                <w:szCs w:val="18"/>
                <w:color w:val="auto"/>
              </w:rPr>
              <w:t>– 4.0x (4.0x)</w:t>
            </w:r>
          </w:p>
        </w:tc>
        <w:tc>
          <w:tcPr>
            <w:tcW w:w="0" w:type="dxa"/>
            <w:vAlign w:val="bottom"/>
          </w:tcPr>
          <w:p>
            <w:pPr>
              <w:spacing w:after="0"/>
              <w:rPr>
                <w:sz w:val="1"/>
                <w:szCs w:val="1"/>
                <w:color w:val="auto"/>
              </w:rPr>
            </w:pPr>
          </w:p>
        </w:tc>
      </w:tr>
      <w:tr>
        <w:trPr>
          <w:trHeight w:val="307"/>
        </w:trPr>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9"/>
              </w:rPr>
              <w:t>Waterfall and Asset</w:t>
            </w:r>
            <w:r>
              <w:rPr>
                <w:rFonts w:ascii="Arial" w:cs="Arial" w:eastAsia="Arial" w:hAnsi="Arial"/>
                <w:sz w:val="26"/>
                <w:szCs w:val="26"/>
                <w:color w:val="auto"/>
                <w:w w:val="99"/>
                <w:vertAlign w:val="superscript"/>
              </w:rPr>
              <w:t>(1)</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620" w:type="dxa"/>
            <w:vAlign w:val="bottom"/>
            <w:gridSpan w:val="2"/>
          </w:tcPr>
          <w:p>
            <w:pPr>
              <w:spacing w:after="0"/>
              <w:rPr>
                <w:sz w:val="20"/>
                <w:szCs w:val="20"/>
                <w:color w:val="auto"/>
              </w:rPr>
            </w:pPr>
            <w:r>
              <w:rPr>
                <w:rFonts w:ascii="Arial" w:cs="Arial" w:eastAsia="Arial" w:hAnsi="Arial"/>
                <w:sz w:val="18"/>
                <w:szCs w:val="18"/>
                <w:color w:val="auto"/>
              </w:rPr>
              <w:t>$19.8 million – $19.8 million ($19.8 million)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0.2x</w:t>
            </w:r>
          </w:p>
        </w:tc>
        <w:tc>
          <w:tcPr>
            <w:tcW w:w="3280" w:type="dxa"/>
            <w:vAlign w:val="bottom"/>
          </w:tcPr>
          <w:p>
            <w:pPr>
              <w:ind w:left="20"/>
              <w:spacing w:after="0"/>
              <w:rPr>
                <w:sz w:val="20"/>
                <w:szCs w:val="20"/>
                <w:color w:val="auto"/>
              </w:rPr>
            </w:pPr>
            <w:r>
              <w:rPr>
                <w:rFonts w:ascii="Arial" w:cs="Arial" w:eastAsia="Arial" w:hAnsi="Arial"/>
                <w:sz w:val="18"/>
                <w:szCs w:val="18"/>
                <w:color w:val="auto"/>
              </w:rPr>
              <w:t>– 4.8x (2.0x)</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Income and Asset</w:t>
            </w:r>
            <w:r>
              <w:rPr>
                <w:rFonts w:ascii="Arial" w:cs="Arial" w:eastAsia="Arial" w:hAnsi="Arial"/>
                <w:sz w:val="26"/>
                <w:szCs w:val="26"/>
                <w:color w:val="auto"/>
                <w:vertAlign w:val="superscript"/>
              </w:rPr>
              <w:t>(1)</w:t>
            </w:r>
          </w:p>
        </w:tc>
        <w:tc>
          <w:tcPr>
            <w:tcW w:w="20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620" w:type="dxa"/>
            <w:vAlign w:val="bottom"/>
            <w:gridSpan w:val="2"/>
          </w:tcPr>
          <w:p>
            <w:pPr>
              <w:spacing w:after="0"/>
              <w:rPr>
                <w:sz w:val="20"/>
                <w:szCs w:val="20"/>
                <w:color w:val="auto"/>
              </w:rPr>
            </w:pPr>
            <w:r>
              <w:rPr>
                <w:rFonts w:ascii="Arial" w:cs="Arial" w:eastAsia="Arial" w:hAnsi="Arial"/>
                <w:sz w:val="18"/>
                <w:szCs w:val="18"/>
                <w:color w:val="auto"/>
              </w:rPr>
              <w:t>$8.4 million – $67.4 million ($27.3 million)</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Second lien debt</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$39.2</w:t>
            </w:r>
          </w:p>
        </w:tc>
        <w:tc>
          <w:tcPr>
            <w:tcW w:w="10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Required Rate of Return</w:t>
            </w:r>
          </w:p>
        </w:tc>
        <w:tc>
          <w:tcPr>
            <w:tcW w:w="3620" w:type="dxa"/>
            <w:vAlign w:val="bottom"/>
            <w:gridSpan w:val="2"/>
          </w:tcPr>
          <w:p>
            <w:pPr>
              <w:spacing w:after="0"/>
              <w:rPr>
                <w:sz w:val="20"/>
                <w:szCs w:val="20"/>
                <w:color w:val="auto"/>
              </w:rPr>
            </w:pPr>
            <w:r>
              <w:rPr>
                <w:rFonts w:ascii="Arial" w:cs="Arial" w:eastAsia="Arial" w:hAnsi="Arial"/>
                <w:sz w:val="18"/>
                <w:szCs w:val="18"/>
                <w:color w:val="auto"/>
              </w:rPr>
              <w:t>6.0% – 13.5% (12.0%)</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340" w:type="dxa"/>
            <w:vAlign w:val="bottom"/>
          </w:tcPr>
          <w:p>
            <w:pPr>
              <w:spacing w:after="0"/>
              <w:rPr>
                <w:sz w:val="20"/>
                <w:szCs w:val="20"/>
                <w:color w:val="auto"/>
              </w:rPr>
            </w:pPr>
            <w:r>
              <w:rPr>
                <w:rFonts w:ascii="Arial" w:cs="Arial" w:eastAsia="Arial" w:hAnsi="Arial"/>
                <w:sz w:val="18"/>
                <w:szCs w:val="18"/>
                <w:color w:val="auto"/>
                <w:w w:val="93"/>
              </w:rPr>
              <w:t>0.9x</w:t>
            </w:r>
          </w:p>
        </w:tc>
        <w:tc>
          <w:tcPr>
            <w:tcW w:w="3280" w:type="dxa"/>
            <w:vAlign w:val="bottom"/>
          </w:tcPr>
          <w:p>
            <w:pPr>
              <w:ind w:left="20"/>
              <w:spacing w:after="0"/>
              <w:rPr>
                <w:sz w:val="20"/>
                <w:szCs w:val="20"/>
                <w:color w:val="auto"/>
              </w:rPr>
            </w:pPr>
            <w:r>
              <w:rPr>
                <w:rFonts w:ascii="Arial" w:cs="Arial" w:eastAsia="Arial" w:hAnsi="Arial"/>
                <w:sz w:val="18"/>
                <w:szCs w:val="18"/>
                <w:color w:val="auto"/>
              </w:rPr>
              <w:t>– 4.2x (3.7x)</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620" w:type="dxa"/>
            <w:vAlign w:val="bottom"/>
            <w:gridSpan w:val="2"/>
          </w:tcPr>
          <w:p>
            <w:pPr>
              <w:spacing w:after="0"/>
              <w:rPr>
                <w:sz w:val="20"/>
                <w:szCs w:val="20"/>
                <w:color w:val="auto"/>
              </w:rPr>
            </w:pPr>
            <w:r>
              <w:rPr>
                <w:rFonts w:ascii="Arial" w:cs="Arial" w:eastAsia="Arial" w:hAnsi="Arial"/>
                <w:sz w:val="18"/>
                <w:szCs w:val="18"/>
                <w:color w:val="auto"/>
              </w:rPr>
              <w:t>$1.7 million – $185.3 million ($26.5 million)</w:t>
            </w:r>
          </w:p>
        </w:tc>
        <w:tc>
          <w:tcPr>
            <w:tcW w:w="0" w:type="dxa"/>
            <w:vAlign w:val="bottom"/>
          </w:tcPr>
          <w:p>
            <w:pPr>
              <w:spacing w:after="0"/>
              <w:rPr>
                <w:sz w:val="1"/>
                <w:szCs w:val="1"/>
                <w:color w:val="auto"/>
              </w:rPr>
            </w:pPr>
          </w:p>
        </w:tc>
      </w:tr>
      <w:tr>
        <w:trPr>
          <w:trHeight w:val="179"/>
        </w:trPr>
        <w:tc>
          <w:tcPr>
            <w:tcW w:w="1480" w:type="dxa"/>
            <w:vAlign w:val="bottom"/>
          </w:tcPr>
          <w:p>
            <w:pPr>
              <w:spacing w:after="0" w:line="179" w:lineRule="exact"/>
              <w:rPr>
                <w:sz w:val="20"/>
                <w:szCs w:val="20"/>
                <w:color w:val="auto"/>
              </w:rPr>
            </w:pPr>
            <w:r>
              <w:rPr>
                <w:rFonts w:ascii="Arial" w:cs="Arial" w:eastAsia="Arial" w:hAnsi="Arial"/>
                <w:sz w:val="18"/>
                <w:szCs w:val="18"/>
                <w:color w:val="auto"/>
              </w:rPr>
              <w:t>Equity and</w:t>
            </w:r>
          </w:p>
        </w:tc>
        <w:tc>
          <w:tcPr>
            <w:tcW w:w="720" w:type="dxa"/>
            <w:vAlign w:val="bottom"/>
          </w:tcPr>
          <w:p>
            <w:pPr>
              <w:jc w:val="center"/>
              <w:spacing w:after="0" w:line="179" w:lineRule="exact"/>
              <w:rPr>
                <w:sz w:val="20"/>
                <w:szCs w:val="20"/>
                <w:color w:val="auto"/>
              </w:rPr>
            </w:pPr>
            <w:r>
              <w:rPr>
                <w:rFonts w:ascii="Arial" w:cs="Arial" w:eastAsia="Arial" w:hAnsi="Arial"/>
                <w:sz w:val="18"/>
                <w:szCs w:val="18"/>
                <w:color w:val="auto"/>
                <w:w w:val="93"/>
              </w:rPr>
              <w:t>$67.6</w:t>
            </w:r>
          </w:p>
        </w:tc>
        <w:tc>
          <w:tcPr>
            <w:tcW w:w="100" w:type="dxa"/>
            <w:vAlign w:val="bottom"/>
          </w:tcPr>
          <w:p>
            <w:pPr>
              <w:spacing w:after="0"/>
              <w:rPr>
                <w:sz w:val="15"/>
                <w:szCs w:val="15"/>
                <w:color w:val="auto"/>
              </w:rPr>
            </w:pPr>
          </w:p>
        </w:tc>
        <w:tc>
          <w:tcPr>
            <w:tcW w:w="1780" w:type="dxa"/>
            <w:vAlign w:val="bottom"/>
            <w:gridSpan w:val="2"/>
          </w:tcPr>
          <w:p>
            <w:pPr>
              <w:spacing w:after="0" w:line="179" w:lineRule="exact"/>
              <w:rPr>
                <w:sz w:val="20"/>
                <w:szCs w:val="20"/>
                <w:color w:val="auto"/>
              </w:rPr>
            </w:pPr>
            <w:r>
              <w:rPr>
                <w:rFonts w:ascii="Arial" w:cs="Arial" w:eastAsia="Arial" w:hAnsi="Arial"/>
                <w:sz w:val="18"/>
                <w:szCs w:val="18"/>
                <w:color w:val="auto"/>
              </w:rPr>
              <w:t>Enterprise Value</w:t>
            </w:r>
          </w:p>
        </w:tc>
        <w:tc>
          <w:tcPr>
            <w:tcW w:w="2020" w:type="dxa"/>
            <w:vAlign w:val="bottom"/>
            <w:gridSpan w:val="2"/>
          </w:tcPr>
          <w:p>
            <w:pPr>
              <w:spacing w:after="0" w:line="179"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179" w:lineRule="exact"/>
              <w:rPr>
                <w:sz w:val="20"/>
                <w:szCs w:val="20"/>
                <w:color w:val="auto"/>
              </w:rPr>
            </w:pPr>
            <w:r>
              <w:rPr>
                <w:rFonts w:ascii="Arial" w:cs="Arial" w:eastAsia="Arial" w:hAnsi="Arial"/>
                <w:sz w:val="18"/>
                <w:szCs w:val="18"/>
                <w:color w:val="auto"/>
                <w:w w:val="93"/>
              </w:rPr>
              <w:t>6.0x</w:t>
            </w:r>
          </w:p>
        </w:tc>
        <w:tc>
          <w:tcPr>
            <w:tcW w:w="3280" w:type="dxa"/>
            <w:vAlign w:val="bottom"/>
          </w:tcPr>
          <w:p>
            <w:pPr>
              <w:ind w:left="20"/>
              <w:spacing w:after="0" w:line="179" w:lineRule="exact"/>
              <w:rPr>
                <w:sz w:val="20"/>
                <w:szCs w:val="20"/>
                <w:color w:val="auto"/>
              </w:rPr>
            </w:pPr>
            <w:r>
              <w:rPr>
                <w:rFonts w:ascii="Arial" w:cs="Arial" w:eastAsia="Arial" w:hAnsi="Arial"/>
                <w:sz w:val="18"/>
                <w:szCs w:val="18"/>
                <w:color w:val="auto"/>
              </w:rPr>
              <w:t>– 21.0x (9.5x)</w:t>
            </w:r>
          </w:p>
        </w:tc>
        <w:tc>
          <w:tcPr>
            <w:tcW w:w="0" w:type="dxa"/>
            <w:vAlign w:val="bottom"/>
          </w:tcPr>
          <w:p>
            <w:pPr>
              <w:spacing w:after="0"/>
              <w:rPr>
                <w:sz w:val="1"/>
                <w:szCs w:val="1"/>
                <w:color w:val="auto"/>
              </w:rPr>
            </w:pPr>
          </w:p>
        </w:tc>
      </w:tr>
      <w:tr>
        <w:trPr>
          <w:trHeight w:val="253"/>
        </w:trPr>
        <w:tc>
          <w:tcPr>
            <w:tcW w:w="14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spacing w:after="0" w:line="253" w:lineRule="exact"/>
              <w:rPr>
                <w:sz w:val="20"/>
                <w:szCs w:val="20"/>
                <w:color w:val="auto"/>
              </w:rPr>
            </w:pPr>
            <w:r>
              <w:rPr>
                <w:rFonts w:ascii="Arial" w:cs="Arial" w:eastAsia="Arial" w:hAnsi="Arial"/>
                <w:sz w:val="18"/>
                <w:szCs w:val="18"/>
                <w:color w:val="auto"/>
                <w:w w:val="99"/>
              </w:rPr>
              <w:t>Waterfall and Asset</w:t>
            </w:r>
            <w:r>
              <w:rPr>
                <w:rFonts w:ascii="Arial" w:cs="Arial" w:eastAsia="Arial" w:hAnsi="Arial"/>
                <w:sz w:val="26"/>
                <w:szCs w:val="26"/>
                <w:color w:val="auto"/>
                <w:w w:val="99"/>
                <w:vertAlign w:val="superscript"/>
              </w:rPr>
              <w:t>(1)</w:t>
            </w:r>
          </w:p>
        </w:tc>
        <w:tc>
          <w:tcPr>
            <w:tcW w:w="20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620" w:type="dxa"/>
            <w:vAlign w:val="bottom"/>
            <w:gridSpan w:val="2"/>
          </w:tcPr>
          <w:p>
            <w:pPr>
              <w:spacing w:after="0"/>
              <w:rPr>
                <w:sz w:val="20"/>
                <w:szCs w:val="20"/>
                <w:color w:val="auto"/>
              </w:rPr>
            </w:pPr>
            <w:r>
              <w:rPr>
                <w:rFonts w:ascii="Arial" w:cs="Arial" w:eastAsia="Arial" w:hAnsi="Arial"/>
                <w:sz w:val="18"/>
                <w:szCs w:val="18"/>
                <w:color w:val="auto"/>
              </w:rPr>
              <w:t>$1.7 million – $22.4 million ($16.5 million)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0.2x</w:t>
            </w:r>
          </w:p>
        </w:tc>
        <w:tc>
          <w:tcPr>
            <w:tcW w:w="3280" w:type="dxa"/>
            <w:vAlign w:val="bottom"/>
          </w:tcPr>
          <w:p>
            <w:pPr>
              <w:ind w:left="20"/>
              <w:spacing w:after="0"/>
              <w:rPr>
                <w:sz w:val="20"/>
                <w:szCs w:val="20"/>
                <w:color w:val="auto"/>
              </w:rPr>
            </w:pPr>
            <w:r>
              <w:rPr>
                <w:rFonts w:ascii="Arial" w:cs="Arial" w:eastAsia="Arial" w:hAnsi="Arial"/>
                <w:sz w:val="18"/>
                <w:szCs w:val="18"/>
                <w:color w:val="auto"/>
              </w:rPr>
              <w:t>– 1.3x (0.8x)</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620" w:type="dxa"/>
            <w:vAlign w:val="bottom"/>
            <w:gridSpan w:val="2"/>
          </w:tcPr>
          <w:p>
            <w:pPr>
              <w:spacing w:after="0"/>
              <w:rPr>
                <w:sz w:val="20"/>
                <w:szCs w:val="20"/>
                <w:color w:val="auto"/>
              </w:rPr>
            </w:pPr>
            <w:r>
              <w:rPr>
                <w:rFonts w:ascii="Arial" w:cs="Arial" w:eastAsia="Arial" w:hAnsi="Arial"/>
                <w:sz w:val="18"/>
                <w:szCs w:val="18"/>
                <w:color w:val="auto"/>
                <w:w w:val="98"/>
              </w:rPr>
              <w:t>$11.1 million – $1,377.1 million ($61.6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123444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760" w:hanging="360"/>
        <w:spacing w:after="0" w:line="277" w:lineRule="auto"/>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$4.8 million in first lien debt, $0.9 million in second lien debt, and $4.4 million in equity and warrants were valued using the asset approach.</w:t>
      </w:r>
    </w:p>
    <w:p>
      <w:pPr>
        <w:spacing w:after="0" w:line="89" w:lineRule="exact"/>
        <w:rPr>
          <w:sz w:val="20"/>
          <w:szCs w:val="20"/>
          <w:color w:val="auto"/>
        </w:rPr>
      </w:pPr>
    </w:p>
    <w:p>
      <w:pPr>
        <w:ind w:left="1260" w:right="760" w:firstLine="360"/>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2019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4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Fair Value</w:t>
            </w:r>
            <w:r>
              <w:rPr>
                <w:rFonts w:ascii="Arial" w:cs="Arial" w:eastAsia="Arial" w:hAnsi="Arial"/>
                <w:sz w:val="21"/>
                <w:szCs w:val="21"/>
                <w:b w:val="1"/>
                <w:bCs w:val="1"/>
                <w:color w:val="auto"/>
                <w:w w:val="85"/>
                <w:vertAlign w:val="superscript"/>
              </w:rPr>
              <w:t>(2)</w:t>
            </w:r>
          </w:p>
        </w:tc>
        <w:tc>
          <w:tcPr>
            <w:tcW w:w="1780" w:type="dxa"/>
            <w:vAlign w:val="bottom"/>
            <w:gridSpan w:val="2"/>
          </w:tcPr>
          <w:p>
            <w:pPr>
              <w:ind w:left="540"/>
              <w:spacing w:after="0"/>
              <w:rPr>
                <w:sz w:val="20"/>
                <w:szCs w:val="20"/>
                <w:color w:val="auto"/>
              </w:rPr>
            </w:pPr>
            <w:r>
              <w:rPr>
                <w:rFonts w:ascii="Arial" w:cs="Arial" w:eastAsia="Arial" w:hAnsi="Arial"/>
                <w:sz w:val="14"/>
                <w:szCs w:val="14"/>
                <w:b w:val="1"/>
                <w:bCs w:val="1"/>
                <w:color w:val="auto"/>
              </w:rPr>
              <w:t>Valuation</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Approach</w:t>
            </w:r>
          </w:p>
        </w:tc>
        <w:tc>
          <w:tcPr>
            <w:tcW w:w="120" w:type="dxa"/>
            <w:vAlign w:val="bottom"/>
          </w:tcPr>
          <w:p>
            <w:pPr>
              <w:spacing w:after="0"/>
              <w:rPr>
                <w:sz w:val="16"/>
                <w:szCs w:val="16"/>
                <w:color w:val="auto"/>
              </w:rPr>
            </w:pPr>
          </w:p>
        </w:tc>
        <w:tc>
          <w:tcPr>
            <w:tcW w:w="18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Unobservable Input</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Arial" w:cs="Arial" w:eastAsia="Arial" w:hAnsi="Arial"/>
                <w:sz w:val="18"/>
                <w:szCs w:val="18"/>
                <w:color w:val="auto"/>
              </w:rPr>
              <w:t>First lien debt</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$211.2</w:t>
            </w:r>
          </w:p>
        </w:tc>
        <w:tc>
          <w:tcPr>
            <w:tcW w:w="100" w:type="dxa"/>
            <w:vAlign w:val="bottom"/>
          </w:tcPr>
          <w:p>
            <w:pPr>
              <w:spacing w:after="0"/>
              <w:rPr>
                <w:sz w:val="22"/>
                <w:szCs w:val="22"/>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Income</w:t>
            </w:r>
          </w:p>
        </w:tc>
        <w:tc>
          <w:tcPr>
            <w:tcW w:w="2000" w:type="dxa"/>
            <w:vAlign w:val="bottom"/>
            <w:gridSpan w:val="2"/>
          </w:tcPr>
          <w:p>
            <w:pPr>
              <w:spacing w:after="0"/>
              <w:rPr>
                <w:sz w:val="20"/>
                <w:szCs w:val="20"/>
                <w:color w:val="auto"/>
              </w:rPr>
            </w:pPr>
            <w:r>
              <w:rPr>
                <w:rFonts w:ascii="Arial" w:cs="Arial" w:eastAsia="Arial" w:hAnsi="Arial"/>
                <w:sz w:val="18"/>
                <w:szCs w:val="18"/>
                <w:color w:val="auto"/>
              </w:rPr>
              <w:t>Required Rate of Return</w:t>
            </w:r>
          </w:p>
        </w:tc>
        <w:tc>
          <w:tcPr>
            <w:tcW w:w="3580" w:type="dxa"/>
            <w:vAlign w:val="bottom"/>
            <w:gridSpan w:val="2"/>
          </w:tcPr>
          <w:p>
            <w:pPr>
              <w:spacing w:after="0"/>
              <w:rPr>
                <w:sz w:val="20"/>
                <w:szCs w:val="20"/>
                <w:color w:val="auto"/>
              </w:rPr>
            </w:pPr>
            <w:r>
              <w:rPr>
                <w:rFonts w:ascii="Arial" w:cs="Arial" w:eastAsia="Arial" w:hAnsi="Arial"/>
                <w:sz w:val="18"/>
                <w:szCs w:val="18"/>
                <w:color w:val="auto"/>
              </w:rPr>
              <w:t>7.0% – 20.0% (12.0%)</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340" w:type="dxa"/>
            <w:vAlign w:val="bottom"/>
          </w:tcPr>
          <w:p>
            <w:pPr>
              <w:spacing w:after="0"/>
              <w:rPr>
                <w:sz w:val="20"/>
                <w:szCs w:val="20"/>
                <w:color w:val="auto"/>
              </w:rPr>
            </w:pPr>
            <w:r>
              <w:rPr>
                <w:rFonts w:ascii="Arial" w:cs="Arial" w:eastAsia="Arial" w:hAnsi="Arial"/>
                <w:sz w:val="18"/>
                <w:szCs w:val="18"/>
                <w:color w:val="auto"/>
                <w:w w:val="93"/>
              </w:rPr>
              <w:t>1.5x</w:t>
            </w:r>
          </w:p>
        </w:tc>
        <w:tc>
          <w:tcPr>
            <w:tcW w:w="3240" w:type="dxa"/>
            <w:vAlign w:val="bottom"/>
          </w:tcPr>
          <w:p>
            <w:pPr>
              <w:ind w:left="20"/>
              <w:spacing w:after="0"/>
              <w:rPr>
                <w:sz w:val="20"/>
                <w:szCs w:val="20"/>
                <w:color w:val="auto"/>
              </w:rPr>
            </w:pPr>
            <w:r>
              <w:rPr>
                <w:rFonts w:ascii="Arial" w:cs="Arial" w:eastAsia="Arial" w:hAnsi="Arial"/>
                <w:sz w:val="18"/>
                <w:szCs w:val="18"/>
                <w:color w:val="auto"/>
              </w:rPr>
              <w:t>– 7.9x (3.8x)</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spacing w:after="0" w:line="202" w:lineRule="exact"/>
              <w:rPr>
                <w:sz w:val="20"/>
                <w:szCs w:val="20"/>
                <w:color w:val="auto"/>
              </w:rPr>
            </w:pPr>
            <w:r>
              <w:rPr>
                <w:rFonts w:ascii="Arial" w:cs="Arial" w:eastAsia="Arial" w:hAnsi="Arial"/>
                <w:sz w:val="18"/>
                <w:szCs w:val="18"/>
                <w:color w:val="auto"/>
              </w:rPr>
              <w:t>Adjusted EBITDA</w:t>
            </w: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$0.8 million – $114.0 million ($13.6 million)</w:t>
            </w:r>
          </w:p>
        </w:tc>
        <w:tc>
          <w:tcPr>
            <w:tcW w:w="0" w:type="dxa"/>
            <w:vAlign w:val="bottom"/>
          </w:tcPr>
          <w:p>
            <w:pPr>
              <w:spacing w:after="0"/>
              <w:rPr>
                <w:sz w:val="1"/>
                <w:szCs w:val="1"/>
                <w:color w:val="auto"/>
              </w:rPr>
            </w:pPr>
          </w:p>
        </w:tc>
      </w:tr>
      <w:tr>
        <w:trPr>
          <w:trHeight w:val="179"/>
        </w:trPr>
        <w:tc>
          <w:tcPr>
            <w:tcW w:w="1480" w:type="dxa"/>
            <w:vAlign w:val="bottom"/>
          </w:tcPr>
          <w:p>
            <w:pPr>
              <w:spacing w:after="0" w:line="179" w:lineRule="exact"/>
              <w:rPr>
                <w:sz w:val="20"/>
                <w:szCs w:val="20"/>
                <w:color w:val="auto"/>
              </w:rPr>
            </w:pPr>
            <w:r>
              <w:rPr>
                <w:rFonts w:ascii="Arial" w:cs="Arial" w:eastAsia="Arial" w:hAnsi="Arial"/>
                <w:sz w:val="18"/>
                <w:szCs w:val="18"/>
                <w:color w:val="auto"/>
              </w:rPr>
              <w:t>First lien debt</w:t>
            </w:r>
          </w:p>
        </w:tc>
        <w:tc>
          <w:tcPr>
            <w:tcW w:w="780" w:type="dxa"/>
            <w:vAlign w:val="bottom"/>
          </w:tcPr>
          <w:p>
            <w:pPr>
              <w:jc w:val="center"/>
              <w:spacing w:after="0" w:line="179" w:lineRule="exact"/>
              <w:rPr>
                <w:sz w:val="20"/>
                <w:szCs w:val="20"/>
                <w:color w:val="auto"/>
              </w:rPr>
            </w:pPr>
            <w:r>
              <w:rPr>
                <w:rFonts w:ascii="Arial" w:cs="Arial" w:eastAsia="Arial" w:hAnsi="Arial"/>
                <w:sz w:val="18"/>
                <w:szCs w:val="18"/>
                <w:color w:val="auto"/>
                <w:w w:val="93"/>
              </w:rPr>
              <w:t>$20.0</w:t>
            </w:r>
          </w:p>
        </w:tc>
        <w:tc>
          <w:tcPr>
            <w:tcW w:w="100" w:type="dxa"/>
            <w:vAlign w:val="bottom"/>
          </w:tcPr>
          <w:p>
            <w:pPr>
              <w:spacing w:after="0"/>
              <w:rPr>
                <w:sz w:val="15"/>
                <w:szCs w:val="15"/>
                <w:color w:val="auto"/>
              </w:rPr>
            </w:pPr>
          </w:p>
        </w:tc>
        <w:tc>
          <w:tcPr>
            <w:tcW w:w="1780" w:type="dxa"/>
            <w:vAlign w:val="bottom"/>
            <w:gridSpan w:val="2"/>
          </w:tcPr>
          <w:p>
            <w:pPr>
              <w:ind w:left="20"/>
              <w:spacing w:after="0" w:line="179" w:lineRule="exact"/>
              <w:rPr>
                <w:sz w:val="20"/>
                <w:szCs w:val="20"/>
                <w:color w:val="auto"/>
              </w:rPr>
            </w:pPr>
            <w:r>
              <w:rPr>
                <w:rFonts w:ascii="Arial" w:cs="Arial" w:eastAsia="Arial" w:hAnsi="Arial"/>
                <w:sz w:val="18"/>
                <w:szCs w:val="18"/>
                <w:color w:val="auto"/>
              </w:rPr>
              <w:t>Enterprise Value</w:t>
            </w:r>
          </w:p>
        </w:tc>
        <w:tc>
          <w:tcPr>
            <w:tcW w:w="2000" w:type="dxa"/>
            <w:vAlign w:val="bottom"/>
            <w:gridSpan w:val="2"/>
          </w:tcPr>
          <w:p>
            <w:pPr>
              <w:spacing w:after="0" w:line="179"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179" w:lineRule="exact"/>
              <w:rPr>
                <w:sz w:val="20"/>
                <w:szCs w:val="20"/>
                <w:color w:val="auto"/>
              </w:rPr>
            </w:pPr>
            <w:r>
              <w:rPr>
                <w:rFonts w:ascii="Arial" w:cs="Arial" w:eastAsia="Arial" w:hAnsi="Arial"/>
                <w:sz w:val="18"/>
                <w:szCs w:val="18"/>
                <w:color w:val="auto"/>
                <w:w w:val="93"/>
              </w:rPr>
              <w:t>6.0x</w:t>
            </w:r>
          </w:p>
        </w:tc>
        <w:tc>
          <w:tcPr>
            <w:tcW w:w="3240" w:type="dxa"/>
            <w:vAlign w:val="bottom"/>
          </w:tcPr>
          <w:p>
            <w:pPr>
              <w:ind w:left="20"/>
              <w:spacing w:after="0" w:line="179" w:lineRule="exact"/>
              <w:rPr>
                <w:sz w:val="20"/>
                <w:szCs w:val="20"/>
                <w:color w:val="auto"/>
              </w:rPr>
            </w:pPr>
            <w:r>
              <w:rPr>
                <w:rFonts w:ascii="Arial" w:cs="Arial" w:eastAsia="Arial" w:hAnsi="Arial"/>
                <w:sz w:val="18"/>
                <w:szCs w:val="18"/>
                <w:color w:val="auto"/>
              </w:rPr>
              <w:t>– 6.0x (6.0x)</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ind w:left="20"/>
              <w:spacing w:after="0" w:line="293" w:lineRule="exact"/>
              <w:rPr>
                <w:sz w:val="20"/>
                <w:szCs w:val="20"/>
                <w:color w:val="auto"/>
              </w:rPr>
            </w:pPr>
            <w:r>
              <w:rPr>
                <w:rFonts w:ascii="Arial" w:cs="Arial" w:eastAsia="Arial" w:hAnsi="Arial"/>
                <w:sz w:val="18"/>
                <w:szCs w:val="18"/>
                <w:color w:val="auto"/>
                <w:w w:val="98"/>
              </w:rPr>
              <w:t>Waterfall and Asset</w:t>
            </w:r>
            <w:r>
              <w:rPr>
                <w:rFonts w:ascii="Arial" w:cs="Arial" w:eastAsia="Arial" w:hAnsi="Arial"/>
                <w:sz w:val="26"/>
                <w:szCs w:val="26"/>
                <w:color w:val="auto"/>
                <w:w w:val="98"/>
                <w:vertAlign w:val="superscript"/>
              </w:rPr>
              <w:t>(1)</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580" w:type="dxa"/>
            <w:vAlign w:val="bottom"/>
            <w:gridSpan w:val="2"/>
          </w:tcPr>
          <w:p>
            <w:pPr>
              <w:spacing w:after="0"/>
              <w:rPr>
                <w:sz w:val="20"/>
                <w:szCs w:val="20"/>
                <w:color w:val="auto"/>
              </w:rPr>
            </w:pPr>
            <w:r>
              <w:rPr>
                <w:rFonts w:ascii="Arial" w:cs="Arial" w:eastAsia="Arial" w:hAnsi="Arial"/>
                <w:sz w:val="18"/>
                <w:szCs w:val="18"/>
                <w:color w:val="auto"/>
              </w:rPr>
              <w:t>$2.9 million – $2.9 million ($2.9 million)</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1.0x</w:t>
            </w:r>
          </w:p>
        </w:tc>
        <w:tc>
          <w:tcPr>
            <w:tcW w:w="3240" w:type="dxa"/>
            <w:vAlign w:val="bottom"/>
          </w:tcPr>
          <w:p>
            <w:pPr>
              <w:ind w:left="20"/>
              <w:spacing w:after="0"/>
              <w:rPr>
                <w:sz w:val="20"/>
                <w:szCs w:val="20"/>
                <w:color w:val="auto"/>
              </w:rPr>
            </w:pPr>
            <w:r>
              <w:rPr>
                <w:rFonts w:ascii="Arial" w:cs="Arial" w:eastAsia="Arial" w:hAnsi="Arial"/>
                <w:sz w:val="18"/>
                <w:szCs w:val="18"/>
                <w:color w:val="auto"/>
              </w:rPr>
              <w:t>– 1.1x (1.1x)</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8"/>
                <w:szCs w:val="18"/>
                <w:color w:val="auto"/>
              </w:rPr>
              <w:t>Income and Asset</w:t>
            </w:r>
            <w:r>
              <w:rPr>
                <w:rFonts w:ascii="Arial" w:cs="Arial" w:eastAsia="Arial" w:hAnsi="Arial"/>
                <w:sz w:val="26"/>
                <w:szCs w:val="26"/>
                <w:color w:val="auto"/>
                <w:vertAlign w:val="superscript"/>
              </w:rPr>
              <w:t>(1)</w:t>
            </w:r>
          </w:p>
        </w:tc>
        <w:tc>
          <w:tcPr>
            <w:tcW w:w="20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580" w:type="dxa"/>
            <w:vAlign w:val="bottom"/>
            <w:gridSpan w:val="2"/>
          </w:tcPr>
          <w:p>
            <w:pPr>
              <w:spacing w:after="0"/>
              <w:rPr>
                <w:sz w:val="20"/>
                <w:szCs w:val="20"/>
                <w:color w:val="auto"/>
              </w:rPr>
            </w:pPr>
            <w:r>
              <w:rPr>
                <w:rFonts w:ascii="Arial" w:cs="Arial" w:eastAsia="Arial" w:hAnsi="Arial"/>
                <w:sz w:val="18"/>
                <w:szCs w:val="18"/>
                <w:color w:val="auto"/>
              </w:rPr>
              <w:t>$13.3 million – $21.6 million ($19.5 million)</w:t>
            </w:r>
          </w:p>
        </w:tc>
        <w:tc>
          <w:tcPr>
            <w:tcW w:w="0" w:type="dxa"/>
            <w:vAlign w:val="bottom"/>
          </w:tcPr>
          <w:p>
            <w:pPr>
              <w:spacing w:after="0"/>
              <w:rPr>
                <w:sz w:val="1"/>
                <w:szCs w:val="1"/>
                <w:color w:val="auto"/>
              </w:rPr>
            </w:pPr>
          </w:p>
        </w:tc>
      </w:tr>
      <w:tr>
        <w:trPr>
          <w:trHeight w:val="269"/>
        </w:trPr>
        <w:tc>
          <w:tcPr>
            <w:tcW w:w="1480" w:type="dxa"/>
            <w:vAlign w:val="bottom"/>
          </w:tcPr>
          <w:p>
            <w:pPr>
              <w:spacing w:after="0"/>
              <w:rPr>
                <w:sz w:val="20"/>
                <w:szCs w:val="20"/>
                <w:color w:val="auto"/>
              </w:rPr>
            </w:pPr>
            <w:r>
              <w:rPr>
                <w:rFonts w:ascii="Arial" w:cs="Arial" w:eastAsia="Arial" w:hAnsi="Arial"/>
                <w:sz w:val="18"/>
                <w:szCs w:val="18"/>
                <w:color w:val="auto"/>
              </w:rPr>
              <w:t>Second lien debt</w:t>
            </w: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$53.9</w:t>
            </w:r>
          </w:p>
        </w:tc>
        <w:tc>
          <w:tcPr>
            <w:tcW w:w="100" w:type="dxa"/>
            <w:vAlign w:val="bottom"/>
          </w:tcPr>
          <w:p>
            <w:pPr>
              <w:spacing w:after="0"/>
              <w:rPr>
                <w:sz w:val="23"/>
                <w:szCs w:val="23"/>
                <w:color w:val="auto"/>
              </w:rPr>
            </w:pPr>
          </w:p>
        </w:tc>
        <w:tc>
          <w:tcPr>
            <w:tcW w:w="1780" w:type="dxa"/>
            <w:vAlign w:val="bottom"/>
            <w:gridSpan w:val="2"/>
            <w:vMerge w:val="continue"/>
          </w:tcPr>
          <w:p>
            <w:pPr>
              <w:spacing w:after="0"/>
              <w:rPr>
                <w:sz w:val="23"/>
                <w:szCs w:val="23"/>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Required Rate of Return</w:t>
            </w:r>
          </w:p>
        </w:tc>
        <w:tc>
          <w:tcPr>
            <w:tcW w:w="3580" w:type="dxa"/>
            <w:vAlign w:val="bottom"/>
            <w:gridSpan w:val="2"/>
          </w:tcPr>
          <w:p>
            <w:pPr>
              <w:spacing w:after="0"/>
              <w:rPr>
                <w:sz w:val="20"/>
                <w:szCs w:val="20"/>
                <w:color w:val="auto"/>
              </w:rPr>
            </w:pPr>
            <w:r>
              <w:rPr>
                <w:rFonts w:ascii="Arial" w:cs="Arial" w:eastAsia="Arial" w:hAnsi="Arial"/>
                <w:sz w:val="18"/>
                <w:szCs w:val="18"/>
                <w:color w:val="auto"/>
              </w:rPr>
              <w:t>6.0% – 15.0% (13.5%)</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340" w:type="dxa"/>
            <w:vAlign w:val="bottom"/>
          </w:tcPr>
          <w:p>
            <w:pPr>
              <w:spacing w:after="0"/>
              <w:rPr>
                <w:sz w:val="20"/>
                <w:szCs w:val="20"/>
                <w:color w:val="auto"/>
              </w:rPr>
            </w:pPr>
            <w:r>
              <w:rPr>
                <w:rFonts w:ascii="Arial" w:cs="Arial" w:eastAsia="Arial" w:hAnsi="Arial"/>
                <w:sz w:val="18"/>
                <w:szCs w:val="18"/>
                <w:color w:val="auto"/>
                <w:w w:val="93"/>
              </w:rPr>
              <w:t>3.0x</w:t>
            </w:r>
          </w:p>
        </w:tc>
        <w:tc>
          <w:tcPr>
            <w:tcW w:w="3240" w:type="dxa"/>
            <w:vAlign w:val="bottom"/>
          </w:tcPr>
          <w:p>
            <w:pPr>
              <w:ind w:left="20"/>
              <w:spacing w:after="0"/>
              <w:rPr>
                <w:sz w:val="20"/>
                <w:szCs w:val="20"/>
                <w:color w:val="auto"/>
              </w:rPr>
            </w:pPr>
            <w:r>
              <w:rPr>
                <w:rFonts w:ascii="Arial" w:cs="Arial" w:eastAsia="Arial" w:hAnsi="Arial"/>
                <w:sz w:val="18"/>
                <w:szCs w:val="18"/>
                <w:color w:val="auto"/>
              </w:rPr>
              <w:t>– 7.0x (5.3x)</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spacing w:after="0" w:line="202" w:lineRule="exact"/>
              <w:rPr>
                <w:sz w:val="20"/>
                <w:szCs w:val="20"/>
                <w:color w:val="auto"/>
              </w:rPr>
            </w:pPr>
            <w:r>
              <w:rPr>
                <w:rFonts w:ascii="Arial" w:cs="Arial" w:eastAsia="Arial" w:hAnsi="Arial"/>
                <w:sz w:val="18"/>
                <w:szCs w:val="18"/>
                <w:color w:val="auto"/>
              </w:rPr>
              <w:t>Adjusted EBITDA</w:t>
            </w: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$1.8 million – $74.5 million ($32.7 million)</w:t>
            </w:r>
          </w:p>
        </w:tc>
        <w:tc>
          <w:tcPr>
            <w:tcW w:w="0" w:type="dxa"/>
            <w:vAlign w:val="bottom"/>
          </w:tcPr>
          <w:p>
            <w:pPr>
              <w:spacing w:after="0"/>
              <w:rPr>
                <w:sz w:val="1"/>
                <w:szCs w:val="1"/>
                <w:color w:val="auto"/>
              </w:rPr>
            </w:pPr>
          </w:p>
        </w:tc>
      </w:tr>
      <w:tr>
        <w:trPr>
          <w:trHeight w:val="179"/>
        </w:trPr>
        <w:tc>
          <w:tcPr>
            <w:tcW w:w="1480" w:type="dxa"/>
            <w:vAlign w:val="bottom"/>
          </w:tcPr>
          <w:p>
            <w:pPr>
              <w:spacing w:after="0" w:line="179" w:lineRule="exact"/>
              <w:rPr>
                <w:sz w:val="20"/>
                <w:szCs w:val="20"/>
                <w:color w:val="auto"/>
              </w:rPr>
            </w:pPr>
            <w:r>
              <w:rPr>
                <w:rFonts w:ascii="Arial" w:cs="Arial" w:eastAsia="Arial" w:hAnsi="Arial"/>
                <w:sz w:val="18"/>
                <w:szCs w:val="18"/>
                <w:color w:val="auto"/>
              </w:rPr>
              <w:t>Equity and</w:t>
            </w:r>
          </w:p>
        </w:tc>
        <w:tc>
          <w:tcPr>
            <w:tcW w:w="780" w:type="dxa"/>
            <w:vAlign w:val="bottom"/>
          </w:tcPr>
          <w:p>
            <w:pPr>
              <w:jc w:val="center"/>
              <w:spacing w:after="0" w:line="179" w:lineRule="exact"/>
              <w:rPr>
                <w:sz w:val="20"/>
                <w:szCs w:val="20"/>
                <w:color w:val="auto"/>
              </w:rPr>
            </w:pPr>
            <w:r>
              <w:rPr>
                <w:rFonts w:ascii="Arial" w:cs="Arial" w:eastAsia="Arial" w:hAnsi="Arial"/>
                <w:sz w:val="18"/>
                <w:szCs w:val="18"/>
                <w:color w:val="auto"/>
                <w:w w:val="93"/>
              </w:rPr>
              <w:t>$61.6</w:t>
            </w:r>
          </w:p>
        </w:tc>
        <w:tc>
          <w:tcPr>
            <w:tcW w:w="100" w:type="dxa"/>
            <w:vAlign w:val="bottom"/>
          </w:tcPr>
          <w:p>
            <w:pPr>
              <w:spacing w:after="0"/>
              <w:rPr>
                <w:sz w:val="15"/>
                <w:szCs w:val="15"/>
                <w:color w:val="auto"/>
              </w:rPr>
            </w:pPr>
          </w:p>
        </w:tc>
        <w:tc>
          <w:tcPr>
            <w:tcW w:w="1780" w:type="dxa"/>
            <w:vAlign w:val="bottom"/>
            <w:gridSpan w:val="2"/>
          </w:tcPr>
          <w:p>
            <w:pPr>
              <w:ind w:left="20"/>
              <w:spacing w:after="0" w:line="179" w:lineRule="exact"/>
              <w:rPr>
                <w:sz w:val="20"/>
                <w:szCs w:val="20"/>
                <w:color w:val="auto"/>
              </w:rPr>
            </w:pPr>
            <w:r>
              <w:rPr>
                <w:rFonts w:ascii="Arial" w:cs="Arial" w:eastAsia="Arial" w:hAnsi="Arial"/>
                <w:sz w:val="18"/>
                <w:szCs w:val="18"/>
                <w:color w:val="auto"/>
              </w:rPr>
              <w:t>Enterprise Value</w:t>
            </w:r>
          </w:p>
        </w:tc>
        <w:tc>
          <w:tcPr>
            <w:tcW w:w="2000" w:type="dxa"/>
            <w:vAlign w:val="bottom"/>
            <w:gridSpan w:val="2"/>
          </w:tcPr>
          <w:p>
            <w:pPr>
              <w:spacing w:after="0" w:line="179"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179" w:lineRule="exact"/>
              <w:rPr>
                <w:sz w:val="20"/>
                <w:szCs w:val="20"/>
                <w:color w:val="auto"/>
              </w:rPr>
            </w:pPr>
            <w:r>
              <w:rPr>
                <w:rFonts w:ascii="Arial" w:cs="Arial" w:eastAsia="Arial" w:hAnsi="Arial"/>
                <w:sz w:val="18"/>
                <w:szCs w:val="18"/>
                <w:color w:val="auto"/>
                <w:w w:val="93"/>
              </w:rPr>
              <w:t>3.9x</w:t>
            </w:r>
          </w:p>
        </w:tc>
        <w:tc>
          <w:tcPr>
            <w:tcW w:w="3240" w:type="dxa"/>
            <w:vAlign w:val="bottom"/>
          </w:tcPr>
          <w:p>
            <w:pPr>
              <w:ind w:left="20"/>
              <w:spacing w:after="0" w:line="179" w:lineRule="exact"/>
              <w:rPr>
                <w:sz w:val="20"/>
                <w:szCs w:val="20"/>
                <w:color w:val="auto"/>
              </w:rPr>
            </w:pPr>
            <w:r>
              <w:rPr>
                <w:rFonts w:ascii="Arial" w:cs="Arial" w:eastAsia="Arial" w:hAnsi="Arial"/>
                <w:sz w:val="18"/>
                <w:szCs w:val="18"/>
                <w:color w:val="auto"/>
              </w:rPr>
              <w:t>– 10.0x (7.3x)</w:t>
            </w:r>
          </w:p>
        </w:tc>
        <w:tc>
          <w:tcPr>
            <w:tcW w:w="0" w:type="dxa"/>
            <w:vAlign w:val="bottom"/>
          </w:tcPr>
          <w:p>
            <w:pPr>
              <w:spacing w:after="0"/>
              <w:rPr>
                <w:sz w:val="1"/>
                <w:szCs w:val="1"/>
                <w:color w:val="auto"/>
              </w:rPr>
            </w:pPr>
          </w:p>
        </w:tc>
      </w:tr>
      <w:tr>
        <w:trPr>
          <w:trHeight w:val="293"/>
        </w:trPr>
        <w:tc>
          <w:tcPr>
            <w:tcW w:w="14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ind w:left="20"/>
              <w:spacing w:after="0" w:line="293" w:lineRule="exact"/>
              <w:rPr>
                <w:sz w:val="20"/>
                <w:szCs w:val="20"/>
                <w:color w:val="auto"/>
              </w:rPr>
            </w:pPr>
            <w:r>
              <w:rPr>
                <w:rFonts w:ascii="Arial" w:cs="Arial" w:eastAsia="Arial" w:hAnsi="Arial"/>
                <w:sz w:val="18"/>
                <w:szCs w:val="18"/>
                <w:color w:val="auto"/>
                <w:w w:val="98"/>
              </w:rPr>
              <w:t>Waterfall and Asset</w:t>
            </w:r>
            <w:r>
              <w:rPr>
                <w:rFonts w:ascii="Arial" w:cs="Arial" w:eastAsia="Arial" w:hAnsi="Arial"/>
                <w:sz w:val="26"/>
                <w:szCs w:val="26"/>
                <w:color w:val="auto"/>
                <w:w w:val="98"/>
                <w:vertAlign w:val="superscript"/>
              </w:rPr>
              <w:t>(1)</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580" w:type="dxa"/>
            <w:vAlign w:val="bottom"/>
            <w:gridSpan w:val="2"/>
          </w:tcPr>
          <w:p>
            <w:pPr>
              <w:spacing w:after="0"/>
              <w:rPr>
                <w:sz w:val="20"/>
                <w:szCs w:val="20"/>
                <w:color w:val="auto"/>
              </w:rPr>
            </w:pPr>
            <w:r>
              <w:rPr>
                <w:rFonts w:ascii="Arial" w:cs="Arial" w:eastAsia="Arial" w:hAnsi="Arial"/>
                <w:sz w:val="18"/>
                <w:szCs w:val="18"/>
                <w:color w:val="auto"/>
              </w:rPr>
              <w:t>$1.8 million – $25.1 million ($11.7 million)</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0.4x</w:t>
            </w:r>
          </w:p>
        </w:tc>
        <w:tc>
          <w:tcPr>
            <w:tcW w:w="3240" w:type="dxa"/>
            <w:vAlign w:val="bottom"/>
          </w:tcPr>
          <w:p>
            <w:pPr>
              <w:ind w:left="20"/>
              <w:spacing w:after="0"/>
              <w:rPr>
                <w:sz w:val="20"/>
                <w:szCs w:val="20"/>
                <w:color w:val="auto"/>
              </w:rPr>
            </w:pPr>
            <w:r>
              <w:rPr>
                <w:rFonts w:ascii="Arial" w:cs="Arial" w:eastAsia="Arial" w:hAnsi="Arial"/>
                <w:sz w:val="18"/>
                <w:szCs w:val="18"/>
                <w:color w:val="auto"/>
              </w:rPr>
              <w:t>– 4.7x (0.8x)</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580" w:type="dxa"/>
            <w:vAlign w:val="bottom"/>
            <w:gridSpan w:val="2"/>
          </w:tcPr>
          <w:p>
            <w:pPr>
              <w:spacing w:after="0"/>
              <w:rPr>
                <w:sz w:val="20"/>
                <w:szCs w:val="20"/>
                <w:color w:val="auto"/>
              </w:rPr>
            </w:pPr>
            <w:r>
              <w:rPr>
                <w:rFonts w:ascii="Arial" w:cs="Arial" w:eastAsia="Arial" w:hAnsi="Arial"/>
                <w:sz w:val="18"/>
                <w:szCs w:val="18"/>
                <w:color w:val="auto"/>
                <w:w w:val="98"/>
              </w:rPr>
              <w:t>$17.1 million – $566.2 million ($406.6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580" w:top="131" w:right="109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620" w:right="419" w:hanging="360"/>
        <w:spacing w:after="0" w:line="277"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$2.0 million in first lien debt, $0.7 million in second lien debt, and $4.9 million in equity and warrants were valued using the asset approach.</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Excludes the Company’s $13.6 million investment in CSLF II, measured at NAV.</w:t>
      </w:r>
    </w:p>
    <w:p>
      <w:pPr>
        <w:spacing w:after="0" w:line="158"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144"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24"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For the years ended December 31, 2020 and 2019, the Company received $0.0 and $1.0 million, respectively, in dividend income from its equity interest in CSLF II.</w:t>
      </w:r>
    </w:p>
    <w:p>
      <w:pPr>
        <w:spacing w:after="0" w:line="122"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As of December 31, 2019, $13.6 million and $3.4 million in equity capital had been contributed by the Company and Trinity, respectively. As of December 31, 2019, the Company and Trinity had $6.4 million and $1.6 million of unfunded equity capital commitments outstanding, respectively. The Company’s equity investment in CSLF II was not redeemable. On June 12, 2020, the capital commitments for the Company and Trinity were terminated.</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.35% when utilization of the CSLF II Credit Facility exceeded 50% and .65% when utilization of the CSLF II Credit Facility was less than 50%. On June 5, 2020, CSLF II terminated the CSLF II Credit Facility and repaid all amounts outstanding.</w:t>
      </w:r>
    </w:p>
    <w:p>
      <w:pPr>
        <w:spacing w:after="0" w:line="12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As of December 31, 2019, $12.7 million was outstanding under the CSLF II Credit Facility. For the years ended December 31, 2020 and 2019, CSLF II incurred interest and financing expenses of $1.1 million and $0.2 million, respectively.</w:t>
      </w:r>
    </w:p>
    <w:p>
      <w:pPr>
        <w:spacing w:after="0" w:line="116" w:lineRule="exact"/>
        <w:rPr>
          <w:sz w:val="20"/>
          <w:szCs w:val="20"/>
          <w:color w:val="auto"/>
        </w:rPr>
      </w:pPr>
    </w:p>
    <w:p>
      <w:pPr>
        <w:jc w:val="both"/>
        <w:ind w:left="1260" w:right="419" w:firstLine="360"/>
        <w:spacing w:after="0" w:line="308" w:lineRule="auto"/>
        <w:rPr>
          <w:sz w:val="20"/>
          <w:szCs w:val="20"/>
          <w:color w:val="auto"/>
        </w:rPr>
      </w:pPr>
      <w:r>
        <w:rPr>
          <w:rFonts w:ascii="Arial" w:cs="Arial" w:eastAsia="Arial" w:hAnsi="Arial"/>
          <w:sz w:val="17"/>
          <w:szCs w:val="17"/>
          <w:color w:val="auto"/>
        </w:rPr>
        <w:t>On September 3, 2019, the Company and Trinity committed to provide $25.0 million of subordinated debt (the “Subordinated Notes”) to CSLF II, with the Company providing $5.0 million and Trinity providing</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29"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$20.0 million. The Subordinated Notes were scheduled to mature on September 3, 2024, however, the Subordinated Notes were terminated on June 12, 2020.</w:t>
      </w:r>
    </w:p>
    <w:p>
      <w:pPr>
        <w:spacing w:after="0" w:line="8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As of December 31, 2019, $0.0 were outstanding on the Subordinated Notes. As of December 31, 2019, the Company and Trinity had $5.0 million and $20.0 million of unfunded commitments related to the Subordinated Notes, respectively. For the years ended December 31, 2020 and 2019, CSLF II did not incur any interest and financing expenses related to the Subordinated Notes.</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Below is a summary of CSLF II’s portfolio as of December 31, 2019 (dollars in thousands):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December 31, 2019</w:t>
            </w:r>
          </w:p>
        </w:tc>
      </w:tr>
      <w:tr>
        <w:trPr>
          <w:trHeight w:val="26"/>
        </w:trPr>
        <w:tc>
          <w:tcPr>
            <w:tcW w:w="7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704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First lien loans</w:t>
            </w:r>
            <w:r>
              <w:rPr>
                <w:rFonts w:ascii="Arial" w:cs="Arial" w:eastAsia="Arial" w:hAnsi="Arial"/>
                <w:sz w:val="26"/>
                <w:szCs w:val="26"/>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28,396</w:t>
            </w: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38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57"/>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r>
      <w:tr>
        <w:trPr>
          <w:trHeight w:val="270"/>
        </w:trPr>
        <w:tc>
          <w:tcPr>
            <w:tcW w:w="7040" w:type="dxa"/>
            <w:vAlign w:val="bottom"/>
          </w:tcPr>
          <w:p>
            <w:pPr>
              <w:spacing w:after="0" w:line="270" w:lineRule="exact"/>
              <w:rPr>
                <w:sz w:val="20"/>
                <w:szCs w:val="20"/>
                <w:color w:val="auto"/>
              </w:rPr>
            </w:pPr>
            <w:r>
              <w:rPr>
                <w:rFonts w:ascii="Arial" w:cs="Arial" w:eastAsia="Arial" w:hAnsi="Arial"/>
                <w:sz w:val="18"/>
                <w:szCs w:val="18"/>
                <w:color w:val="auto"/>
              </w:rPr>
              <w:t>Largest portfolio company investment</w:t>
            </w:r>
            <w:r>
              <w:rPr>
                <w:rFonts w:ascii="Arial" w:cs="Arial" w:eastAsia="Arial" w:hAnsi="Arial"/>
                <w:sz w:val="26"/>
                <w:szCs w:val="26"/>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7,443</w:t>
            </w:r>
          </w:p>
        </w:tc>
      </w:tr>
      <w:tr>
        <w:trPr>
          <w:trHeight w:val="270"/>
        </w:trPr>
        <w:tc>
          <w:tcPr>
            <w:tcW w:w="70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Total of five largest portfolio company investments</w:t>
            </w:r>
            <w:r>
              <w:rPr>
                <w:rFonts w:ascii="Arial" w:cs="Arial" w:eastAsia="Arial" w:hAnsi="Arial"/>
                <w:sz w:val="26"/>
                <w:szCs w:val="26"/>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28,396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-848360</wp:posOffset>
            </wp:positionV>
            <wp:extent cx="447484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hanging="36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15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Below is CSLF II’s schedule of investments as of December 31, 2019 (dollars 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Industry</w:t>
            </w:r>
          </w:p>
        </w:tc>
        <w:tc>
          <w:tcPr>
            <w:tcW w:w="2260" w:type="dxa"/>
            <w:vAlign w:val="bottom"/>
            <w:gridSpan w:val="3"/>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Fair Value</w:t>
            </w:r>
          </w:p>
        </w:tc>
      </w:tr>
      <w:tr>
        <w:trPr>
          <w:trHeight w:val="25"/>
        </w:trPr>
        <w:tc>
          <w:tcPr>
            <w:tcW w:w="1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9"/>
        </w:trPr>
        <w:tc>
          <w:tcPr>
            <w:tcW w:w="2780" w:type="dxa"/>
            <w:vAlign w:val="bottom"/>
            <w:gridSpan w:val="3"/>
          </w:tcPr>
          <w:p>
            <w:pPr>
              <w:spacing w:after="0"/>
              <w:rPr>
                <w:sz w:val="20"/>
                <w:szCs w:val="20"/>
                <w:color w:val="auto"/>
              </w:rPr>
            </w:pPr>
            <w:r>
              <w:rPr>
                <w:rFonts w:ascii="Arial" w:cs="Arial" w:eastAsia="Arial" w:hAnsi="Arial"/>
                <w:sz w:val="18"/>
                <w:szCs w:val="18"/>
                <w:color w:val="auto"/>
              </w:rPr>
              <w:t>Freedom Electronics, LLC</w:t>
            </w:r>
          </w:p>
        </w:tc>
        <w:tc>
          <w:tcPr>
            <w:tcW w:w="1160" w:type="dxa"/>
            <w:vAlign w:val="bottom"/>
            <w:gridSpan w:val="2"/>
          </w:tcPr>
          <w:p>
            <w:pPr>
              <w:spacing w:after="0"/>
              <w:rPr>
                <w:sz w:val="20"/>
                <w:szCs w:val="20"/>
                <w:color w:val="auto"/>
              </w:rPr>
            </w:pPr>
            <w:r>
              <w:rPr>
                <w:rFonts w:ascii="Arial" w:cs="Arial" w:eastAsia="Arial" w:hAnsi="Arial"/>
                <w:sz w:val="18"/>
                <w:szCs w:val="18"/>
                <w:color w:val="auto"/>
              </w:rPr>
              <w:t>Electronic</w:t>
            </w:r>
          </w:p>
        </w:tc>
        <w:tc>
          <w:tcPr>
            <w:tcW w:w="2260" w:type="dxa"/>
            <w:vAlign w:val="bottom"/>
            <w:gridSpan w:val="3"/>
          </w:tcPr>
          <w:p>
            <w:pPr>
              <w:spacing w:after="0"/>
              <w:rPr>
                <w:sz w:val="20"/>
                <w:szCs w:val="20"/>
                <w:color w:val="auto"/>
              </w:rPr>
            </w:pPr>
            <w:r>
              <w:rPr>
                <w:rFonts w:ascii="Arial" w:cs="Arial" w:eastAsia="Arial" w:hAnsi="Arial"/>
                <w:sz w:val="18"/>
                <w:szCs w:val="18"/>
                <w:color w:val="auto"/>
              </w:rPr>
              <w:t>First Lien Debt (7.0% Cash</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Machine</w:t>
            </w:r>
          </w:p>
        </w:tc>
        <w:tc>
          <w:tcPr>
            <w:tcW w:w="2260" w:type="dxa"/>
            <w:vAlign w:val="bottom"/>
            <w:gridSpan w:val="3"/>
          </w:tcPr>
          <w:p>
            <w:pPr>
              <w:spacing w:after="0"/>
              <w:rPr>
                <w:sz w:val="20"/>
                <w:szCs w:val="20"/>
                <w:color w:val="auto"/>
              </w:rPr>
            </w:pPr>
            <w:r>
              <w:rPr>
                <w:rFonts w:ascii="Arial" w:cs="Arial" w:eastAsia="Arial" w:hAnsi="Arial"/>
                <w:sz w:val="18"/>
                <w:szCs w:val="18"/>
                <w:color w:val="auto"/>
              </w:rPr>
              <w:t>(1 month LIBOR + 5.0%,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Repair</w:t>
            </w:r>
          </w:p>
        </w:tc>
        <w:tc>
          <w:tcPr>
            <w:tcW w:w="2260" w:type="dxa"/>
            <w:vAlign w:val="bottom"/>
            <w:gridSpan w:val="3"/>
          </w:tcPr>
          <w:p>
            <w:pPr>
              <w:spacing w:after="0"/>
              <w:rPr>
                <w:sz w:val="20"/>
                <w:szCs w:val="20"/>
                <w:color w:val="auto"/>
              </w:rPr>
            </w:pPr>
            <w:r>
              <w:rPr>
                <w:rFonts w:ascii="Arial" w:cs="Arial" w:eastAsia="Arial" w:hAnsi="Arial"/>
                <w:sz w:val="18"/>
                <w:szCs w:val="18"/>
                <w:color w:val="auto"/>
              </w:rPr>
              <w:t>2.0% Floor), Due 12/20/23)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5,445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5,445</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5,445</w:t>
            </w:r>
          </w:p>
        </w:tc>
      </w:tr>
      <w:tr>
        <w:trPr>
          <w:trHeight w:val="235"/>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Installs, LLC</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Lien Debt (5.8% Cash</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 month LIBOR + 4.0%,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4"/>
        </w:trPr>
        <w:tc>
          <w:tcPr>
            <w:tcW w:w="1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1.8% Floor), Due 6/20/23)</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7,443</w:t>
            </w:r>
          </w:p>
        </w:tc>
      </w:tr>
      <w:tr>
        <w:trPr>
          <w:trHeight w:val="229"/>
        </w:trPr>
        <w:tc>
          <w:tcPr>
            <w:tcW w:w="2780" w:type="dxa"/>
            <w:vAlign w:val="bottom"/>
            <w:gridSpan w:val="3"/>
          </w:tcPr>
          <w:p>
            <w:pPr>
              <w:spacing w:after="0"/>
              <w:rPr>
                <w:sz w:val="20"/>
                <w:szCs w:val="20"/>
                <w:color w:val="auto"/>
              </w:rPr>
            </w:pPr>
            <w:r>
              <w:rPr>
                <w:rFonts w:ascii="Arial" w:cs="Arial" w:eastAsia="Arial" w:hAnsi="Arial"/>
                <w:sz w:val="18"/>
                <w:szCs w:val="18"/>
                <w:color w:val="auto"/>
              </w:rPr>
              <w:t>RAM Payment, LLC</w:t>
            </w:r>
          </w:p>
        </w:tc>
        <w:tc>
          <w:tcPr>
            <w:tcW w:w="116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2260" w:type="dxa"/>
            <w:vAlign w:val="bottom"/>
            <w:gridSpan w:val="3"/>
          </w:tcPr>
          <w:p>
            <w:pPr>
              <w:spacing w:after="0"/>
              <w:rPr>
                <w:sz w:val="20"/>
                <w:szCs w:val="20"/>
                <w:color w:val="auto"/>
              </w:rPr>
            </w:pPr>
            <w:r>
              <w:rPr>
                <w:rFonts w:ascii="Arial" w:cs="Arial" w:eastAsia="Arial" w:hAnsi="Arial"/>
                <w:sz w:val="18"/>
                <w:szCs w:val="18"/>
                <w:color w:val="auto"/>
              </w:rPr>
              <w:t>First Lien Debt (6.7% Cash</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2260" w:type="dxa"/>
            <w:vAlign w:val="bottom"/>
            <w:gridSpan w:val="3"/>
          </w:tcPr>
          <w:p>
            <w:pPr>
              <w:spacing w:after="0"/>
              <w:rPr>
                <w:sz w:val="20"/>
                <w:szCs w:val="20"/>
                <w:color w:val="auto"/>
              </w:rPr>
            </w:pPr>
            <w:r>
              <w:rPr>
                <w:rFonts w:ascii="Arial" w:cs="Arial" w:eastAsia="Arial" w:hAnsi="Arial"/>
                <w:sz w:val="18"/>
                <w:szCs w:val="18"/>
                <w:color w:val="auto"/>
              </w:rPr>
              <w:t>(1 month LIBOR + 5.0%,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Arial" w:cs="Arial" w:eastAsia="Arial" w:hAnsi="Arial"/>
                <w:sz w:val="18"/>
                <w:szCs w:val="18"/>
                <w:color w:val="auto"/>
              </w:rPr>
              <w:t>1.5% Floor), Due 1/4/24)</w:t>
            </w: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6,653</w:t>
            </w:r>
          </w:p>
        </w:tc>
      </w:tr>
      <w:tr>
        <w:trPr>
          <w:trHeight w:val="235"/>
        </w:trPr>
        <w:tc>
          <w:tcPr>
            <w:tcW w:w="2780" w:type="dxa"/>
            <w:vAlign w:val="bottom"/>
            <w:gridSpan w:val="3"/>
            <w:shd w:val="clear" w:color="auto" w:fill="CCEEFF"/>
          </w:tcPr>
          <w:p>
            <w:pPr>
              <w:spacing w:after="0" w:line="235" w:lineRule="exact"/>
              <w:rPr>
                <w:sz w:val="20"/>
                <w:szCs w:val="20"/>
                <w:color w:val="auto"/>
              </w:rPr>
            </w:pPr>
            <w:r>
              <w:rPr>
                <w:rFonts w:ascii="Arial" w:cs="Arial" w:eastAsia="Arial" w:hAnsi="Arial"/>
                <w:sz w:val="18"/>
                <w:szCs w:val="18"/>
                <w:color w:val="auto"/>
              </w:rPr>
              <w:t>Rapid Fire Protection, Inc.</w:t>
            </w:r>
            <w:r>
              <w:rPr>
                <w:rFonts w:ascii="Arial" w:cs="Arial" w:eastAsia="Arial" w:hAnsi="Arial"/>
                <w:sz w:val="26"/>
                <w:szCs w:val="26"/>
                <w:color w:val="auto"/>
                <w:vertAlign w:val="superscript"/>
              </w:rPr>
              <w:t>(1)</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Lien Debt (5.5% Cash</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w:t>
            </w: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 month LIBOR + 3.8%,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4"/>
        </w:trPr>
        <w:tc>
          <w:tcPr>
            <w:tcW w:w="1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1.8% Floor), Due 11/22/24)</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4,400</w:t>
            </w:r>
          </w:p>
        </w:tc>
      </w:tr>
      <w:tr>
        <w:trPr>
          <w:trHeight w:val="229"/>
        </w:trPr>
        <w:tc>
          <w:tcPr>
            <w:tcW w:w="2780" w:type="dxa"/>
            <w:vAlign w:val="bottom"/>
            <w:gridSpan w:val="3"/>
          </w:tcPr>
          <w:p>
            <w:pPr>
              <w:spacing w:after="0"/>
              <w:rPr>
                <w:sz w:val="20"/>
                <w:szCs w:val="20"/>
                <w:color w:val="auto"/>
              </w:rPr>
            </w:pPr>
            <w:r>
              <w:rPr>
                <w:rFonts w:ascii="Arial" w:cs="Arial" w:eastAsia="Arial" w:hAnsi="Arial"/>
                <w:sz w:val="18"/>
                <w:szCs w:val="18"/>
                <w:color w:val="auto"/>
              </w:rPr>
              <w:t>U.S. BioTek Laboratories, LLC</w:t>
            </w:r>
          </w:p>
        </w:tc>
        <w:tc>
          <w:tcPr>
            <w:tcW w:w="1160" w:type="dxa"/>
            <w:vAlign w:val="bottom"/>
            <w:gridSpan w:val="2"/>
          </w:tcPr>
          <w:p>
            <w:pPr>
              <w:spacing w:after="0"/>
              <w:rPr>
                <w:sz w:val="20"/>
                <w:szCs w:val="20"/>
                <w:color w:val="auto"/>
              </w:rPr>
            </w:pPr>
            <w:r>
              <w:rPr>
                <w:rFonts w:ascii="Arial" w:cs="Arial" w:eastAsia="Arial" w:hAnsi="Arial"/>
                <w:sz w:val="18"/>
                <w:szCs w:val="18"/>
                <w:color w:val="auto"/>
              </w:rPr>
              <w:t>Testing</w:t>
            </w:r>
          </w:p>
        </w:tc>
        <w:tc>
          <w:tcPr>
            <w:tcW w:w="2260" w:type="dxa"/>
            <w:vAlign w:val="bottom"/>
            <w:gridSpan w:val="3"/>
          </w:tcPr>
          <w:p>
            <w:pPr>
              <w:spacing w:after="0"/>
              <w:rPr>
                <w:sz w:val="20"/>
                <w:szCs w:val="20"/>
                <w:color w:val="auto"/>
              </w:rPr>
            </w:pPr>
            <w:r>
              <w:rPr>
                <w:rFonts w:ascii="Arial" w:cs="Arial" w:eastAsia="Arial" w:hAnsi="Arial"/>
                <w:sz w:val="18"/>
                <w:szCs w:val="18"/>
                <w:color w:val="auto"/>
              </w:rPr>
              <w:t>First Lien Debt (7.0% Cash</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Laboratories</w:t>
            </w:r>
          </w:p>
        </w:tc>
        <w:tc>
          <w:tcPr>
            <w:tcW w:w="2260" w:type="dxa"/>
            <w:vAlign w:val="bottom"/>
            <w:gridSpan w:val="3"/>
          </w:tcPr>
          <w:p>
            <w:pPr>
              <w:spacing w:after="0"/>
              <w:rPr>
                <w:sz w:val="20"/>
                <w:szCs w:val="20"/>
                <w:color w:val="auto"/>
              </w:rPr>
            </w:pPr>
            <w:r>
              <w:rPr>
                <w:rFonts w:ascii="Arial" w:cs="Arial" w:eastAsia="Arial" w:hAnsi="Arial"/>
                <w:sz w:val="18"/>
                <w:szCs w:val="18"/>
                <w:color w:val="auto"/>
              </w:rPr>
              <w:t>(3 month LIBOR + 5.0%,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Arial" w:cs="Arial" w:eastAsia="Arial" w:hAnsi="Arial"/>
                <w:sz w:val="18"/>
                <w:szCs w:val="18"/>
                <w:color w:val="auto"/>
              </w:rPr>
              <w:t>2.0% Floor), Due 12/14/23)</w:t>
            </w: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4,455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4,455</w:t>
            </w:r>
          </w:p>
        </w:tc>
      </w:tr>
      <w:tr>
        <w:trPr>
          <w:trHeight w:val="27"/>
        </w:trPr>
        <w:tc>
          <w:tcPr>
            <w:tcW w:w="19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7"/>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28,396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28,396</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28,396</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122"/>
        </w:trPr>
        <w:tc>
          <w:tcPr>
            <w:tcW w:w="194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-299720</wp:posOffset>
            </wp:positionV>
            <wp:extent cx="52120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-2665095</wp:posOffset>
            </wp:positionV>
            <wp:extent cx="514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-2665095</wp:posOffset>
            </wp:positionV>
            <wp:extent cx="514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-2665095</wp:posOffset>
            </wp:positionV>
            <wp:extent cx="514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-2665095</wp:posOffset>
            </wp:positionV>
            <wp:extent cx="514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-2665095</wp:posOffset>
            </wp:positionV>
            <wp:extent cx="514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8" w:lineRule="exact"/>
        <w:rPr>
          <w:sz w:val="20"/>
          <w:szCs w:val="20"/>
          <w:color w:val="auto"/>
        </w:rPr>
      </w:pPr>
    </w:p>
    <w:p>
      <w:pPr>
        <w:ind w:left="5160" w:right="3899" w:hanging="3900"/>
        <w:spacing w:after="0" w:line="937" w:lineRule="auto"/>
        <w:tabs>
          <w:tab w:leader="none" w:pos="16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investment has a $3.0 million unfunded commitment.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68065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29"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Below are the statements of assets and liabilities for CSLF II as of December 31, 2020 and 2019 (dollars in thousands):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December 31, 2019</w:t>
            </w:r>
          </w:p>
        </w:tc>
      </w:tr>
      <w:tr>
        <w:trPr>
          <w:trHeight w:val="26"/>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Investments at fair value (amortized cost of $0 and $28,396,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7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$28,396</w:t>
            </w:r>
          </w:p>
        </w:tc>
        <w:tc>
          <w:tcPr>
            <w:tcW w:w="280" w:type="dxa"/>
            <w:vAlign w:val="bottom"/>
          </w:tcPr>
          <w:p>
            <w:pPr>
              <w:spacing w:after="0"/>
              <w:rPr>
                <w:sz w:val="20"/>
                <w:szCs w:val="20"/>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80" w:type="dxa"/>
            <w:vAlign w:val="bottom"/>
            <w:shd w:val="clear" w:color="auto" w:fill="CCEEFF"/>
          </w:tcPr>
          <w:p>
            <w:pPr>
              <w:spacing w:after="0"/>
              <w:rPr>
                <w:sz w:val="22"/>
                <w:szCs w:val="22"/>
                <w:color w:val="auto"/>
              </w:rPr>
            </w:pPr>
          </w:p>
        </w:tc>
      </w:tr>
      <w:tr>
        <w:trPr>
          <w:trHeight w:val="257"/>
        </w:trPr>
        <w:tc>
          <w:tcPr>
            <w:tcW w:w="544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2"/>
                <w:szCs w:val="2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22"/>
                <w:szCs w:val="22"/>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303"/>
        </w:trPr>
        <w:tc>
          <w:tcPr>
            <w:tcW w:w="54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$29,258</w:t>
            </w:r>
          </w:p>
        </w:tc>
        <w:tc>
          <w:tcPr>
            <w:tcW w:w="280" w:type="dxa"/>
            <w:vAlign w:val="bottom"/>
          </w:tcPr>
          <w:p>
            <w:pPr>
              <w:spacing w:after="0"/>
              <w:rPr>
                <w:sz w:val="24"/>
                <w:szCs w:val="24"/>
                <w:color w:val="auto"/>
              </w:rPr>
            </w:pPr>
          </w:p>
        </w:tc>
      </w:tr>
      <w:tr>
        <w:trPr>
          <w:trHeight w:val="203"/>
        </w:trPr>
        <w:tc>
          <w:tcPr>
            <w:tcW w:w="5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Credit facility (net of deferred financing costs of $0 and $621,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7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$12,079</w:t>
            </w:r>
          </w:p>
        </w:tc>
        <w:tc>
          <w:tcPr>
            <w:tcW w:w="280" w:type="dxa"/>
            <w:vAlign w:val="bottom"/>
          </w:tcPr>
          <w:p>
            <w:pPr>
              <w:spacing w:after="0"/>
              <w:rPr>
                <w:sz w:val="20"/>
                <w:szCs w:val="20"/>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r>
      <w:tr>
        <w:trPr>
          <w:trHeight w:val="263"/>
        </w:trPr>
        <w:tc>
          <w:tcPr>
            <w:tcW w:w="544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2"/>
                <w:szCs w:val="22"/>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63"/>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80" w:type="dxa"/>
            <w:vAlign w:val="bottom"/>
            <w:gridSpan w:val="2"/>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280" w:type="dxa"/>
            <w:vAlign w:val="bottom"/>
            <w:shd w:val="clear" w:color="auto" w:fill="CCEEFF"/>
          </w:tcPr>
          <w:p>
            <w:pPr>
              <w:spacing w:after="0"/>
              <w:rPr>
                <w:sz w:val="22"/>
                <w:szCs w:val="22"/>
                <w:color w:val="auto"/>
              </w:rPr>
            </w:pPr>
          </w:p>
        </w:tc>
      </w:tr>
      <w:tr>
        <w:trPr>
          <w:trHeight w:val="270"/>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w:t>
            </w: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r>
      <w:tr>
        <w:trPr>
          <w:trHeight w:val="27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480" w:type="dxa"/>
            <w:vAlign w:val="bottom"/>
            <w:gridSpan w:val="2"/>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$17,039</w:t>
            </w:r>
          </w:p>
        </w:tc>
        <w:tc>
          <w:tcPr>
            <w:tcW w:w="280" w:type="dxa"/>
            <w:vAlign w:val="bottom"/>
            <w:shd w:val="clear" w:color="auto" w:fill="CCEEFF"/>
          </w:tcPr>
          <w:p>
            <w:pPr>
              <w:spacing w:after="0"/>
              <w:rPr>
                <w:sz w:val="24"/>
                <w:szCs w:val="24"/>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Total net assets</w:t>
            </w:r>
          </w:p>
        </w:tc>
        <w:tc>
          <w:tcPr>
            <w:tcW w:w="480" w:type="dxa"/>
            <w:vAlign w:val="bottom"/>
            <w:gridSpan w:val="2"/>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$17,039</w:t>
            </w:r>
          </w:p>
        </w:tc>
        <w:tc>
          <w:tcPr>
            <w:tcW w:w="280" w:type="dxa"/>
            <w:vAlign w:val="bottom"/>
          </w:tcPr>
          <w:p>
            <w:pPr>
              <w:spacing w:after="0"/>
              <w:rPr>
                <w:sz w:val="24"/>
                <w:szCs w:val="24"/>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-753745</wp:posOffset>
            </wp:positionV>
            <wp:extent cx="52120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-2700020</wp:posOffset>
            </wp:positionV>
            <wp:extent cx="447484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Below are the statements of operations for CSLF II (dollars in thousands):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For the Year Ended</w:t>
            </w:r>
          </w:p>
        </w:tc>
        <w:tc>
          <w:tcPr>
            <w:tcW w:w="12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0"/>
              </w:rPr>
              <w:t>For the Year Ended</w:t>
            </w:r>
          </w:p>
        </w:tc>
      </w:tr>
      <w:tr>
        <w:trPr>
          <w:trHeight w:val="186"/>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December 31, 2020</w:t>
            </w:r>
          </w:p>
        </w:tc>
        <w:tc>
          <w:tcPr>
            <w:tcW w:w="12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0"/>
              </w:rPr>
              <w:t>December 31, 2019</w:t>
            </w:r>
          </w:p>
        </w:tc>
      </w:tr>
      <w:tr>
        <w:trPr>
          <w:trHeight w:val="25"/>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56"/>
        </w:trPr>
        <w:tc>
          <w:tcPr>
            <w:tcW w:w="53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1,372</w:t>
            </w:r>
          </w:p>
        </w:tc>
        <w:tc>
          <w:tcPr>
            <w:tcW w:w="320" w:type="dxa"/>
            <w:vAlign w:val="bottom"/>
          </w:tcPr>
          <w:p>
            <w:pPr>
              <w:spacing w:after="0"/>
              <w:rPr>
                <w:sz w:val="22"/>
                <w:szCs w:val="22"/>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Borders>
              <w:bottom w:val="single" w:sz="8" w:color="CCEEFF"/>
            </w:tcBorders>
            <w:gridSpan w:val="2"/>
            <w:shd w:val="clear" w:color="auto" w:fill="CCEEFF"/>
          </w:tcPr>
          <w:p>
            <w:pPr>
              <w:spacing w:after="0"/>
              <w:rPr>
                <w:sz w:val="22"/>
                <w:szCs w:val="22"/>
                <w:color w:val="auto"/>
              </w:rPr>
            </w:pPr>
          </w:p>
        </w:tc>
      </w:tr>
      <w:tr>
        <w:trPr>
          <w:trHeight w:val="263"/>
        </w:trPr>
        <w:tc>
          <w:tcPr>
            <w:tcW w:w="5380" w:type="dxa"/>
            <w:vAlign w:val="bottom"/>
          </w:tcPr>
          <w:p>
            <w:pPr>
              <w:ind w:left="180"/>
              <w:spacing w:after="0"/>
              <w:rPr>
                <w:sz w:val="20"/>
                <w:szCs w:val="20"/>
                <w:color w:val="auto"/>
              </w:rPr>
            </w:pPr>
            <w:r>
              <w:rPr>
                <w:rFonts w:ascii="Arial" w:cs="Arial" w:eastAsia="Arial" w:hAnsi="Arial"/>
                <w:sz w:val="18"/>
                <w:szCs w:val="18"/>
                <w:color w:val="auto"/>
              </w:rPr>
              <w:t>Total investment income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1,547</w:t>
            </w:r>
          </w:p>
        </w:tc>
        <w:tc>
          <w:tcPr>
            <w:tcW w:w="320" w:type="dxa"/>
            <w:vAlign w:val="bottom"/>
          </w:tcPr>
          <w:p>
            <w:pPr>
              <w:spacing w:after="0"/>
              <w:rPr>
                <w:sz w:val="22"/>
                <w:szCs w:val="22"/>
                <w:color w:val="auto"/>
              </w:rPr>
            </w:pPr>
          </w:p>
        </w:tc>
      </w:tr>
      <w:tr>
        <w:trPr>
          <w:trHeight w:val="257"/>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r>
      <w:tr>
        <w:trPr>
          <w:trHeight w:val="256"/>
        </w:trPr>
        <w:tc>
          <w:tcPr>
            <w:tcW w:w="538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1,135</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151</w:t>
            </w:r>
          </w:p>
        </w:tc>
      </w:tr>
      <w:tr>
        <w:trPr>
          <w:trHeight w:val="263"/>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Borders>
              <w:bottom w:val="single" w:sz="8" w:color="CCEEFF"/>
            </w:tcBorders>
            <w:gridSpan w:val="2"/>
            <w:shd w:val="clear" w:color="auto" w:fill="CCEEFF"/>
          </w:tcPr>
          <w:p>
            <w:pPr>
              <w:spacing w:after="0"/>
              <w:rPr>
                <w:sz w:val="22"/>
                <w:szCs w:val="22"/>
                <w:color w:val="auto"/>
              </w:rPr>
            </w:pPr>
          </w:p>
        </w:tc>
      </w:tr>
      <w:tr>
        <w:trPr>
          <w:trHeight w:val="264"/>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540" w:type="dxa"/>
            <w:vAlign w:val="bottom"/>
            <w:tcBorders>
              <w:bottom w:val="single" w:sz="8" w:color="CCEEFF"/>
            </w:tcBorders>
            <w:gridSpan w:val="2"/>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1,299</w:t>
            </w:r>
          </w:p>
        </w:tc>
        <w:tc>
          <w:tcPr>
            <w:tcW w:w="3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340" w:type="dxa"/>
            <w:vAlign w:val="bottom"/>
            <w:tcBorders>
              <w:bottom w:val="single" w:sz="8" w:color="CCEEFF"/>
            </w:tcBorders>
            <w:gridSpan w:val="2"/>
          </w:tcPr>
          <w:p>
            <w:pPr>
              <w:spacing w:after="0"/>
              <w:rPr>
                <w:sz w:val="22"/>
                <w:szCs w:val="22"/>
                <w:color w:val="auto"/>
              </w:rPr>
            </w:pPr>
          </w:p>
        </w:tc>
      </w:tr>
      <w:tr>
        <w:trPr>
          <w:trHeight w:val="263"/>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(LOSS) INCOME</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1,220</w:t>
            </w:r>
          </w:p>
        </w:tc>
        <w:tc>
          <w:tcPr>
            <w:tcW w:w="320" w:type="dxa"/>
            <w:vAlign w:val="bottom"/>
            <w:shd w:val="clear" w:color="auto" w:fill="CCEEFF"/>
          </w:tcPr>
          <w:p>
            <w:pPr>
              <w:spacing w:after="0"/>
              <w:rPr>
                <w:sz w:val="22"/>
                <w:szCs w:val="22"/>
                <w:color w:val="auto"/>
              </w:rPr>
            </w:pPr>
          </w:p>
        </w:tc>
      </w:tr>
      <w:tr>
        <w:trPr>
          <w:trHeight w:val="229"/>
        </w:trPr>
        <w:tc>
          <w:tcPr>
            <w:tcW w:w="5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INCREASE IN NET ASSETS RESULTING</w:t>
            </w: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FROM OPERATIONS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1,220</w:t>
            </w:r>
          </w:p>
        </w:tc>
        <w:tc>
          <w:tcPr>
            <w:tcW w:w="3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-522605</wp:posOffset>
            </wp:positionV>
            <wp:extent cx="52120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52120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-1893570</wp:posOffset>
            </wp:positionV>
            <wp:extent cx="444881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148" w:lineRule="exact"/>
        <w:rPr>
          <w:sz w:val="20"/>
          <w:szCs w:val="20"/>
          <w:color w:val="auto"/>
        </w:rPr>
      </w:pPr>
    </w:p>
    <w:p>
      <w:pPr>
        <w:jc w:val="both"/>
        <w:ind w:left="1260" w:right="760" w:firstLine="360"/>
        <w:spacing w:after="0" w:line="263" w:lineRule="auto"/>
        <w:rPr>
          <w:sz w:val="20"/>
          <w:szCs w:val="20"/>
          <w:color w:val="auto"/>
        </w:rPr>
      </w:pPr>
      <w:r>
        <w:rPr>
          <w:rFonts w:ascii="Arial" w:cs="Arial" w:eastAsia="Arial" w:hAnsi="Arial"/>
          <w:sz w:val="18"/>
          <w:szCs w:val="18"/>
          <w:color w:val="auto"/>
        </w:rPr>
        <w:t>During the year ended December 31, 2020, the Company had investments in portfolio companies designated as affiliates under the 1940 Act. Transactions with affiliates were as follows (dollars in thousands):</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Interest, Fees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or Dividends</w:t>
            </w: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58"/>
        </w:trPr>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1"/>
                <w:szCs w:val="21"/>
                <w:b w:val="1"/>
                <w:bCs w:val="1"/>
                <w:color w:val="auto"/>
                <w:vertAlign w:val="superscript"/>
              </w:rPr>
              <w:t>(4)</w:t>
            </w: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Principal</w:t>
            </w:r>
          </w:p>
        </w:tc>
        <w:tc>
          <w:tcPr>
            <w:tcW w:w="88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Credited to</w:t>
            </w:r>
          </w:p>
        </w:tc>
        <w:tc>
          <w:tcPr>
            <w:tcW w:w="680" w:type="dxa"/>
            <w:vAlign w:val="bottom"/>
            <w:gridSpan w:val="2"/>
          </w:tcPr>
          <w:p>
            <w:pPr>
              <w:jc w:val="center"/>
              <w:ind w:left="44"/>
              <w:spacing w:after="0" w:line="158"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7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3"/>
              </w:rPr>
              <w:t>Gross</w:t>
            </w:r>
          </w:p>
        </w:tc>
        <w:tc>
          <w:tcPr>
            <w:tcW w:w="82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Realized</w:t>
            </w:r>
          </w:p>
        </w:tc>
        <w:tc>
          <w:tcPr>
            <w:tcW w:w="96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Appreciation</w:t>
            </w:r>
          </w:p>
        </w:tc>
        <w:tc>
          <w:tcPr>
            <w:tcW w:w="680" w:type="dxa"/>
            <w:vAlign w:val="bottom"/>
            <w:gridSpan w:val="2"/>
          </w:tcPr>
          <w:p>
            <w:pPr>
              <w:jc w:val="center"/>
              <w:ind w:left="84"/>
              <w:spacing w:after="0" w:line="158"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Type of Investment</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4"/>
          </w:tcPr>
          <w:p>
            <w:pPr>
              <w:jc w:val="center"/>
              <w:ind w:right="40"/>
              <w:spacing w:after="0" w:line="203" w:lineRule="exact"/>
              <w:rPr>
                <w:sz w:val="20"/>
                <w:szCs w:val="20"/>
                <w:color w:val="auto"/>
              </w:rPr>
            </w:pPr>
            <w:r>
              <w:rPr>
                <w:rFonts w:ascii="Arial" w:cs="Arial" w:eastAsia="Arial" w:hAnsi="Arial"/>
                <w:sz w:val="14"/>
                <w:szCs w:val="14"/>
                <w:b w:val="1"/>
                <w:bCs w:val="1"/>
                <w:color w:val="auto"/>
                <w:w w:val="84"/>
              </w:rPr>
              <w:t>Income</w:t>
            </w:r>
            <w:r>
              <w:rPr>
                <w:rFonts w:ascii="Arial" w:cs="Arial" w:eastAsia="Arial" w:hAnsi="Arial"/>
                <w:sz w:val="21"/>
                <w:szCs w:val="21"/>
                <w:b w:val="1"/>
                <w:bCs w:val="1"/>
                <w:color w:val="auto"/>
                <w:w w:val="84"/>
                <w:vertAlign w:val="superscript"/>
              </w:rPr>
              <w:t>(1)</w:t>
            </w:r>
          </w:p>
        </w:tc>
        <w:tc>
          <w:tcPr>
            <w:tcW w:w="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Fair Value</w:t>
            </w:r>
          </w:p>
        </w:tc>
        <w:tc>
          <w:tcPr>
            <w:tcW w:w="780" w:type="dxa"/>
            <w:vAlign w:val="bottom"/>
            <w:gridSpan w:val="4"/>
          </w:tcPr>
          <w:p>
            <w:pPr>
              <w:jc w:val="center"/>
              <w:ind w:right="60"/>
              <w:spacing w:after="0" w:line="203" w:lineRule="exact"/>
              <w:rPr>
                <w:sz w:val="20"/>
                <w:szCs w:val="20"/>
                <w:color w:val="auto"/>
              </w:rPr>
            </w:pPr>
            <w:r>
              <w:rPr>
                <w:rFonts w:ascii="Arial" w:cs="Arial" w:eastAsia="Arial" w:hAnsi="Arial"/>
                <w:sz w:val="14"/>
                <w:szCs w:val="14"/>
                <w:b w:val="1"/>
                <w:bCs w:val="1"/>
                <w:color w:val="auto"/>
                <w:w w:val="83"/>
              </w:rPr>
              <w:t>Additions</w:t>
            </w:r>
            <w:r>
              <w:rPr>
                <w:rFonts w:ascii="Arial" w:cs="Arial" w:eastAsia="Arial" w:hAnsi="Arial"/>
                <w:sz w:val="21"/>
                <w:szCs w:val="21"/>
                <w:b w:val="1"/>
                <w:bCs w:val="1"/>
                <w:color w:val="auto"/>
                <w:w w:val="83"/>
                <w:vertAlign w:val="superscript"/>
              </w:rPr>
              <w:t>(2)</w:t>
            </w:r>
          </w:p>
        </w:tc>
        <w:tc>
          <w:tcPr>
            <w:tcW w:w="840" w:type="dxa"/>
            <w:vAlign w:val="bottom"/>
            <w:gridSpan w:val="4"/>
          </w:tcPr>
          <w:p>
            <w:pPr>
              <w:jc w:val="center"/>
              <w:ind w:right="60"/>
              <w:spacing w:after="0" w:line="203" w:lineRule="exact"/>
              <w:rPr>
                <w:sz w:val="20"/>
                <w:szCs w:val="20"/>
                <w:color w:val="auto"/>
              </w:rPr>
            </w:pPr>
            <w:r>
              <w:rPr>
                <w:rFonts w:ascii="Arial" w:cs="Arial" w:eastAsia="Arial" w:hAnsi="Arial"/>
                <w:sz w:val="14"/>
                <w:szCs w:val="14"/>
                <w:b w:val="1"/>
                <w:bCs w:val="1"/>
                <w:color w:val="auto"/>
                <w:w w:val="83"/>
              </w:rPr>
              <w:t>Reductions</w:t>
            </w:r>
            <w:r>
              <w:rPr>
                <w:rFonts w:ascii="Arial" w:cs="Arial" w:eastAsia="Arial" w:hAnsi="Arial"/>
                <w:sz w:val="21"/>
                <w:szCs w:val="21"/>
                <w:b w:val="1"/>
                <w:bCs w:val="1"/>
                <w:color w:val="auto"/>
                <w:w w:val="83"/>
                <w:vertAlign w:val="superscript"/>
              </w:rPr>
              <w:t>(3)</w:t>
            </w:r>
          </w:p>
        </w:tc>
        <w:tc>
          <w:tcPr>
            <w:tcW w:w="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Gain/(Loss)</w:t>
            </w:r>
          </w:p>
        </w:tc>
        <w:tc>
          <w:tcPr>
            <w:tcW w:w="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(Depreciation)</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2"/>
        </w:trPr>
        <w:tc>
          <w:tcPr>
            <w:tcW w:w="13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w w:val="88"/>
              </w:rPr>
              <w:t>Affiliate investments</w:t>
            </w:r>
          </w:p>
        </w:tc>
        <w:tc>
          <w:tcPr>
            <w:tcW w:w="6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Burgaflex</w:t>
            </w: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gridSpan w:val="2"/>
          </w:tcPr>
          <w:p>
            <w:pPr>
              <w:spacing w:after="0" w:line="142" w:lineRule="exact"/>
              <w:rPr>
                <w:sz w:val="20"/>
                <w:szCs w:val="20"/>
                <w:color w:val="auto"/>
              </w:rPr>
            </w:pPr>
            <w:r>
              <w:rPr>
                <w:rFonts w:ascii="Arial" w:cs="Arial" w:eastAsia="Arial" w:hAnsi="Arial"/>
                <w:sz w:val="15"/>
                <w:szCs w:val="15"/>
                <w:color w:val="auto"/>
              </w:rPr>
              <w:t>First Lien Debt (12.0%</w:t>
            </w: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Holdings, LLC</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Cash, 3.0% PIK, Due</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w w:val="99"/>
              </w:rPr>
              <w:t>$13,597</w:t>
            </w:r>
          </w:p>
        </w:tc>
        <w:tc>
          <w:tcPr>
            <w:tcW w:w="6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$1,707</w:t>
            </w:r>
          </w:p>
        </w:tc>
        <w:tc>
          <w:tcPr>
            <w:tcW w:w="6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$14,421</w:t>
            </w:r>
          </w:p>
        </w:tc>
        <w:tc>
          <w:tcPr>
            <w:tcW w:w="6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  427</w:t>
            </w:r>
          </w:p>
        </w:tc>
        <w:tc>
          <w:tcPr>
            <w:tcW w:w="60" w:type="dxa"/>
            <w:vAlign w:val="bottom"/>
          </w:tcPr>
          <w:p>
            <w:pPr>
              <w:spacing w:after="0"/>
              <w:rPr>
                <w:sz w:val="12"/>
                <w:szCs w:val="12"/>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 (1,250)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vMerge w:val="restart"/>
          </w:tcPr>
          <w:p>
            <w:pPr>
              <w:jc w:val="center"/>
              <w:ind w:right="220"/>
              <w:spacing w:after="0"/>
              <w:rPr>
                <w:sz w:val="20"/>
                <w:szCs w:val="20"/>
                <w:color w:val="auto"/>
              </w:rPr>
            </w:pPr>
            <w:r>
              <w:rPr>
                <w:rFonts w:ascii="Arial" w:cs="Arial" w:eastAsia="Arial" w:hAnsi="Arial"/>
                <w:sz w:val="15"/>
                <w:szCs w:val="15"/>
                <w:color w:val="auto"/>
              </w:rPr>
              <w:t>$   —</w:t>
            </w: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    (1)</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$13,597</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Arial" w:cs="Arial" w:eastAsia="Arial" w:hAnsi="Arial"/>
                <w:sz w:val="15"/>
                <w:szCs w:val="15"/>
                <w:color w:val="auto"/>
              </w:rPr>
              <w:t>3/23/21)</w:t>
            </w:r>
          </w:p>
        </w:tc>
        <w:tc>
          <w:tcPr>
            <w:tcW w:w="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Burgaflex</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Stock Class B</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635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703</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1,338</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Holdings, LLC</w:t>
            </w: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(1,085,073 shares)</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Burgaflex</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Common Stock Class A</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Holdings, LLC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(1,253,198 shares)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1,707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15,056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427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(1,250)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14,935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City Gear, LLC</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Membership Unit</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3,326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(1,341)</w:t>
            </w:r>
          </w:p>
        </w:tc>
        <w:tc>
          <w:tcPr>
            <w:tcW w:w="60" w:type="dxa"/>
            <w:vAlign w:val="bottom"/>
          </w:tcPr>
          <w:p>
            <w:pPr>
              <w:spacing w:after="0"/>
              <w:rPr>
                <w:sz w:val="11"/>
                <w:szCs w:val="11"/>
                <w:color w:val="auto"/>
              </w:rPr>
            </w:pPr>
          </w:p>
        </w:tc>
        <w:tc>
          <w:tcPr>
            <w:tcW w:w="740" w:type="dxa"/>
            <w:vAlign w:val="bottom"/>
            <w:gridSpan w:val="3"/>
            <w:vMerge w:val="restart"/>
          </w:tcPr>
          <w:p>
            <w:pPr>
              <w:ind w:left="240"/>
              <w:spacing w:after="0"/>
              <w:rPr>
                <w:sz w:val="20"/>
                <w:szCs w:val="20"/>
                <w:color w:val="auto"/>
              </w:rPr>
            </w:pPr>
            <w:r>
              <w:rPr>
                <w:rFonts w:ascii="Arial" w:cs="Arial" w:eastAsia="Arial" w:hAnsi="Arial"/>
                <w:sz w:val="15"/>
                <w:szCs w:val="15"/>
                <w:color w:val="auto"/>
              </w:rPr>
              <w:t>1,341</w:t>
            </w:r>
          </w:p>
        </w:tc>
        <w:tc>
          <w:tcPr>
            <w:tcW w:w="8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(1,315)</w:t>
            </w:r>
          </w:p>
        </w:tc>
        <w:tc>
          <w:tcPr>
            <w:tcW w:w="80" w:type="dxa"/>
            <w:vAlign w:val="bottom"/>
          </w:tcPr>
          <w:p>
            <w:pPr>
              <w:spacing w:after="0"/>
              <w:rPr>
                <w:sz w:val="11"/>
                <w:szCs w:val="11"/>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2,011</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Warrants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3,326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(1,341)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80"/>
              <w:spacing w:after="0" w:line="169" w:lineRule="exact"/>
              <w:rPr>
                <w:sz w:val="20"/>
                <w:szCs w:val="20"/>
                <w:color w:val="auto"/>
              </w:rPr>
            </w:pPr>
            <w:r>
              <w:rPr>
                <w:rFonts w:ascii="Arial" w:cs="Arial" w:eastAsia="Arial" w:hAnsi="Arial"/>
                <w:sz w:val="15"/>
                <w:szCs w:val="15"/>
                <w:color w:val="auto"/>
                <w:w w:val="85"/>
              </w:rPr>
              <w:t>1,341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6"/>
              </w:rPr>
              <w:t>(1,315)</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2,011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Eastport Holdings,</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Second Lien Debt</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(13.5% Cash (3 month</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LIBOR + 13.0%, 0.5%</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16,500</w:t>
            </w:r>
          </w:p>
        </w:tc>
        <w:tc>
          <w:tcPr>
            <w:tcW w:w="6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2,498</w:t>
            </w:r>
          </w:p>
        </w:tc>
        <w:tc>
          <w:tcPr>
            <w:tcW w:w="6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16,500</w:t>
            </w:r>
          </w:p>
        </w:tc>
        <w:tc>
          <w:tcPr>
            <w:tcW w:w="6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173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(173)</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16,500</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Floor), Due 12/29/21)</w:t>
            </w: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Eastport Holdings,</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Membership Units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17,822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2,472</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20,294</w:t>
            </w:r>
          </w:p>
        </w:tc>
        <w:tc>
          <w:tcPr>
            <w:tcW w:w="0" w:type="dxa"/>
            <w:vAlign w:val="bottom"/>
          </w:tcPr>
          <w:p>
            <w:pPr>
              <w:spacing w:after="0"/>
              <w:rPr>
                <w:sz w:val="1"/>
                <w:szCs w:val="1"/>
                <w:color w:val="auto"/>
              </w:rPr>
            </w:pPr>
          </w:p>
        </w:tc>
      </w:tr>
      <w:tr>
        <w:trPr>
          <w:trHeight w:val="189"/>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(22.9% ownership)</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4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58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2,498</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34,322</w:t>
            </w:r>
          </w:p>
        </w:tc>
        <w:tc>
          <w:tcPr>
            <w:tcW w:w="16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173</w:t>
            </w:r>
          </w:p>
        </w:tc>
        <w:tc>
          <w:tcPr>
            <w:tcW w:w="1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ind w:left="28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2,299</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36,794</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GA</w:t>
            </w:r>
          </w:p>
        </w:tc>
        <w:tc>
          <w:tcPr>
            <w:tcW w:w="6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Series A-1 Preferred</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Communications,</w:t>
            </w:r>
          </w:p>
        </w:tc>
        <w:tc>
          <w:tcPr>
            <w:tcW w:w="60" w:type="dxa"/>
            <w:vAlign w:val="bottom"/>
            <w:shd w:val="clear" w:color="auto" w:fill="CCEEFF"/>
          </w:tcPr>
          <w:p>
            <w:pPr>
              <w:spacing w:after="0"/>
              <w:rPr>
                <w:sz w:val="12"/>
                <w:szCs w:val="12"/>
                <w:color w:val="auto"/>
              </w:rPr>
            </w:pPr>
          </w:p>
        </w:tc>
        <w:tc>
          <w:tcPr>
            <w:tcW w:w="168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3,761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305</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4,066</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Inc.</w:t>
            </w: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 (1,998 shares)</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GA</w:t>
            </w:r>
          </w:p>
        </w:tc>
        <w:tc>
          <w:tcPr>
            <w:tcW w:w="6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5"/>
                <w:szCs w:val="15"/>
                <w:color w:val="auto"/>
              </w:rPr>
              <w:t>Series B-1 Common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Communications,</w:t>
            </w:r>
          </w:p>
        </w:tc>
        <w:tc>
          <w:tcPr>
            <w:tcW w:w="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501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(355)</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Inc.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Stock (200,000 shares)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4,262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4,212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LJS Partners, LLC</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Preferred Units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372</w:t>
            </w:r>
          </w:p>
        </w:tc>
        <w:tc>
          <w:tcPr>
            <w:tcW w:w="60" w:type="dxa"/>
            <w:vAlign w:val="bottom"/>
          </w:tcPr>
          <w:p>
            <w:pPr>
              <w:spacing w:after="0"/>
              <w:rPr>
                <w:sz w:val="11"/>
                <w:szCs w:val="11"/>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145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1"/>
                <w:szCs w:val="11"/>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239</w:t>
            </w:r>
          </w:p>
        </w:tc>
        <w:tc>
          <w:tcPr>
            <w:tcW w:w="80" w:type="dxa"/>
            <w:vAlign w:val="bottom"/>
          </w:tcPr>
          <w:p>
            <w:pPr>
              <w:spacing w:after="0"/>
              <w:rPr>
                <w:sz w:val="11"/>
                <w:szCs w:val="11"/>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756</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(189,044 units)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LJS Partners, LLC</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Membership</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1,509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2,442</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3,951</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Units (2,593,234 units)</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4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58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1,881</w:t>
            </w:r>
          </w:p>
        </w:tc>
        <w:tc>
          <w:tcPr>
            <w:tcW w:w="16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145</w:t>
            </w:r>
          </w:p>
        </w:tc>
        <w:tc>
          <w:tcPr>
            <w:tcW w:w="1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ind w:left="28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2,681</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4,707</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MMI Holdings,</w:t>
            </w: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First Lien Debt (12.0%</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290</w:t>
            </w:r>
          </w:p>
        </w:tc>
        <w:tc>
          <w:tcPr>
            <w:tcW w:w="6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2,600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660" w:type="dxa"/>
            <w:vAlign w:val="bottom"/>
            <w:gridSpan w:val="3"/>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2,600</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Due 9/30/21)</w:t>
            </w:r>
          </w:p>
        </w:tc>
        <w:tc>
          <w:tcPr>
            <w:tcW w:w="5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MMI Holdings,</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Second Lien Debt (6.0%</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400</w:t>
            </w:r>
          </w:p>
        </w:tc>
        <w:tc>
          <w:tcPr>
            <w:tcW w:w="6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400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75"/>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Cash, Due 9/30/21)</w:t>
            </w: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MMI Holdings,</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Preferred Units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 xml:space="preserve">LLC </w:t>
            </w:r>
            <w:r>
              <w:rPr>
                <w:rFonts w:ascii="Arial" w:cs="Arial" w:eastAsia="Arial" w:hAnsi="Arial"/>
                <w:sz w:val="17"/>
                <w:szCs w:val="17"/>
                <w:color w:val="auto"/>
                <w:vertAlign w:val="superscript"/>
              </w:rPr>
              <w:t>(5)</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(1,000 units, 6.0% PIK</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1,710</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104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1,815</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Dividend)</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MMI Holdings,</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Common Membership</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194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Units (45 units)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311</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4,904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5,019</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Navis Holdings,</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First Lien Debt (9.0%</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Inc.</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Cash, 2.0% PIK, Due</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11,031</w:t>
            </w:r>
          </w:p>
        </w:tc>
        <w:tc>
          <w:tcPr>
            <w:tcW w:w="6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1,084</w:t>
            </w:r>
          </w:p>
        </w:tc>
        <w:tc>
          <w:tcPr>
            <w:tcW w:w="6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10,100</w:t>
            </w:r>
          </w:p>
        </w:tc>
        <w:tc>
          <w:tcPr>
            <w:tcW w:w="6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1,875</w:t>
            </w:r>
          </w:p>
        </w:tc>
        <w:tc>
          <w:tcPr>
            <w:tcW w:w="60" w:type="dxa"/>
            <w:vAlign w:val="bottom"/>
          </w:tcPr>
          <w:p>
            <w:pPr>
              <w:spacing w:after="0"/>
              <w:rPr>
                <w:sz w:val="12"/>
                <w:szCs w:val="12"/>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(944)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(149)</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10,882</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Arial" w:cs="Arial" w:eastAsia="Arial" w:hAnsi="Arial"/>
                <w:sz w:val="15"/>
                <w:szCs w:val="15"/>
                <w:color w:val="auto"/>
              </w:rPr>
              <w:t>6/30/23)</w:t>
            </w:r>
          </w:p>
        </w:tc>
        <w:tc>
          <w:tcPr>
            <w:tcW w:w="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Navis Holdings,</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Class A Preferred Stock</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25</w:t>
            </w:r>
          </w:p>
        </w:tc>
        <w:tc>
          <w:tcPr>
            <w:tcW w:w="6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986</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Inc.</w:t>
            </w: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(1,000 shares)</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Navis Holdings,</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Common Stock (60,000</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464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(464)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Inc.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shares)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1,109</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11,564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1,875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(944)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(627)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11,868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Nth Degree</w:t>
            </w:r>
          </w:p>
        </w:tc>
        <w:tc>
          <w:tcPr>
            <w:tcW w:w="60" w:type="dxa"/>
            <w:vAlign w:val="bottom"/>
          </w:tcPr>
          <w:p>
            <w:pPr>
              <w:spacing w:after="0"/>
              <w:rPr>
                <w:sz w:val="11"/>
                <w:szCs w:val="11"/>
                <w:color w:val="auto"/>
              </w:rPr>
            </w:pPr>
          </w:p>
        </w:tc>
        <w:tc>
          <w:tcPr>
            <w:tcW w:w="1680" w:type="dxa"/>
            <w:vAlign w:val="bottom"/>
            <w:gridSpan w:val="2"/>
            <w:vMerge w:val="restart"/>
          </w:tcPr>
          <w:p>
            <w:pPr>
              <w:spacing w:after="0"/>
              <w:rPr>
                <w:sz w:val="20"/>
                <w:szCs w:val="20"/>
                <w:color w:val="auto"/>
              </w:rPr>
            </w:pPr>
            <w:r>
              <w:rPr>
                <w:rFonts w:ascii="Arial" w:cs="Arial" w:eastAsia="Arial" w:hAnsi="Arial"/>
                <w:sz w:val="15"/>
                <w:szCs w:val="15"/>
                <w:color w:val="auto"/>
              </w:rPr>
              <w:t>Membership Units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Investment</w:t>
            </w:r>
          </w:p>
        </w:tc>
        <w:tc>
          <w:tcPr>
            <w:tcW w:w="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6,088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60" w:type="dxa"/>
            <w:vAlign w:val="bottom"/>
            <w:gridSpan w:val="3"/>
            <w:vMerge w:val="restart"/>
          </w:tcPr>
          <w:p>
            <w:pPr>
              <w:ind w:left="280"/>
              <w:spacing w:after="0"/>
              <w:rPr>
                <w:sz w:val="20"/>
                <w:szCs w:val="20"/>
                <w:color w:val="auto"/>
              </w:rPr>
            </w:pPr>
            <w:r>
              <w:rPr>
                <w:rFonts w:ascii="Arial" w:cs="Arial" w:eastAsia="Arial" w:hAnsi="Arial"/>
                <w:sz w:val="15"/>
                <w:szCs w:val="15"/>
                <w:color w:val="auto"/>
              </w:rPr>
              <w:t>—</w:t>
            </w: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(6,088)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Group, LLC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(6,088,000 Units)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6,088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6"/>
              </w:rPr>
              <w:t>(6,088)</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6389370</wp:posOffset>
            </wp:positionH>
            <wp:positionV relativeFrom="paragraph">
              <wp:posOffset>-128270</wp:posOffset>
            </wp:positionV>
            <wp:extent cx="1028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-128270</wp:posOffset>
            </wp:positionV>
            <wp:extent cx="28257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-128270</wp:posOffset>
            </wp:positionV>
            <wp:extent cx="2743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-128270</wp:posOffset>
            </wp:positionV>
            <wp:extent cx="22288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-128270</wp:posOffset>
            </wp:positionV>
            <wp:extent cx="2057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-128270</wp:posOffset>
            </wp:positionV>
            <wp:extent cx="35744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-556895</wp:posOffset>
            </wp:positionV>
            <wp:extent cx="10287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-556895</wp:posOffset>
            </wp:positionV>
            <wp:extent cx="2825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-556895</wp:posOffset>
            </wp:positionV>
            <wp:extent cx="2743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-556895</wp:posOffset>
            </wp:positionV>
            <wp:extent cx="22288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-556895</wp:posOffset>
            </wp:positionV>
            <wp:extent cx="20574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-556895</wp:posOffset>
            </wp:positionV>
            <wp:extent cx="357441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-1396365</wp:posOffset>
            </wp:positionV>
            <wp:extent cx="1028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-1396365</wp:posOffset>
            </wp:positionV>
            <wp:extent cx="28257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-1396365</wp:posOffset>
            </wp:positionV>
            <wp:extent cx="274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-1396365</wp:posOffset>
            </wp:positionV>
            <wp:extent cx="22288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-1396365</wp:posOffset>
            </wp:positionV>
            <wp:extent cx="2057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-1396365</wp:posOffset>
            </wp:positionV>
            <wp:extent cx="357441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-2322195</wp:posOffset>
            </wp:positionV>
            <wp:extent cx="1028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-2322195</wp:posOffset>
            </wp:positionV>
            <wp:extent cx="28257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-2322195</wp:posOffset>
            </wp:positionV>
            <wp:extent cx="274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-2322195</wp:posOffset>
            </wp:positionV>
            <wp:extent cx="22288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-2322195</wp:posOffset>
            </wp:positionV>
            <wp:extent cx="20574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-2322195</wp:posOffset>
            </wp:positionV>
            <wp:extent cx="357441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-2982595</wp:posOffset>
            </wp:positionV>
            <wp:extent cx="10287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-2982595</wp:posOffset>
            </wp:positionV>
            <wp:extent cx="28257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-2982595</wp:posOffset>
            </wp:positionV>
            <wp:extent cx="2743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-2982595</wp:posOffset>
            </wp:positionV>
            <wp:extent cx="22288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-2982595</wp:posOffset>
            </wp:positionV>
            <wp:extent cx="20574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-2982595</wp:posOffset>
            </wp:positionV>
            <wp:extent cx="357441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-3590925</wp:posOffset>
            </wp:positionV>
            <wp:extent cx="1028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-3590925</wp:posOffset>
            </wp:positionV>
            <wp:extent cx="28257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-3590925</wp:posOffset>
            </wp:positionV>
            <wp:extent cx="2743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-3590925</wp:posOffset>
            </wp:positionV>
            <wp:extent cx="22288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-3590925</wp:posOffset>
            </wp:positionV>
            <wp:extent cx="20574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-3590925</wp:posOffset>
            </wp:positionV>
            <wp:extent cx="357441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-4439920</wp:posOffset>
            </wp:positionV>
            <wp:extent cx="10287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-4439920</wp:posOffset>
            </wp:positionV>
            <wp:extent cx="28257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-4439920</wp:posOffset>
            </wp:positionV>
            <wp:extent cx="2743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-4439920</wp:posOffset>
            </wp:positionV>
            <wp:extent cx="22288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-4439920</wp:posOffset>
            </wp:positionV>
            <wp:extent cx="20574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-4439920</wp:posOffset>
            </wp:positionV>
            <wp:extent cx="357441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-4773930</wp:posOffset>
            </wp:positionV>
            <wp:extent cx="1028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-4773930</wp:posOffset>
            </wp:positionV>
            <wp:extent cx="28257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-4773930</wp:posOffset>
            </wp:positionV>
            <wp:extent cx="274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-4773930</wp:posOffset>
            </wp:positionV>
            <wp:extent cx="22288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-4773930</wp:posOffset>
            </wp:positionV>
            <wp:extent cx="2057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-4773930</wp:posOffset>
            </wp:positionV>
            <wp:extent cx="357441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-5605780</wp:posOffset>
            </wp:positionV>
            <wp:extent cx="5143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-5605780</wp:posOffset>
            </wp:positionV>
            <wp:extent cx="5143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-5605780</wp:posOffset>
            </wp:positionV>
            <wp:extent cx="431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-5605780</wp:posOffset>
            </wp:positionV>
            <wp:extent cx="342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-5605780</wp:posOffset>
            </wp:positionV>
            <wp:extent cx="342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-5605780</wp:posOffset>
            </wp:positionV>
            <wp:extent cx="342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-5605780</wp:posOffset>
            </wp:positionV>
            <wp:extent cx="342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-5605780</wp:posOffset>
            </wp:positionV>
            <wp:extent cx="342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-5605780</wp:posOffset>
            </wp:positionV>
            <wp:extent cx="342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5. Transactions With Affiliated Companies – (continued)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Interest, Fees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or Dividends</w:t>
            </w:r>
          </w:p>
        </w:tc>
        <w:tc>
          <w:tcPr>
            <w:tcW w:w="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58"/>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1"/>
                <w:szCs w:val="21"/>
                <w:b w:val="1"/>
                <w:bCs w:val="1"/>
                <w:color w:val="auto"/>
                <w:vertAlign w:val="superscript"/>
              </w:rPr>
              <w:t>(4)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Principal</w:t>
            </w:r>
          </w:p>
        </w:tc>
        <w:tc>
          <w:tcPr>
            <w:tcW w:w="880" w:type="dxa"/>
            <w:vAlign w:val="bottom"/>
            <w:gridSpan w:val="5"/>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Credited to</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center"/>
              <w:ind w:right="64"/>
              <w:spacing w:after="0" w:line="158"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83"/>
              </w:rPr>
              <w:t>Gross</w:t>
            </w:r>
          </w:p>
        </w:tc>
        <w:tc>
          <w:tcPr>
            <w:tcW w:w="820" w:type="dxa"/>
            <w:vAlign w:val="bottom"/>
            <w:gridSpan w:val="5"/>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Realized</w:t>
            </w:r>
          </w:p>
        </w:tc>
        <w:tc>
          <w:tcPr>
            <w:tcW w:w="960" w:type="dxa"/>
            <w:vAlign w:val="bottom"/>
            <w:gridSpan w:val="5"/>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Appreciation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Type of Investment</w:t>
            </w:r>
          </w:p>
        </w:tc>
        <w:tc>
          <w:tcPr>
            <w:tcW w:w="4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5"/>
          </w:tcPr>
          <w:p>
            <w:pPr>
              <w:jc w:val="center"/>
              <w:ind w:right="40"/>
              <w:spacing w:after="0" w:line="203" w:lineRule="exact"/>
              <w:rPr>
                <w:sz w:val="20"/>
                <w:szCs w:val="20"/>
                <w:color w:val="auto"/>
              </w:rPr>
            </w:pPr>
            <w:r>
              <w:rPr>
                <w:rFonts w:ascii="Arial" w:cs="Arial" w:eastAsia="Arial" w:hAnsi="Arial"/>
                <w:sz w:val="14"/>
                <w:szCs w:val="14"/>
                <w:b w:val="1"/>
                <w:bCs w:val="1"/>
                <w:color w:val="auto"/>
                <w:w w:val="84"/>
              </w:rPr>
              <w:t>Income</w:t>
            </w:r>
            <w:r>
              <w:rPr>
                <w:rFonts w:ascii="Arial" w:cs="Arial" w:eastAsia="Arial" w:hAnsi="Arial"/>
                <w:sz w:val="21"/>
                <w:szCs w:val="21"/>
                <w:b w:val="1"/>
                <w:bCs w:val="1"/>
                <w:color w:val="auto"/>
                <w:w w:val="84"/>
                <w:vertAlign w:val="superscript"/>
              </w:rPr>
              <w:t>(1)</w:t>
            </w:r>
          </w:p>
        </w:tc>
        <w:tc>
          <w:tcPr>
            <w:tcW w:w="9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Fair Value</w:t>
            </w:r>
          </w:p>
        </w:tc>
        <w:tc>
          <w:tcPr>
            <w:tcW w:w="800" w:type="dxa"/>
            <w:vAlign w:val="bottom"/>
            <w:gridSpan w:val="5"/>
          </w:tcPr>
          <w:p>
            <w:pPr>
              <w:jc w:val="center"/>
              <w:ind w:right="60"/>
              <w:spacing w:after="0" w:line="203" w:lineRule="exact"/>
              <w:rPr>
                <w:sz w:val="20"/>
                <w:szCs w:val="20"/>
                <w:color w:val="auto"/>
              </w:rPr>
            </w:pPr>
            <w:r>
              <w:rPr>
                <w:rFonts w:ascii="Arial" w:cs="Arial" w:eastAsia="Arial" w:hAnsi="Arial"/>
                <w:sz w:val="14"/>
                <w:szCs w:val="14"/>
                <w:b w:val="1"/>
                <w:bCs w:val="1"/>
                <w:color w:val="auto"/>
                <w:w w:val="85"/>
              </w:rPr>
              <w:t>Additions</w:t>
            </w:r>
            <w:r>
              <w:rPr>
                <w:rFonts w:ascii="Arial" w:cs="Arial" w:eastAsia="Arial" w:hAnsi="Arial"/>
                <w:sz w:val="21"/>
                <w:szCs w:val="21"/>
                <w:b w:val="1"/>
                <w:bCs w:val="1"/>
                <w:color w:val="auto"/>
                <w:w w:val="85"/>
                <w:vertAlign w:val="superscript"/>
              </w:rPr>
              <w:t>(2)</w:t>
            </w:r>
          </w:p>
        </w:tc>
        <w:tc>
          <w:tcPr>
            <w:tcW w:w="880" w:type="dxa"/>
            <w:vAlign w:val="bottom"/>
            <w:gridSpan w:val="5"/>
          </w:tcPr>
          <w:p>
            <w:pPr>
              <w:jc w:val="center"/>
              <w:ind w:right="60"/>
              <w:spacing w:after="0" w:line="203" w:lineRule="exact"/>
              <w:rPr>
                <w:sz w:val="20"/>
                <w:szCs w:val="20"/>
                <w:color w:val="auto"/>
              </w:rPr>
            </w:pPr>
            <w:r>
              <w:rPr>
                <w:rFonts w:ascii="Arial" w:cs="Arial" w:eastAsia="Arial" w:hAnsi="Arial"/>
                <w:sz w:val="14"/>
                <w:szCs w:val="14"/>
                <w:b w:val="1"/>
                <w:bCs w:val="1"/>
                <w:color w:val="auto"/>
                <w:w w:val="83"/>
              </w:rPr>
              <w:t>Reductions</w:t>
            </w:r>
            <w:r>
              <w:rPr>
                <w:rFonts w:ascii="Arial" w:cs="Arial" w:eastAsia="Arial" w:hAnsi="Arial"/>
                <w:sz w:val="21"/>
                <w:szCs w:val="21"/>
                <w:b w:val="1"/>
                <w:bCs w:val="1"/>
                <w:color w:val="auto"/>
                <w:w w:val="83"/>
                <w:vertAlign w:val="superscript"/>
              </w:rPr>
              <w:t>(3)</w:t>
            </w:r>
          </w:p>
        </w:tc>
        <w:tc>
          <w:tcPr>
            <w:tcW w:w="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Gain/(Loss)</w:t>
            </w:r>
          </w:p>
        </w:tc>
        <w:tc>
          <w:tcPr>
            <w:tcW w:w="9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(Depreciation)</w:t>
            </w: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29"/>
        </w:trPr>
        <w:tc>
          <w:tcPr>
            <w:tcW w:w="12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RAM Payment,</w:t>
            </w:r>
          </w:p>
        </w:tc>
        <w:tc>
          <w:tcPr>
            <w:tcW w:w="6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color w:val="auto"/>
              </w:rPr>
              <w:t>First Lien Debt (6.5%</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Cash (1 month</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LIBOR + 5.0%, 1.5%</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2,451</w:t>
            </w:r>
          </w:p>
        </w:tc>
        <w:tc>
          <w:tcPr>
            <w:tcW w:w="6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113</w:t>
            </w:r>
          </w:p>
        </w:tc>
        <w:tc>
          <w:tcPr>
            <w:tcW w:w="6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85"/>
              </w:rPr>
              <w:t>3,069</w:t>
            </w:r>
          </w:p>
        </w:tc>
        <w:tc>
          <w:tcPr>
            <w:tcW w:w="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(618)</w:t>
            </w:r>
          </w:p>
        </w:tc>
        <w:tc>
          <w:tcPr>
            <w:tcW w:w="8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3"/>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2,451</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Floor), Due 1/4/24)</w:t>
            </w:r>
          </w:p>
        </w:tc>
        <w:tc>
          <w:tcPr>
            <w:tcW w:w="220" w:type="dxa"/>
            <w:vAlign w:val="bottom"/>
            <w:gridSpan w:val="2"/>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5"/>
                <w:szCs w:val="15"/>
                <w:color w:val="auto"/>
              </w:rPr>
              <w:t>RAM Payment,</w:t>
            </w:r>
          </w:p>
        </w:tc>
        <w:tc>
          <w:tcPr>
            <w:tcW w:w="60" w:type="dxa"/>
            <w:vAlign w:val="bottom"/>
          </w:tcPr>
          <w:p>
            <w:pPr>
              <w:spacing w:after="0"/>
              <w:rPr>
                <w:sz w:val="12"/>
                <w:szCs w:val="12"/>
                <w:color w:val="auto"/>
              </w:rPr>
            </w:pPr>
          </w:p>
        </w:tc>
        <w:tc>
          <w:tcPr>
            <w:tcW w:w="1640" w:type="dxa"/>
            <w:vAlign w:val="bottom"/>
            <w:gridSpan w:val="4"/>
          </w:tcPr>
          <w:p>
            <w:pPr>
              <w:spacing w:after="0" w:line="149" w:lineRule="exact"/>
              <w:rPr>
                <w:sz w:val="20"/>
                <w:szCs w:val="20"/>
                <w:color w:val="auto"/>
              </w:rPr>
            </w:pPr>
            <w:r>
              <w:rPr>
                <w:rFonts w:ascii="Arial" w:cs="Arial" w:eastAsia="Arial" w:hAnsi="Arial"/>
                <w:sz w:val="15"/>
                <w:szCs w:val="15"/>
                <w:color w:val="auto"/>
              </w:rPr>
              <w:t>First Lien Debt (9.8%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w w:val="95"/>
              </w:rPr>
              <w:t>6,646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832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9,019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(2,372)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vMerge w:val="restart"/>
          </w:tcPr>
          <w:p>
            <w:pPr>
              <w:ind w:lef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6,646</w:t>
            </w:r>
          </w:p>
        </w:tc>
        <w:tc>
          <w:tcPr>
            <w:tcW w:w="0" w:type="dxa"/>
            <w:vAlign w:val="bottom"/>
          </w:tcPr>
          <w:p>
            <w:pPr>
              <w:spacing w:after="0"/>
              <w:rPr>
                <w:sz w:val="1"/>
                <w:szCs w:val="1"/>
                <w:color w:val="auto"/>
              </w:rPr>
            </w:pPr>
          </w:p>
        </w:tc>
      </w:tr>
      <w:tr>
        <w:trPr>
          <w:trHeight w:val="175"/>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5"/>
                <w:szCs w:val="15"/>
                <w:color w:val="auto"/>
              </w:rPr>
            </w:pPr>
          </w:p>
        </w:tc>
        <w:tc>
          <w:tcPr>
            <w:tcW w:w="1640" w:type="dxa"/>
            <w:vAlign w:val="bottom"/>
            <w:gridSpan w:val="4"/>
          </w:tcPr>
          <w:p>
            <w:pPr>
              <w:spacing w:after="0"/>
              <w:rPr>
                <w:sz w:val="20"/>
                <w:szCs w:val="20"/>
                <w:color w:val="auto"/>
              </w:rPr>
            </w:pPr>
            <w:r>
              <w:rPr>
                <w:rFonts w:ascii="Arial" w:cs="Arial" w:eastAsia="Arial" w:hAnsi="Arial"/>
                <w:sz w:val="15"/>
                <w:szCs w:val="15"/>
                <w:color w:val="auto"/>
              </w:rPr>
              <w:t>Cash, Due 1/4/24)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RAM Payment,</w:t>
            </w:r>
          </w:p>
        </w:tc>
        <w:tc>
          <w:tcPr>
            <w:tcW w:w="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Preferred Units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 xml:space="preserve">LLC </w:t>
            </w:r>
            <w:r>
              <w:rPr>
                <w:rFonts w:ascii="Arial" w:cs="Arial" w:eastAsia="Arial" w:hAnsi="Arial"/>
                <w:sz w:val="17"/>
                <w:szCs w:val="17"/>
                <w:color w:val="auto"/>
                <w:vertAlign w:val="superscript"/>
              </w:rPr>
              <w:t>(5)</w:t>
            </w:r>
          </w:p>
        </w:tc>
        <w:tc>
          <w:tcPr>
            <w:tcW w:w="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(86,000 units, 8.0% PIK</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1,725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1,080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2,874</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Dividend)</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380" w:type="dxa"/>
            <w:vAlign w:val="bottom"/>
            <w:tcBorders>
              <w:top w:val="single" w:sz="8" w:color="CCEEFF"/>
              <w:bottom w:val="single" w:sz="8" w:color="CCEEFF"/>
            </w:tcBorders>
          </w:tcPr>
          <w:p>
            <w:pPr>
              <w:spacing w:after="0"/>
              <w:rPr>
                <w:sz w:val="14"/>
                <w:szCs w:val="14"/>
                <w:color w:val="auto"/>
              </w:rPr>
            </w:pPr>
          </w:p>
        </w:tc>
        <w:tc>
          <w:tcPr>
            <w:tcW w:w="10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945</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10,744</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5"/>
              </w:rPr>
              <w:t>3,138</w:t>
            </w:r>
          </w:p>
        </w:tc>
        <w:tc>
          <w:tcPr>
            <w:tcW w:w="1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2"/>
              </w:rPr>
              <w:t>(2,990)</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20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1,079</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11,971</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Sierra Hamilton</w:t>
            </w:r>
          </w:p>
        </w:tc>
        <w:tc>
          <w:tcPr>
            <w:tcW w:w="6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Second Lien Debt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Holdings</w:t>
            </w:r>
          </w:p>
        </w:tc>
        <w:tc>
          <w:tcPr>
            <w:tcW w:w="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(15.0% PIK, Due</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105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748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441</w:t>
            </w:r>
          </w:p>
        </w:tc>
        <w:tc>
          <w:tcPr>
            <w:tcW w:w="0" w:type="dxa"/>
            <w:vAlign w:val="bottom"/>
          </w:tcPr>
          <w:p>
            <w:pPr>
              <w:spacing w:after="0"/>
              <w:rPr>
                <w:sz w:val="1"/>
                <w:szCs w:val="1"/>
                <w:color w:val="auto"/>
              </w:rPr>
            </w:pPr>
          </w:p>
        </w:tc>
      </w:tr>
      <w:tr>
        <w:trPr>
          <w:trHeight w:val="175"/>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Corporation</w:t>
            </w:r>
          </w:p>
        </w:tc>
        <w:tc>
          <w:tcPr>
            <w:tcW w:w="700" w:type="dxa"/>
            <w:vAlign w:val="bottom"/>
            <w:gridSpan w:val="4"/>
            <w:shd w:val="clear" w:color="auto" w:fill="CCEEFF"/>
          </w:tcPr>
          <w:p>
            <w:pPr>
              <w:ind w:left="60"/>
              <w:spacing w:after="0"/>
              <w:rPr>
                <w:sz w:val="20"/>
                <w:szCs w:val="20"/>
                <w:color w:val="auto"/>
              </w:rPr>
            </w:pPr>
            <w:r>
              <w:rPr>
                <w:rFonts w:ascii="Arial" w:cs="Arial" w:eastAsia="Arial" w:hAnsi="Arial"/>
                <w:sz w:val="15"/>
                <w:szCs w:val="15"/>
                <w:color w:val="auto"/>
              </w:rPr>
              <w:t>9/12/23)</w:t>
            </w: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5"/>
                <w:szCs w:val="15"/>
                <w:color w:val="auto"/>
              </w:rPr>
              <w:t>Sierra Hamilton</w:t>
            </w:r>
          </w:p>
        </w:tc>
        <w:tc>
          <w:tcPr>
            <w:tcW w:w="60" w:type="dxa"/>
            <w:vAlign w:val="bottom"/>
          </w:tcPr>
          <w:p>
            <w:pPr>
              <w:spacing w:after="0"/>
              <w:rPr>
                <w:sz w:val="12"/>
                <w:szCs w:val="12"/>
                <w:color w:val="auto"/>
              </w:rPr>
            </w:pPr>
          </w:p>
        </w:tc>
        <w:tc>
          <w:tcPr>
            <w:tcW w:w="1640" w:type="dxa"/>
            <w:vAlign w:val="bottom"/>
            <w:gridSpan w:val="4"/>
            <w:vMerge w:val="restart"/>
          </w:tcPr>
          <w:p>
            <w:pPr>
              <w:spacing w:after="0"/>
              <w:rPr>
                <w:sz w:val="20"/>
                <w:szCs w:val="20"/>
                <w:color w:val="auto"/>
              </w:rPr>
            </w:pPr>
            <w:r>
              <w:rPr>
                <w:rFonts w:ascii="Arial" w:cs="Arial" w:eastAsia="Arial" w:hAnsi="Arial"/>
                <w:sz w:val="15"/>
                <w:szCs w:val="15"/>
                <w:color w:val="auto"/>
              </w:rPr>
              <w:t>Common Stock</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Holdings</w:t>
            </w:r>
          </w:p>
        </w:tc>
        <w:tc>
          <w:tcPr>
            <w:tcW w:w="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5,160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vMerge w:val="restart"/>
          </w:tcPr>
          <w:p>
            <w:pPr>
              <w:ind w:lef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w w:val="92"/>
              </w:rPr>
              <w:t>(4,183)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977</w:t>
            </w:r>
          </w:p>
        </w:tc>
        <w:tc>
          <w:tcPr>
            <w:tcW w:w="0" w:type="dxa"/>
            <w:vAlign w:val="bottom"/>
          </w:tcPr>
          <w:p>
            <w:pPr>
              <w:spacing w:after="0"/>
              <w:rPr>
                <w:sz w:val="1"/>
                <w:szCs w:val="1"/>
                <w:color w:val="auto"/>
              </w:rPr>
            </w:pPr>
          </w:p>
        </w:tc>
      </w:tr>
      <w:tr>
        <w:trPr>
          <w:trHeight w:val="189"/>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Corporation</w:t>
            </w:r>
          </w:p>
        </w:tc>
        <w:tc>
          <w:tcPr>
            <w:tcW w:w="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5"/>
                <w:szCs w:val="15"/>
                <w:color w:val="auto"/>
              </w:rPr>
              <w:t>(15,068,000 shares)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105</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5,908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(423)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ind w:left="20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9"/>
              </w:rPr>
              <w:t>(4,183)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1,418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5"/>
                <w:szCs w:val="15"/>
                <w:color w:val="auto"/>
              </w:rPr>
              <w:t>V12 Holdings, Inc.</w:t>
            </w:r>
          </w:p>
        </w:tc>
        <w:tc>
          <w:tcPr>
            <w:tcW w:w="6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gridSpan w:val="4"/>
          </w:tcPr>
          <w:p>
            <w:pPr>
              <w:spacing w:after="0" w:line="169" w:lineRule="exact"/>
              <w:rPr>
                <w:sz w:val="20"/>
                <w:szCs w:val="20"/>
                <w:color w:val="auto"/>
              </w:rPr>
            </w:pPr>
            <w:r>
              <w:rPr>
                <w:rFonts w:ascii="Arial" w:cs="Arial" w:eastAsia="Arial" w:hAnsi="Arial"/>
                <w:sz w:val="15"/>
                <w:szCs w:val="15"/>
                <w:color w:val="auto"/>
              </w:rPr>
              <w:t>Second Lien Debt</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708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(52)</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490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708</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(276)</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110</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(52)</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490</w:t>
            </w: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gridSpan w:val="7"/>
          </w:tcPr>
          <w:p>
            <w:pPr>
              <w:spacing w:after="0" w:line="142" w:lineRule="exact"/>
              <w:rPr>
                <w:sz w:val="20"/>
                <w:szCs w:val="20"/>
                <w:color w:val="auto"/>
              </w:rPr>
            </w:pPr>
            <w:r>
              <w:rPr>
                <w:rFonts w:ascii="Arial" w:cs="Arial" w:eastAsia="Arial" w:hAnsi="Arial"/>
                <w:sz w:val="15"/>
                <w:szCs w:val="15"/>
                <w:b w:val="1"/>
                <w:bCs w:val="1"/>
                <w:i w:val="1"/>
                <w:iCs w:val="1"/>
                <w:color w:val="auto"/>
              </w:rPr>
              <w:t>Total Affiliate investments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5"/>
                <w:szCs w:val="15"/>
                <w:color w:val="auto"/>
                <w:w w:val="85"/>
              </w:rPr>
              <w:t>6,675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line="142" w:lineRule="exact"/>
              <w:rPr>
                <w:sz w:val="20"/>
                <w:szCs w:val="20"/>
                <w:color w:val="auto"/>
              </w:rPr>
            </w:pPr>
            <w:r>
              <w:rPr>
                <w:rFonts w:ascii="Arial" w:cs="Arial" w:eastAsia="Arial" w:hAnsi="Arial"/>
                <w:sz w:val="15"/>
                <w:szCs w:val="15"/>
                <w:color w:val="auto"/>
                <w:w w:val="87"/>
              </w:rPr>
              <w:t>98,763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5"/>
                <w:szCs w:val="15"/>
                <w:u w:val="single" w:color="auto"/>
                <w:color w:val="auto"/>
                <w:w w:val="95"/>
              </w:rPr>
              <w:t>$</w:t>
            </w:r>
          </w:p>
        </w:tc>
        <w:tc>
          <w:tcPr>
            <w:tcW w:w="340" w:type="dxa"/>
            <w:vAlign w:val="bottom"/>
          </w:tcPr>
          <w:p>
            <w:pPr>
              <w:jc w:val="right"/>
              <w:spacing w:after="0" w:line="142" w:lineRule="exact"/>
              <w:rPr>
                <w:sz w:val="20"/>
                <w:szCs w:val="20"/>
                <w:color w:val="auto"/>
              </w:rPr>
            </w:pPr>
            <w:r>
              <w:rPr>
                <w:rFonts w:ascii="Arial" w:cs="Arial" w:eastAsia="Arial" w:hAnsi="Arial"/>
                <w:sz w:val="15"/>
                <w:szCs w:val="15"/>
                <w:color w:val="auto"/>
                <w:w w:val="85"/>
              </w:rPr>
              <w:t>5,978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line="142" w:lineRule="exact"/>
              <w:rPr>
                <w:sz w:val="20"/>
                <w:szCs w:val="20"/>
                <w:color w:val="auto"/>
              </w:rPr>
            </w:pPr>
            <w:r>
              <w:rPr>
                <w:rFonts w:ascii="Arial" w:cs="Arial" w:eastAsia="Arial" w:hAnsi="Arial"/>
                <w:sz w:val="15"/>
                <w:szCs w:val="15"/>
                <w:color w:val="auto"/>
              </w:rPr>
              <w:t>(7,224</w:t>
            </w:r>
          </w:p>
        </w:tc>
        <w:tc>
          <w:tcPr>
            <w:tcW w:w="120" w:type="dxa"/>
            <w:vAlign w:val="bottom"/>
          </w:tcPr>
          <w:p>
            <w:pPr>
              <w:jc w:val="right"/>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340" w:type="dxa"/>
            <w:vAlign w:val="bottom"/>
          </w:tcPr>
          <w:p>
            <w:pPr>
              <w:jc w:val="right"/>
              <w:spacing w:after="0" w:line="142" w:lineRule="exact"/>
              <w:rPr>
                <w:sz w:val="20"/>
                <w:szCs w:val="20"/>
                <w:color w:val="auto"/>
              </w:rPr>
            </w:pPr>
            <w:r>
              <w:rPr>
                <w:rFonts w:ascii="Arial" w:cs="Arial" w:eastAsia="Arial" w:hAnsi="Arial"/>
                <w:sz w:val="15"/>
                <w:szCs w:val="15"/>
                <w:color w:val="auto"/>
                <w:w w:val="85"/>
              </w:rPr>
              <w:t>1,451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line="142" w:lineRule="exact"/>
              <w:rPr>
                <w:sz w:val="20"/>
                <w:szCs w:val="20"/>
                <w:color w:val="auto"/>
              </w:rPr>
            </w:pPr>
            <w:r>
              <w:rPr>
                <w:rFonts w:ascii="Arial" w:cs="Arial" w:eastAsia="Arial" w:hAnsi="Arial"/>
                <w:sz w:val="15"/>
                <w:szCs w:val="15"/>
                <w:color w:val="auto"/>
                <w:w w:val="89"/>
              </w:rPr>
              <w:t>(5,543</w:t>
            </w:r>
          </w:p>
        </w:tc>
        <w:tc>
          <w:tcPr>
            <w:tcW w:w="200" w:type="dxa"/>
            <w:vAlign w:val="bottom"/>
          </w:tcPr>
          <w:p>
            <w:pPr>
              <w:jc w:val="right"/>
              <w:ind w:right="64"/>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5"/>
                <w:szCs w:val="15"/>
                <w:u w:val="single" w:color="auto"/>
                <w:color w:val="auto"/>
                <w:w w:val="95"/>
              </w:rPr>
              <w:t>$</w:t>
            </w:r>
          </w:p>
        </w:tc>
        <w:tc>
          <w:tcPr>
            <w:tcW w:w="420" w:type="dxa"/>
            <w:vAlign w:val="bottom"/>
          </w:tcPr>
          <w:p>
            <w:pPr>
              <w:jc w:val="right"/>
              <w:spacing w:after="0" w:line="142" w:lineRule="exact"/>
              <w:rPr>
                <w:sz w:val="20"/>
                <w:szCs w:val="20"/>
                <w:color w:val="auto"/>
              </w:rPr>
            </w:pPr>
            <w:r>
              <w:rPr>
                <w:rFonts w:ascii="Arial" w:cs="Arial" w:eastAsia="Arial" w:hAnsi="Arial"/>
                <w:sz w:val="15"/>
                <w:szCs w:val="15"/>
                <w:color w:val="auto"/>
                <w:w w:val="87"/>
              </w:rPr>
              <w:t>93,425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200" w:type="dxa"/>
            <w:vAlign w:val="bottom"/>
            <w:tcBorders>
              <w:top w:val="single" w:sz="8" w:color="auto"/>
              <w:bottom w:val="single" w:sz="8" w:color="CCEEFF"/>
            </w:tcBorders>
          </w:tcPr>
          <w:p>
            <w:pPr>
              <w:spacing w:after="0"/>
              <w:rPr>
                <w:sz w:val="5"/>
                <w:szCs w:val="5"/>
                <w:color w:val="auto"/>
              </w:rPr>
            </w:pPr>
          </w:p>
        </w:tc>
        <w:tc>
          <w:tcPr>
            <w:tcW w:w="40" w:type="dxa"/>
            <w:vAlign w:val="bottom"/>
            <w:tcBorders>
              <w:top w:val="single" w:sz="8" w:color="auto"/>
              <w:bottom w:val="single" w:sz="8" w:color="CCEEFF"/>
            </w:tcBorders>
          </w:tcPr>
          <w:p>
            <w:pPr>
              <w:spacing w:after="0"/>
              <w:rPr>
                <w:sz w:val="5"/>
                <w:szCs w:val="5"/>
                <w:color w:val="auto"/>
              </w:rPr>
            </w:pPr>
          </w:p>
        </w:tc>
        <w:tc>
          <w:tcPr>
            <w:tcW w:w="60" w:type="dxa"/>
            <w:vAlign w:val="bottom"/>
            <w:tcBorders>
              <w:top w:val="single" w:sz="8" w:color="auto"/>
              <w:bottom w:val="single" w:sz="8" w:color="CCEEFF"/>
            </w:tcBorders>
          </w:tcPr>
          <w:p>
            <w:pPr>
              <w:spacing w:after="0"/>
              <w:rPr>
                <w:sz w:val="5"/>
                <w:szCs w:val="5"/>
                <w:color w:val="auto"/>
              </w:rPr>
            </w:pPr>
          </w:p>
        </w:tc>
        <w:tc>
          <w:tcPr>
            <w:tcW w:w="240" w:type="dxa"/>
            <w:vAlign w:val="bottom"/>
            <w:tcBorders>
              <w:top w:val="single" w:sz="8" w:color="auto"/>
              <w:bottom w:val="single" w:sz="8" w:color="CCEEFF"/>
            </w:tcBorders>
          </w:tcPr>
          <w:p>
            <w:pPr>
              <w:spacing w:after="0"/>
              <w:rPr>
                <w:sz w:val="5"/>
                <w:szCs w:val="5"/>
                <w:color w:val="auto"/>
              </w:rPr>
            </w:pPr>
          </w:p>
        </w:tc>
        <w:tc>
          <w:tcPr>
            <w:tcW w:w="20" w:type="dxa"/>
            <w:vAlign w:val="bottom"/>
            <w:tcBorders>
              <w:top w:val="single" w:sz="8" w:color="auto"/>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4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i w:val="1"/>
                <w:iCs w:val="1"/>
                <w:color w:val="auto"/>
              </w:rPr>
              <w:t>Control investments</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auto"/>
            </w:tcBorders>
          </w:tcPr>
          <w:p>
            <w:pPr>
              <w:spacing w:after="0" w:line="149" w:lineRule="exact"/>
              <w:rPr>
                <w:sz w:val="20"/>
                <w:szCs w:val="20"/>
                <w:color w:val="auto"/>
              </w:rPr>
            </w:pPr>
            <w:r>
              <w:rPr>
                <w:rFonts w:ascii="Arial" w:cs="Arial" w:eastAsia="Arial" w:hAnsi="Arial"/>
                <w:sz w:val="15"/>
                <w:szCs w:val="15"/>
                <w:color w:val="auto"/>
              </w:rPr>
              <w:t>Capitala Senior</w:t>
            </w: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40" w:type="dxa"/>
            <w:vAlign w:val="bottom"/>
            <w:tcBorders>
              <w:top w:val="single" w:sz="8" w:color="CCEEFF"/>
            </w:tcBorders>
            <w:gridSpan w:val="4"/>
          </w:tcPr>
          <w:p>
            <w:pPr>
              <w:spacing w:after="0" w:line="149" w:lineRule="exact"/>
              <w:rPr>
                <w:sz w:val="20"/>
                <w:szCs w:val="20"/>
                <w:color w:val="auto"/>
              </w:rPr>
            </w:pPr>
            <w:r>
              <w:rPr>
                <w:rFonts w:ascii="Arial" w:cs="Arial" w:eastAsia="Arial" w:hAnsi="Arial"/>
                <w:sz w:val="15"/>
                <w:szCs w:val="15"/>
                <w:color w:val="auto"/>
                <w:w w:val="99"/>
              </w:rPr>
              <w:t>Second Lien Debt (7.0%</w:t>
            </w: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Loan Fund II,</w:t>
            </w:r>
          </w:p>
        </w:tc>
        <w:tc>
          <w:tcPr>
            <w:tcW w:w="60" w:type="dxa"/>
            <w:vAlign w:val="bottom"/>
          </w:tcPr>
          <w:p>
            <w:pPr>
              <w:spacing w:after="0"/>
              <w:rPr>
                <w:sz w:val="12"/>
                <w:szCs w:val="12"/>
                <w:color w:val="auto"/>
              </w:rPr>
            </w:pPr>
          </w:p>
        </w:tc>
        <w:tc>
          <w:tcPr>
            <w:tcW w:w="1640" w:type="dxa"/>
            <w:vAlign w:val="bottom"/>
            <w:gridSpan w:val="4"/>
          </w:tcPr>
          <w:p>
            <w:pPr>
              <w:spacing w:after="0" w:line="149" w:lineRule="exact"/>
              <w:rPr>
                <w:sz w:val="20"/>
                <w:szCs w:val="20"/>
                <w:color w:val="auto"/>
              </w:rPr>
            </w:pPr>
            <w:r>
              <w:rPr>
                <w:rFonts w:ascii="Arial" w:cs="Arial" w:eastAsia="Arial" w:hAnsi="Arial"/>
                <w:sz w:val="15"/>
                <w:szCs w:val="15"/>
                <w:color w:val="auto"/>
              </w:rPr>
              <w:t>Cash (1 month</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tcPr>
          <w:p>
            <w:pPr>
              <w:spacing w:after="0"/>
              <w:rPr>
                <w:sz w:val="12"/>
                <w:szCs w:val="12"/>
                <w:color w:val="auto"/>
              </w:rPr>
            </w:pPr>
          </w:p>
        </w:tc>
        <w:tc>
          <w:tcPr>
            <w:tcW w:w="1640" w:type="dxa"/>
            <w:vAlign w:val="bottom"/>
            <w:gridSpan w:val="4"/>
          </w:tcPr>
          <w:p>
            <w:pPr>
              <w:spacing w:after="0" w:line="149" w:lineRule="exact"/>
              <w:rPr>
                <w:sz w:val="20"/>
                <w:szCs w:val="20"/>
                <w:color w:val="auto"/>
              </w:rPr>
            </w:pPr>
            <w:r>
              <w:rPr>
                <w:rFonts w:ascii="Arial" w:cs="Arial" w:eastAsia="Arial" w:hAnsi="Arial"/>
                <w:sz w:val="15"/>
                <w:szCs w:val="15"/>
                <w:color w:val="auto"/>
              </w:rPr>
              <w:t>LIBOR + 6.0%), Due</w:t>
            </w:r>
          </w:p>
        </w:tc>
        <w:tc>
          <w:tcPr>
            <w:tcW w:w="220" w:type="dxa"/>
            <w:vAlign w:val="bottom"/>
            <w:gridSpan w:val="2"/>
            <w:vMerge w:val="restart"/>
          </w:tcPr>
          <w:p>
            <w:pPr>
              <w:ind w:left="100"/>
              <w:spacing w:after="0"/>
              <w:rPr>
                <w:sz w:val="20"/>
                <w:szCs w:val="20"/>
                <w:color w:val="auto"/>
              </w:rPr>
            </w:pPr>
            <w:r>
              <w:rPr>
                <w:rFonts w:ascii="Arial" w:cs="Arial" w:eastAsia="Arial" w:hAnsi="Arial"/>
                <w:sz w:val="15"/>
                <w:szCs w:val="15"/>
                <w:color w:val="auto"/>
              </w:rPr>
              <w: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3"/>
            <w:vMerge w:val="restart"/>
          </w:tcPr>
          <w:p>
            <w:pPr>
              <w:ind w:left="200"/>
              <w:spacing w:after="0"/>
              <w:rPr>
                <w:sz w:val="20"/>
                <w:szCs w:val="20"/>
                <w:color w:val="auto"/>
              </w:rPr>
            </w:pPr>
            <w:r>
              <w:rPr>
                <w:rFonts w:ascii="Arial" w:cs="Arial" w:eastAsia="Arial" w:hAnsi="Arial"/>
                <w:sz w:val="15"/>
                <w:szCs w:val="15"/>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4"/>
          </w:tcPr>
          <w:p>
            <w:pPr>
              <w:ind w:left="60"/>
              <w:spacing w:after="0"/>
              <w:rPr>
                <w:sz w:val="20"/>
                <w:szCs w:val="20"/>
                <w:color w:val="auto"/>
              </w:rPr>
            </w:pPr>
            <w:r>
              <w:rPr>
                <w:rFonts w:ascii="Arial" w:cs="Arial" w:eastAsia="Arial" w:hAnsi="Arial"/>
                <w:sz w:val="15"/>
                <w:szCs w:val="15"/>
                <w:color w:val="auto"/>
              </w:rPr>
              <w:t>9/3/24)</w:t>
            </w:r>
          </w:p>
        </w:tc>
        <w:tc>
          <w:tcPr>
            <w:tcW w:w="100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Capitala Senior</w:t>
            </w:r>
          </w:p>
        </w:tc>
        <w:tc>
          <w:tcPr>
            <w:tcW w:w="60" w:type="dxa"/>
            <w:vAlign w:val="bottom"/>
            <w:shd w:val="clear" w:color="auto" w:fill="CCEEFF"/>
          </w:tcPr>
          <w:p>
            <w:pPr>
              <w:spacing w:after="0"/>
              <w:rPr>
                <w:sz w:val="12"/>
                <w:szCs w:val="12"/>
                <w:color w:val="auto"/>
              </w:rPr>
            </w:pPr>
          </w:p>
        </w:tc>
        <w:tc>
          <w:tcPr>
            <w:tcW w:w="1640" w:type="dxa"/>
            <w:vAlign w:val="bottom"/>
            <w:gridSpan w:val="4"/>
            <w:vMerge w:val="restart"/>
            <w:shd w:val="clear" w:color="auto" w:fill="CCEEFF"/>
          </w:tcPr>
          <w:p>
            <w:pPr>
              <w:spacing w:after="0"/>
              <w:rPr>
                <w:sz w:val="20"/>
                <w:szCs w:val="20"/>
                <w:color w:val="auto"/>
              </w:rPr>
            </w:pPr>
            <w:r>
              <w:rPr>
                <w:rFonts w:ascii="Arial" w:cs="Arial" w:eastAsia="Arial" w:hAnsi="Arial"/>
                <w:sz w:val="15"/>
                <w:szCs w:val="15"/>
                <w:color w:val="auto"/>
              </w:rPr>
              <w:t>Membership Units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Loan Fund II,</w:t>
            </w:r>
          </w:p>
        </w:tc>
        <w:tc>
          <w:tcPr>
            <w:tcW w:w="60" w:type="dxa"/>
            <w:vAlign w:val="bottom"/>
            <w:shd w:val="clear" w:color="auto" w:fill="CCEEFF"/>
          </w:tcPr>
          <w:p>
            <w:pPr>
              <w:spacing w:after="0"/>
              <w:rPr>
                <w:sz w:val="12"/>
                <w:szCs w:val="12"/>
                <w:color w:val="auto"/>
              </w:rPr>
            </w:pPr>
          </w:p>
        </w:tc>
        <w:tc>
          <w:tcPr>
            <w:tcW w:w="1640" w:type="dxa"/>
            <w:vAlign w:val="bottom"/>
            <w:gridSpan w:val="4"/>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w w:val="87"/>
              </w:rPr>
              <w:t>13,631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89"/>
              </w:rPr>
              <w:t>(13,116)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(484)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(80.0% ownership)</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380" w:type="dxa"/>
            <w:vAlign w:val="bottom"/>
            <w:tcBorders>
              <w:top w:val="single" w:sz="8" w:color="CCEEFF"/>
              <w:bottom w:val="single" w:sz="8" w:color="CCEEFF"/>
            </w:tcBorders>
          </w:tcPr>
          <w:p>
            <w:pPr>
              <w:spacing w:after="0"/>
              <w:rPr>
                <w:sz w:val="14"/>
                <w:szCs w:val="14"/>
                <w:color w:val="auto"/>
              </w:rPr>
            </w:pPr>
          </w:p>
        </w:tc>
        <w:tc>
          <w:tcPr>
            <w:tcW w:w="10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13,631</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8"/>
              </w:rPr>
              <w:t>(13,116)</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1"/>
              </w:rPr>
              <w:t>(484)</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Vology, Inc.</w:t>
            </w:r>
          </w:p>
        </w:tc>
        <w:tc>
          <w:tcPr>
            <w:tcW w:w="6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First Lien Debt (10.5%</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Cash (1 month</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LIBOR + 8.5%, 2.0%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3,732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410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3,877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3,732</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Floor), Due 12/31/21)</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5"/>
                <w:szCs w:val="15"/>
                <w:color w:val="auto"/>
              </w:rPr>
              <w:t>Vology, Inc.</w:t>
            </w:r>
          </w:p>
        </w:tc>
        <w:tc>
          <w:tcPr>
            <w:tcW w:w="60" w:type="dxa"/>
            <w:vAlign w:val="bottom"/>
          </w:tcPr>
          <w:p>
            <w:pPr>
              <w:spacing w:after="0"/>
              <w:rPr>
                <w:sz w:val="12"/>
                <w:szCs w:val="12"/>
                <w:color w:val="auto"/>
              </w:rPr>
            </w:pPr>
          </w:p>
        </w:tc>
        <w:tc>
          <w:tcPr>
            <w:tcW w:w="1640" w:type="dxa"/>
            <w:vAlign w:val="bottom"/>
            <w:gridSpan w:val="4"/>
          </w:tcPr>
          <w:p>
            <w:pPr>
              <w:spacing w:after="0" w:line="149" w:lineRule="exact"/>
              <w:rPr>
                <w:sz w:val="20"/>
                <w:szCs w:val="20"/>
                <w:color w:val="auto"/>
              </w:rPr>
            </w:pPr>
            <w:r>
              <w:rPr>
                <w:rFonts w:ascii="Arial" w:cs="Arial" w:eastAsia="Arial" w:hAnsi="Arial"/>
                <w:sz w:val="15"/>
                <w:szCs w:val="15"/>
                <w:color w:val="auto"/>
              </w:rPr>
              <w:t>Class A Preferred Units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5,215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vMerge w:val="restart"/>
          </w:tcPr>
          <w:p>
            <w:pPr>
              <w:ind w:lef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(528)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4,687</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4"/>
          </w:tcPr>
          <w:p>
            <w:pPr>
              <w:spacing w:after="0"/>
              <w:rPr>
                <w:sz w:val="20"/>
                <w:szCs w:val="20"/>
                <w:color w:val="auto"/>
              </w:rPr>
            </w:pPr>
            <w:r>
              <w:rPr>
                <w:rFonts w:ascii="Arial" w:cs="Arial" w:eastAsia="Arial" w:hAnsi="Arial"/>
                <w:sz w:val="15"/>
                <w:szCs w:val="15"/>
                <w:color w:val="auto"/>
              </w:rPr>
              <w:t>(9,041,810 Units)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Vology, Inc.</w:t>
            </w:r>
          </w:p>
        </w:tc>
        <w:tc>
          <w:tcPr>
            <w:tcW w:w="6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Membership Units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(5,363,982 Units)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380" w:type="dxa"/>
            <w:vAlign w:val="bottom"/>
            <w:tcBorders>
              <w:top w:val="single" w:sz="8" w:color="CCEEFF"/>
              <w:bottom w:val="single" w:sz="8" w:color="CCEEFF"/>
            </w:tcBorders>
          </w:tcPr>
          <w:p>
            <w:pPr>
              <w:spacing w:after="0"/>
              <w:rPr>
                <w:sz w:val="14"/>
                <w:szCs w:val="14"/>
                <w:color w:val="auto"/>
              </w:rPr>
            </w:pPr>
          </w:p>
        </w:tc>
        <w:tc>
          <w:tcPr>
            <w:tcW w:w="10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410</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9,092</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(145)</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200"/>
              <w:spacing w:after="0" w:line="169" w:lineRule="exact"/>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(528)</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8,419</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40" w:type="dxa"/>
            <w:vAlign w:val="bottom"/>
            <w:gridSpan w:val="7"/>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Total Control investments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410</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22,723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95"/>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95"/>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6"/>
              </w:rPr>
              <w:t>(13,261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(484</w:t>
            </w:r>
          </w:p>
        </w:tc>
        <w:tc>
          <w:tcPr>
            <w:tcW w:w="160" w:type="dxa"/>
            <w:vAlign w:val="bottom"/>
            <w:shd w:val="clear" w:color="auto" w:fill="CCEEFF"/>
          </w:tcPr>
          <w:p>
            <w:pPr>
              <w:jc w:val="right"/>
              <w:ind w:right="24"/>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(559</w:t>
            </w:r>
          </w:p>
        </w:tc>
        <w:tc>
          <w:tcPr>
            <w:tcW w:w="200" w:type="dxa"/>
            <w:vAlign w:val="bottom"/>
            <w:shd w:val="clear" w:color="auto" w:fill="CCEEFF"/>
          </w:tcPr>
          <w:p>
            <w:pPr>
              <w:jc w:val="right"/>
              <w:ind w:right="64"/>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8,419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6389370</wp:posOffset>
            </wp:positionH>
            <wp:positionV relativeFrom="paragraph">
              <wp:posOffset>-273685</wp:posOffset>
            </wp:positionV>
            <wp:extent cx="1028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-273685</wp:posOffset>
            </wp:positionV>
            <wp:extent cx="28257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-273685</wp:posOffset>
            </wp:positionV>
            <wp:extent cx="27432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-273685</wp:posOffset>
            </wp:positionV>
            <wp:extent cx="22288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-273685</wp:posOffset>
            </wp:positionV>
            <wp:extent cx="22288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-273685</wp:posOffset>
            </wp:positionV>
            <wp:extent cx="35401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540125"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-1207770</wp:posOffset>
            </wp:positionV>
            <wp:extent cx="1028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-1207770</wp:posOffset>
            </wp:positionV>
            <wp:extent cx="28257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-1207770</wp:posOffset>
            </wp:positionV>
            <wp:extent cx="27432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-1207770</wp:posOffset>
            </wp:positionV>
            <wp:extent cx="22288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-1207770</wp:posOffset>
            </wp:positionV>
            <wp:extent cx="22288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-1207770</wp:posOffset>
            </wp:positionV>
            <wp:extent cx="35401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540125"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-2391410</wp:posOffset>
            </wp:positionV>
            <wp:extent cx="10287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-2391410</wp:posOffset>
            </wp:positionV>
            <wp:extent cx="28257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-2391410</wp:posOffset>
            </wp:positionV>
            <wp:extent cx="2743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-2391410</wp:posOffset>
            </wp:positionV>
            <wp:extent cx="22288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-2391410</wp:posOffset>
            </wp:positionV>
            <wp:extent cx="22288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-2391410</wp:posOffset>
            </wp:positionV>
            <wp:extent cx="354012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540125"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-2630805</wp:posOffset>
            </wp:positionV>
            <wp:extent cx="1028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-2630805</wp:posOffset>
            </wp:positionV>
            <wp:extent cx="2825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-2630805</wp:posOffset>
            </wp:positionV>
            <wp:extent cx="2743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-2630805</wp:posOffset>
            </wp:positionV>
            <wp:extent cx="22288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-2630805</wp:posOffset>
            </wp:positionV>
            <wp:extent cx="22288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-2630805</wp:posOffset>
            </wp:positionV>
            <wp:extent cx="35401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540125"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-3239770</wp:posOffset>
            </wp:positionV>
            <wp:extent cx="1028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-3239770</wp:posOffset>
            </wp:positionV>
            <wp:extent cx="2825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-3239770</wp:posOffset>
            </wp:positionV>
            <wp:extent cx="2743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-3239770</wp:posOffset>
            </wp:positionV>
            <wp:extent cx="22288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-3239770</wp:posOffset>
            </wp:positionV>
            <wp:extent cx="22288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-3239770</wp:posOffset>
            </wp:positionV>
            <wp:extent cx="35401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540125"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-4268470</wp:posOffset>
            </wp:positionV>
            <wp:extent cx="514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-4268470</wp:posOffset>
            </wp:positionV>
            <wp:extent cx="514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-4268470</wp:posOffset>
            </wp:positionV>
            <wp:extent cx="514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-4268470</wp:posOffset>
            </wp:positionV>
            <wp:extent cx="514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-4268470</wp:posOffset>
            </wp:positionV>
            <wp:extent cx="514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-4268470</wp:posOffset>
            </wp:positionV>
            <wp:extent cx="342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-4268470</wp:posOffset>
            </wp:positionV>
            <wp:extent cx="342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-4268470</wp:posOffset>
            </wp:positionV>
            <wp:extent cx="342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-4268470</wp:posOffset>
            </wp:positionV>
            <wp:extent cx="342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8" w:lineRule="exact"/>
        <w:rPr>
          <w:sz w:val="20"/>
          <w:szCs w:val="20"/>
          <w:color w:val="auto"/>
        </w:rPr>
      </w:pPr>
    </w:p>
    <w:p>
      <w:pPr>
        <w:ind w:left="860" w:hanging="365"/>
        <w:spacing w:after="0" w:line="277" w:lineRule="auto"/>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48" w:lineRule="exact"/>
        <w:rPr>
          <w:rFonts w:ascii="Arial" w:cs="Arial" w:eastAsia="Arial" w:hAnsi="Arial"/>
          <w:sz w:val="18"/>
          <w:szCs w:val="18"/>
          <w:color w:val="auto"/>
        </w:rPr>
      </w:pPr>
    </w:p>
    <w:p>
      <w:pPr>
        <w:jc w:val="both"/>
        <w:ind w:left="860" w:hanging="365"/>
        <w:spacing w:after="0" w:line="263" w:lineRule="auto"/>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spacing w:after="0" w:line="62" w:lineRule="exact"/>
        <w:rPr>
          <w:rFonts w:ascii="Arial" w:cs="Arial" w:eastAsia="Arial" w:hAnsi="Arial"/>
          <w:sz w:val="18"/>
          <w:szCs w:val="18"/>
          <w:color w:val="auto"/>
        </w:rPr>
      </w:pPr>
    </w:p>
    <w:p>
      <w:pPr>
        <w:ind w:left="860" w:hanging="365"/>
        <w:spacing w:after="0" w:line="277" w:lineRule="auto"/>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 transfers out of Affiliate or Control classification.</w:t>
      </w:r>
    </w:p>
    <w:p>
      <w:pPr>
        <w:spacing w:after="0" w:line="48" w:lineRule="exact"/>
        <w:rPr>
          <w:rFonts w:ascii="Arial" w:cs="Arial" w:eastAsia="Arial" w:hAnsi="Arial"/>
          <w:sz w:val="18"/>
          <w:szCs w:val="18"/>
          <w:color w:val="auto"/>
        </w:rPr>
      </w:pPr>
    </w:p>
    <w:p>
      <w:pPr>
        <w:ind w:left="860" w:hanging="365"/>
        <w:spacing w:after="0" w:line="277" w:lineRule="auto"/>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48" w:lineRule="exact"/>
        <w:rPr>
          <w:rFonts w:ascii="Arial" w:cs="Arial" w:eastAsia="Arial" w:hAnsi="Arial"/>
          <w:sz w:val="18"/>
          <w:szCs w:val="18"/>
          <w:color w:val="auto"/>
        </w:rPr>
      </w:pPr>
    </w:p>
    <w:p>
      <w:pPr>
        <w:ind w:left="860" w:hanging="365"/>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42" w:name="page143"/>
    <w:bookmarkEnd w:id="142"/>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Transactions With Affiliated Companies – (continued)</w:t>
      </w:r>
    </w:p>
    <w:p>
      <w:pPr>
        <w:spacing w:after="0" w:line="229" w:lineRule="exact"/>
        <w:rPr>
          <w:sz w:val="20"/>
          <w:szCs w:val="20"/>
          <w:color w:val="auto"/>
        </w:rPr>
      </w:pPr>
    </w:p>
    <w:p>
      <w:pPr>
        <w:jc w:val="both"/>
        <w:ind w:left="1260" w:right="760" w:firstLine="360"/>
        <w:spacing w:after="0" w:line="263" w:lineRule="auto"/>
        <w:rPr>
          <w:sz w:val="20"/>
          <w:szCs w:val="20"/>
          <w:color w:val="auto"/>
        </w:rPr>
      </w:pPr>
      <w:r>
        <w:rPr>
          <w:rFonts w:ascii="Arial" w:cs="Arial" w:eastAsia="Arial" w:hAnsi="Arial"/>
          <w:sz w:val="18"/>
          <w:szCs w:val="18"/>
          <w:color w:val="auto"/>
        </w:rPr>
        <w:t>During the year ended December 31, 2019, the Company had investments in portfolio companies designated as affiliates under the 1940 Act. Transactions with affiliates were as follows (dollars in thousands):</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Interest, Fees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or Dividends</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Unrealized</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58"/>
        </w:trPr>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1"/>
                <w:szCs w:val="21"/>
                <w:b w:val="1"/>
                <w:bCs w:val="1"/>
                <w:color w:val="auto"/>
                <w:vertAlign w:val="superscript"/>
              </w:rPr>
              <w:t>(4)</w:t>
            </w: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Principal</w:t>
            </w:r>
          </w:p>
        </w:tc>
        <w:tc>
          <w:tcPr>
            <w:tcW w:w="88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Credited to</w:t>
            </w:r>
          </w:p>
        </w:tc>
        <w:tc>
          <w:tcPr>
            <w:tcW w:w="680" w:type="dxa"/>
            <w:vAlign w:val="bottom"/>
            <w:gridSpan w:val="2"/>
          </w:tcPr>
          <w:p>
            <w:pPr>
              <w:jc w:val="center"/>
              <w:ind w:left="84"/>
              <w:spacing w:after="0" w:line="158"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7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3"/>
              </w:rPr>
              <w:t>Gross</w:t>
            </w:r>
          </w:p>
        </w:tc>
        <w:tc>
          <w:tcPr>
            <w:tcW w:w="760" w:type="dxa"/>
            <w:vAlign w:val="bottom"/>
            <w:gridSpan w:val="4"/>
          </w:tcPr>
          <w:p>
            <w:pPr>
              <w:jc w:val="right"/>
              <w:ind w:right="180"/>
              <w:spacing w:after="0" w:line="158" w:lineRule="exact"/>
              <w:rPr>
                <w:sz w:val="20"/>
                <w:szCs w:val="20"/>
                <w:color w:val="auto"/>
              </w:rPr>
            </w:pPr>
            <w:r>
              <w:rPr>
                <w:rFonts w:ascii="Arial" w:cs="Arial" w:eastAsia="Arial" w:hAnsi="Arial"/>
                <w:sz w:val="14"/>
                <w:szCs w:val="14"/>
                <w:b w:val="1"/>
                <w:bCs w:val="1"/>
                <w:color w:val="auto"/>
                <w:w w:val="98"/>
              </w:rPr>
              <w:t>Realized</w:t>
            </w:r>
          </w:p>
        </w:tc>
        <w:tc>
          <w:tcPr>
            <w:tcW w:w="980" w:type="dxa"/>
            <w:vAlign w:val="bottom"/>
            <w:gridSpan w:val="4"/>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Appreciation</w:t>
            </w:r>
          </w:p>
        </w:tc>
        <w:tc>
          <w:tcPr>
            <w:tcW w:w="660" w:type="dxa"/>
            <w:vAlign w:val="bottom"/>
            <w:gridSpan w:val="2"/>
          </w:tcPr>
          <w:p>
            <w:pPr>
              <w:jc w:val="center"/>
              <w:ind w:left="64"/>
              <w:spacing w:after="0" w:line="158"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Type of Investment</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4"/>
          </w:tcPr>
          <w:p>
            <w:pPr>
              <w:jc w:val="center"/>
              <w:ind w:right="40"/>
              <w:spacing w:after="0" w:line="203" w:lineRule="exact"/>
              <w:rPr>
                <w:sz w:val="20"/>
                <w:szCs w:val="20"/>
                <w:color w:val="auto"/>
              </w:rPr>
            </w:pPr>
            <w:r>
              <w:rPr>
                <w:rFonts w:ascii="Arial" w:cs="Arial" w:eastAsia="Arial" w:hAnsi="Arial"/>
                <w:sz w:val="14"/>
                <w:szCs w:val="14"/>
                <w:b w:val="1"/>
                <w:bCs w:val="1"/>
                <w:color w:val="auto"/>
                <w:w w:val="84"/>
              </w:rPr>
              <w:t>Income</w:t>
            </w:r>
            <w:r>
              <w:rPr>
                <w:rFonts w:ascii="Arial" w:cs="Arial" w:eastAsia="Arial" w:hAnsi="Arial"/>
                <w:sz w:val="21"/>
                <w:szCs w:val="21"/>
                <w:b w:val="1"/>
                <w:bCs w:val="1"/>
                <w:color w:val="auto"/>
                <w:w w:val="84"/>
                <w:vertAlign w:val="superscript"/>
              </w:rPr>
              <w:t>(1)</w:t>
            </w:r>
          </w:p>
        </w:tc>
        <w:tc>
          <w:tcPr>
            <w:tcW w:w="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Fair Value</w:t>
            </w:r>
          </w:p>
        </w:tc>
        <w:tc>
          <w:tcPr>
            <w:tcW w:w="780" w:type="dxa"/>
            <w:vAlign w:val="bottom"/>
            <w:gridSpan w:val="4"/>
          </w:tcPr>
          <w:p>
            <w:pPr>
              <w:jc w:val="center"/>
              <w:ind w:right="40"/>
              <w:spacing w:after="0" w:line="203" w:lineRule="exact"/>
              <w:rPr>
                <w:sz w:val="20"/>
                <w:szCs w:val="20"/>
                <w:color w:val="auto"/>
              </w:rPr>
            </w:pPr>
            <w:r>
              <w:rPr>
                <w:rFonts w:ascii="Arial" w:cs="Arial" w:eastAsia="Arial" w:hAnsi="Arial"/>
                <w:sz w:val="14"/>
                <w:szCs w:val="14"/>
                <w:b w:val="1"/>
                <w:bCs w:val="1"/>
                <w:color w:val="auto"/>
                <w:w w:val="85"/>
              </w:rPr>
              <w:t>Additions</w:t>
            </w:r>
            <w:r>
              <w:rPr>
                <w:rFonts w:ascii="Arial" w:cs="Arial" w:eastAsia="Arial" w:hAnsi="Arial"/>
                <w:sz w:val="21"/>
                <w:szCs w:val="21"/>
                <w:b w:val="1"/>
                <w:bCs w:val="1"/>
                <w:color w:val="auto"/>
                <w:w w:val="85"/>
                <w:vertAlign w:val="superscript"/>
              </w:rPr>
              <w:t>(2)</w:t>
            </w:r>
          </w:p>
        </w:tc>
        <w:tc>
          <w:tcPr>
            <w:tcW w:w="880" w:type="dxa"/>
            <w:vAlign w:val="bottom"/>
            <w:gridSpan w:val="4"/>
          </w:tcPr>
          <w:p>
            <w:pPr>
              <w:jc w:val="center"/>
              <w:ind w:right="60"/>
              <w:spacing w:after="0" w:line="203" w:lineRule="exact"/>
              <w:rPr>
                <w:sz w:val="20"/>
                <w:szCs w:val="20"/>
                <w:color w:val="auto"/>
              </w:rPr>
            </w:pPr>
            <w:r>
              <w:rPr>
                <w:rFonts w:ascii="Arial" w:cs="Arial" w:eastAsia="Arial" w:hAnsi="Arial"/>
                <w:sz w:val="14"/>
                <w:szCs w:val="14"/>
                <w:b w:val="1"/>
                <w:bCs w:val="1"/>
                <w:color w:val="auto"/>
                <w:w w:val="83"/>
              </w:rPr>
              <w:t>Reductions</w:t>
            </w:r>
            <w:r>
              <w:rPr>
                <w:rFonts w:ascii="Arial" w:cs="Arial" w:eastAsia="Arial" w:hAnsi="Arial"/>
                <w:sz w:val="21"/>
                <w:szCs w:val="21"/>
                <w:b w:val="1"/>
                <w:bCs w:val="1"/>
                <w:color w:val="auto"/>
                <w:w w:val="83"/>
                <w:vertAlign w:val="superscript"/>
              </w:rPr>
              <w:t>(3)</w:t>
            </w: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96"/>
              </w:rPr>
              <w:t>Gain/(Loss)</w:t>
            </w:r>
          </w:p>
        </w:tc>
        <w:tc>
          <w:tcPr>
            <w:tcW w:w="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(Depreciation)</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2"/>
        </w:trPr>
        <w:tc>
          <w:tcPr>
            <w:tcW w:w="13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w w:val="88"/>
              </w:rPr>
              <w:t>Affiliate investments</w:t>
            </w:r>
          </w:p>
        </w:tc>
        <w:tc>
          <w:tcPr>
            <w:tcW w:w="6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Burgaflex</w:t>
            </w: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gridSpan w:val="2"/>
          </w:tcPr>
          <w:p>
            <w:pPr>
              <w:spacing w:after="0" w:line="142" w:lineRule="exact"/>
              <w:rPr>
                <w:sz w:val="20"/>
                <w:szCs w:val="20"/>
                <w:color w:val="auto"/>
              </w:rPr>
            </w:pPr>
            <w:r>
              <w:rPr>
                <w:rFonts w:ascii="Arial" w:cs="Arial" w:eastAsia="Arial" w:hAnsi="Arial"/>
                <w:sz w:val="15"/>
                <w:szCs w:val="15"/>
                <w:color w:val="auto"/>
              </w:rPr>
              <w:t>First Lien Debt (12.0%</w:t>
            </w: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Holdings, LLC</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Cash, 3.0% PIK, Due</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w w:val="99"/>
              </w:rPr>
              <w:t>$14,421</w:t>
            </w:r>
          </w:p>
        </w:tc>
        <w:tc>
          <w:tcPr>
            <w:tcW w:w="6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$1,837</w:t>
            </w:r>
          </w:p>
        </w:tc>
        <w:tc>
          <w:tcPr>
            <w:tcW w:w="60" w:type="dxa"/>
            <w:vAlign w:val="bottom"/>
          </w:tcPr>
          <w:p>
            <w:pPr>
              <w:spacing w:after="0"/>
              <w:rPr>
                <w:sz w:val="12"/>
                <w:szCs w:val="12"/>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$14,384</w:t>
            </w:r>
          </w:p>
        </w:tc>
        <w:tc>
          <w:tcPr>
            <w:tcW w:w="4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   370</w:t>
            </w:r>
          </w:p>
        </w:tc>
        <w:tc>
          <w:tcPr>
            <w:tcW w:w="4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  (750)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  417</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$14,421</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Arial" w:cs="Arial" w:eastAsia="Arial" w:hAnsi="Arial"/>
                <w:sz w:val="15"/>
                <w:szCs w:val="15"/>
                <w:color w:val="auto"/>
              </w:rPr>
              <w:t>3/23/21)</w:t>
            </w:r>
          </w:p>
        </w:tc>
        <w:tc>
          <w:tcPr>
            <w:tcW w:w="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Burgaflex</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Stock Class B</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62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573</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635</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Holdings, LLC</w:t>
            </w: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(1,085,073 shares)</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Burgaflex</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Common Stock Class A</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7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Holdings, LLC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(1,253,198 shares)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1,837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14,384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432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(750)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990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15,056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City Gear, LLC</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Membership Unit</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3,184</w:t>
            </w:r>
          </w:p>
        </w:tc>
        <w:tc>
          <w:tcPr>
            <w:tcW w:w="40" w:type="dxa"/>
            <w:vAlign w:val="bottom"/>
          </w:tcPr>
          <w:p>
            <w:pPr>
              <w:spacing w:after="0"/>
              <w:rPr>
                <w:sz w:val="11"/>
                <w:szCs w:val="11"/>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111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1"/>
                <w:szCs w:val="11"/>
                <w:color w:val="auto"/>
              </w:rPr>
            </w:pP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142</w:t>
            </w:r>
          </w:p>
        </w:tc>
        <w:tc>
          <w:tcPr>
            <w:tcW w:w="80" w:type="dxa"/>
            <w:vAlign w:val="bottom"/>
          </w:tcPr>
          <w:p>
            <w:pPr>
              <w:spacing w:after="0"/>
              <w:rPr>
                <w:sz w:val="11"/>
                <w:szCs w:val="11"/>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3,326</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Warrants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3,184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3,326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Eastport Holdings,</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Second Lien Debt</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(14.9% Cash (3 month</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LIBOR + 13.0%, 0.5%</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16,500</w:t>
            </w:r>
          </w:p>
        </w:tc>
        <w:tc>
          <w:tcPr>
            <w:tcW w:w="6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3,230</w:t>
            </w:r>
          </w:p>
        </w:tc>
        <w:tc>
          <w:tcPr>
            <w:tcW w:w="60" w:type="dxa"/>
            <w:vAlign w:val="bottom"/>
          </w:tcPr>
          <w:p>
            <w:pPr>
              <w:spacing w:after="0"/>
              <w:rPr>
                <w:sz w:val="12"/>
                <w:szCs w:val="12"/>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16,500</w:t>
            </w:r>
          </w:p>
        </w:tc>
        <w:tc>
          <w:tcPr>
            <w:tcW w:w="4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659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(659)</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16,500</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Floor), Due 12/29/21)</w:t>
            </w: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Eastport Holdings,</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Membership Units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17,610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212</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17,822</w:t>
            </w:r>
          </w:p>
        </w:tc>
        <w:tc>
          <w:tcPr>
            <w:tcW w:w="0" w:type="dxa"/>
            <w:vAlign w:val="bottom"/>
          </w:tcPr>
          <w:p>
            <w:pPr>
              <w:spacing w:after="0"/>
              <w:rPr>
                <w:sz w:val="1"/>
                <w:szCs w:val="1"/>
                <w:color w:val="auto"/>
              </w:rPr>
            </w:pPr>
          </w:p>
        </w:tc>
      </w:tr>
      <w:tr>
        <w:trPr>
          <w:trHeight w:val="189"/>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(22.9% ownership)</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4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58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3,230</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34,110</w:t>
            </w:r>
          </w:p>
        </w:tc>
        <w:tc>
          <w:tcPr>
            <w:tcW w:w="18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659</w:t>
            </w:r>
          </w:p>
        </w:tc>
        <w:tc>
          <w:tcPr>
            <w:tcW w:w="12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(447)</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34,322</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color w:val="auto"/>
              </w:rPr>
              <w:t>GA</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color w:val="auto"/>
              </w:rPr>
              <w:t>Series A-1 Preferred</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Communications,</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Stock (1,998 shares,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3,482</w:t>
            </w:r>
          </w:p>
        </w:tc>
        <w:tc>
          <w:tcPr>
            <w:tcW w:w="4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299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3,761</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4"/>
                <w:szCs w:val="14"/>
                <w:color w:val="auto"/>
              </w:rPr>
              <w:t xml:space="preserve">Inc. </w:t>
            </w:r>
            <w:r>
              <w:rPr>
                <w:rFonts w:ascii="Arial" w:cs="Arial" w:eastAsia="Arial" w:hAnsi="Arial"/>
                <w:sz w:val="20"/>
                <w:szCs w:val="20"/>
                <w:color w:val="auto"/>
                <w:vertAlign w:val="superscript"/>
              </w:rPr>
              <w:t>(5)</w:t>
            </w: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8.0% PIK Dividend)</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GA</w:t>
            </w:r>
          </w:p>
        </w:tc>
        <w:tc>
          <w:tcPr>
            <w:tcW w:w="6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5"/>
                <w:szCs w:val="15"/>
                <w:color w:val="auto"/>
              </w:rPr>
              <w:t>Series B-1 Common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Communications,</w:t>
            </w:r>
          </w:p>
        </w:tc>
        <w:tc>
          <w:tcPr>
            <w:tcW w:w="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1,325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(824)</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Inc.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Stock (200,000 shares)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4,807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299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(844)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4,262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J&amp;J Produce</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Second Lien Debt</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Holdings, Inc.</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(13.0% Cash, Due</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485</w:t>
            </w:r>
          </w:p>
        </w:tc>
        <w:tc>
          <w:tcPr>
            <w:tcW w:w="60" w:type="dxa"/>
            <w:vAlign w:val="bottom"/>
          </w:tcPr>
          <w:p>
            <w:pPr>
              <w:spacing w:after="0"/>
              <w:rPr>
                <w:sz w:val="12"/>
                <w:szCs w:val="12"/>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6,210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(5,788)</w:t>
            </w:r>
          </w:p>
        </w:tc>
        <w:tc>
          <w:tcPr>
            <w:tcW w:w="80" w:type="dxa"/>
            <w:vAlign w:val="bottom"/>
          </w:tcPr>
          <w:p>
            <w:pPr>
              <w:spacing w:after="0"/>
              <w:rPr>
                <w:sz w:val="12"/>
                <w:szCs w:val="12"/>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5"/>
                <w:szCs w:val="15"/>
                <w:color w:val="auto"/>
              </w:rPr>
              <w:t>(618)</w:t>
            </w:r>
          </w:p>
        </w:tc>
        <w:tc>
          <w:tcPr>
            <w:tcW w:w="80" w:type="dxa"/>
            <w:vAlign w:val="bottom"/>
          </w:tcPr>
          <w:p>
            <w:pPr>
              <w:spacing w:after="0"/>
              <w:rPr>
                <w:sz w:val="12"/>
                <w:szCs w:val="12"/>
                <w:color w:val="auto"/>
              </w:rPr>
            </w:pP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Arial" w:cs="Arial" w:eastAsia="Arial" w:hAnsi="Arial"/>
                <w:sz w:val="15"/>
                <w:szCs w:val="15"/>
                <w:color w:val="auto"/>
              </w:rPr>
              <w:t>6/16/19)</w:t>
            </w:r>
          </w:p>
        </w:tc>
        <w:tc>
          <w:tcPr>
            <w:tcW w:w="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J&amp;J Produce</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Stock (8,182</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(818)</w:t>
            </w:r>
          </w:p>
        </w:tc>
        <w:tc>
          <w:tcPr>
            <w:tcW w:w="8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818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Holdings, Inc.</w:t>
            </w: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J&amp;J Produce</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Common Stock</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7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Holdings, Inc.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Warrants (6,369 shares)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485</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6,210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(5,788)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1,014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LJS Partners, LLC</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Preferred Units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293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1"/>
                <w:szCs w:val="11"/>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(92,924 units)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LJS Partners, LLC</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Membership</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3,018</w:t>
            </w:r>
          </w:p>
        </w:tc>
        <w:tc>
          <w:tcPr>
            <w:tcW w:w="4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327</w:t>
            </w:r>
          </w:p>
        </w:tc>
        <w:tc>
          <w:tcPr>
            <w:tcW w:w="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(293)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(1,543)</w:t>
            </w:r>
          </w:p>
        </w:tc>
        <w:tc>
          <w:tcPr>
            <w:tcW w:w="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1,509</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Units (2,593,234 units)</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4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58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3,018</w:t>
            </w:r>
          </w:p>
        </w:tc>
        <w:tc>
          <w:tcPr>
            <w:tcW w:w="18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620</w:t>
            </w:r>
          </w:p>
        </w:tc>
        <w:tc>
          <w:tcPr>
            <w:tcW w:w="12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(293)</w:t>
            </w:r>
          </w:p>
        </w:tc>
        <w:tc>
          <w:tcPr>
            <w:tcW w:w="1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6"/>
              </w:rPr>
              <w:t>(1,464)</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1,881</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MMI Holdings,</w:t>
            </w: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First Lien Debt (12.0%</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316</w:t>
            </w:r>
          </w:p>
        </w:tc>
        <w:tc>
          <w:tcPr>
            <w:tcW w:w="6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2,600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2,600</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Due 1/31/21)</w:t>
            </w:r>
          </w:p>
        </w:tc>
        <w:tc>
          <w:tcPr>
            <w:tcW w:w="5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MMI Holdings,</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Second Lien Debt (6.0%</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400</w:t>
            </w:r>
          </w:p>
        </w:tc>
        <w:tc>
          <w:tcPr>
            <w:tcW w:w="6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12"/>
                <w:szCs w:val="12"/>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400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7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75"/>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Cash, Due 1/31/21)</w:t>
            </w: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MMI Holdings,</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Preferred Units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 xml:space="preserve">LLC </w:t>
            </w:r>
            <w:r>
              <w:rPr>
                <w:rFonts w:ascii="Arial" w:cs="Arial" w:eastAsia="Arial" w:hAnsi="Arial"/>
                <w:sz w:val="17"/>
                <w:szCs w:val="17"/>
                <w:color w:val="auto"/>
                <w:vertAlign w:val="superscript"/>
              </w:rPr>
              <w:t>(5)</w:t>
            </w: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(1,000 units, 6.0% PIK</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1,612</w:t>
            </w:r>
          </w:p>
        </w:tc>
        <w:tc>
          <w:tcPr>
            <w:tcW w:w="4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98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Dividend)</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5"/>
                <w:szCs w:val="15"/>
                <w:color w:val="auto"/>
              </w:rPr>
              <w:t>MMI Holdings,</w:t>
            </w:r>
          </w:p>
        </w:tc>
        <w:tc>
          <w:tcPr>
            <w:tcW w:w="6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5"/>
                <w:szCs w:val="15"/>
                <w:color w:val="auto"/>
              </w:rPr>
              <w:t>Common Membership</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185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89"/>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Units (45 units)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340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4,797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4,904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Navis Holdings,</w:t>
            </w:r>
          </w:p>
        </w:tc>
        <w:tc>
          <w:tcPr>
            <w:tcW w:w="6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color w:val="auto"/>
              </w:rPr>
              <w:t>First Lien Debt (11.0%</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10,100</w:t>
            </w:r>
          </w:p>
        </w:tc>
        <w:tc>
          <w:tcPr>
            <w:tcW w:w="60" w:type="dxa"/>
            <w:vAlign w:val="bottom"/>
          </w:tcPr>
          <w:p>
            <w:pPr>
              <w:spacing w:after="0"/>
              <w:rPr>
                <w:sz w:val="11"/>
                <w:szCs w:val="11"/>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568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10,100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1"/>
                <w:szCs w:val="11"/>
                <w:color w:val="auto"/>
              </w:rPr>
            </w:pPr>
          </w:p>
        </w:tc>
        <w:tc>
          <w:tcPr>
            <w:tcW w:w="7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10,100</w:t>
            </w:r>
          </w:p>
        </w:tc>
        <w:tc>
          <w:tcPr>
            <w:tcW w:w="0" w:type="dxa"/>
            <w:vAlign w:val="bottom"/>
          </w:tcPr>
          <w:p>
            <w:pPr>
              <w:spacing w:after="0"/>
              <w:rPr>
                <w:sz w:val="1"/>
                <w:szCs w:val="1"/>
                <w:color w:val="auto"/>
              </w:rPr>
            </w:pPr>
          </w:p>
        </w:tc>
      </w:tr>
      <w:tr>
        <w:trPr>
          <w:trHeight w:val="194"/>
        </w:trPr>
        <w:tc>
          <w:tcPr>
            <w:tcW w:w="1320" w:type="dxa"/>
            <w:vAlign w:val="bottom"/>
            <w:gridSpan w:val="2"/>
          </w:tcPr>
          <w:p>
            <w:pPr>
              <w:ind w:left="140"/>
              <w:spacing w:after="0"/>
              <w:rPr>
                <w:sz w:val="20"/>
                <w:szCs w:val="20"/>
                <w:color w:val="auto"/>
              </w:rPr>
            </w:pPr>
            <w:r>
              <w:rPr>
                <w:rFonts w:ascii="Arial" w:cs="Arial" w:eastAsia="Arial" w:hAnsi="Arial"/>
                <w:sz w:val="15"/>
                <w:szCs w:val="15"/>
                <w:color w:val="auto"/>
              </w:rPr>
              <w:t>Inc.</w:t>
            </w:r>
          </w:p>
        </w:tc>
        <w:tc>
          <w:tcPr>
            <w:tcW w:w="6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Cash, Due 6/30/23)</w:t>
            </w: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6380480</wp:posOffset>
            </wp:positionH>
            <wp:positionV relativeFrom="paragraph">
              <wp:posOffset>-337185</wp:posOffset>
            </wp:positionV>
            <wp:extent cx="11176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-337185</wp:posOffset>
            </wp:positionV>
            <wp:extent cx="28257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-337185</wp:posOffset>
            </wp:positionV>
            <wp:extent cx="24003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-337185</wp:posOffset>
            </wp:positionV>
            <wp:extent cx="18859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-337185</wp:posOffset>
            </wp:positionV>
            <wp:extent cx="17970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-337185</wp:posOffset>
            </wp:positionV>
            <wp:extent cx="355727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-1263015</wp:posOffset>
            </wp:positionV>
            <wp:extent cx="1117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-1263015</wp:posOffset>
            </wp:positionV>
            <wp:extent cx="28257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-1263015</wp:posOffset>
            </wp:positionV>
            <wp:extent cx="24003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-1263015</wp:posOffset>
            </wp:positionV>
            <wp:extent cx="18859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-1263015</wp:posOffset>
            </wp:positionV>
            <wp:extent cx="17970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-1263015</wp:posOffset>
            </wp:positionV>
            <wp:extent cx="355727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-1922780</wp:posOffset>
            </wp:positionV>
            <wp:extent cx="11176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-1922780</wp:posOffset>
            </wp:positionV>
            <wp:extent cx="28257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-1922780</wp:posOffset>
            </wp:positionV>
            <wp:extent cx="24003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-1922780</wp:posOffset>
            </wp:positionV>
            <wp:extent cx="18859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-1922780</wp:posOffset>
            </wp:positionV>
            <wp:extent cx="17970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-1922780</wp:posOffset>
            </wp:positionV>
            <wp:extent cx="355727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-2762885</wp:posOffset>
            </wp:positionV>
            <wp:extent cx="11176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-2762885</wp:posOffset>
            </wp:positionV>
            <wp:extent cx="28257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-2762885</wp:posOffset>
            </wp:positionV>
            <wp:extent cx="24003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-2762885</wp:posOffset>
            </wp:positionV>
            <wp:extent cx="18859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-2762885</wp:posOffset>
            </wp:positionV>
            <wp:extent cx="17970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-2762885</wp:posOffset>
            </wp:positionV>
            <wp:extent cx="35572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-3380105</wp:posOffset>
            </wp:positionV>
            <wp:extent cx="1117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-3380105</wp:posOffset>
            </wp:positionV>
            <wp:extent cx="28257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-3380105</wp:posOffset>
            </wp:positionV>
            <wp:extent cx="24003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-3380105</wp:posOffset>
            </wp:positionV>
            <wp:extent cx="18859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-3380105</wp:posOffset>
            </wp:positionV>
            <wp:extent cx="17970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-3380105</wp:posOffset>
            </wp:positionV>
            <wp:extent cx="355727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-4229100</wp:posOffset>
            </wp:positionV>
            <wp:extent cx="11176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-4229100</wp:posOffset>
            </wp:positionV>
            <wp:extent cx="28257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-4229100</wp:posOffset>
            </wp:positionV>
            <wp:extent cx="24003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-4229100</wp:posOffset>
            </wp:positionV>
            <wp:extent cx="18859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-4229100</wp:posOffset>
            </wp:positionV>
            <wp:extent cx="17970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-4229100</wp:posOffset>
            </wp:positionV>
            <wp:extent cx="35572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-4563110</wp:posOffset>
            </wp:positionV>
            <wp:extent cx="1117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-4563110</wp:posOffset>
            </wp:positionV>
            <wp:extent cx="28257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-4563110</wp:posOffset>
            </wp:positionV>
            <wp:extent cx="24003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-4563110</wp:posOffset>
            </wp:positionV>
            <wp:extent cx="18859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-4563110</wp:posOffset>
            </wp:positionV>
            <wp:extent cx="17970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-4563110</wp:posOffset>
            </wp:positionV>
            <wp:extent cx="35572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-5394960</wp:posOffset>
            </wp:positionV>
            <wp:extent cx="514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-5394960</wp:posOffset>
            </wp:positionV>
            <wp:extent cx="514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-5394960</wp:posOffset>
            </wp:positionV>
            <wp:extent cx="514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-5394960</wp:posOffset>
            </wp:positionV>
            <wp:extent cx="342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-5394960</wp:posOffset>
            </wp:positionV>
            <wp:extent cx="342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-5394960</wp:posOffset>
            </wp:positionV>
            <wp:extent cx="342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-5394960</wp:posOffset>
            </wp:positionV>
            <wp:extent cx="342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-5394960</wp:posOffset>
            </wp:positionV>
            <wp:extent cx="342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-5394960</wp:posOffset>
            </wp:positionV>
            <wp:extent cx="342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6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43" w:name="page144"/>
    <w:bookmarkEnd w:id="143"/>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5. Transactions With Affiliated Companies – (continued)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Interest, Fees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or Dividends</w:t>
            </w:r>
          </w:p>
        </w:tc>
        <w:tc>
          <w:tcPr>
            <w:tcW w:w="9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Unrealized</w:t>
            </w:r>
          </w:p>
        </w:tc>
        <w:tc>
          <w:tcPr>
            <w:tcW w:w="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58"/>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1"/>
                <w:szCs w:val="21"/>
                <w:b w:val="1"/>
                <w:bCs w:val="1"/>
                <w:color w:val="auto"/>
                <w:vertAlign w:val="superscript"/>
              </w:rPr>
              <w:t>(4)</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Principal</w:t>
            </w:r>
          </w:p>
        </w:tc>
        <w:tc>
          <w:tcPr>
            <w:tcW w:w="880" w:type="dxa"/>
            <w:vAlign w:val="bottom"/>
            <w:gridSpan w:val="5"/>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Credited to</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3"/>
                <w:szCs w:val="13"/>
                <w:color w:val="auto"/>
              </w:rPr>
            </w:pPr>
          </w:p>
        </w:tc>
        <w:tc>
          <w:tcPr>
            <w:tcW w:w="72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Realized</w:t>
            </w:r>
          </w:p>
        </w:tc>
        <w:tc>
          <w:tcPr>
            <w:tcW w:w="980" w:type="dxa"/>
            <w:vAlign w:val="bottom"/>
            <w:gridSpan w:val="5"/>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Appreciation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Type of Investment</w:t>
            </w: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5"/>
          </w:tcPr>
          <w:p>
            <w:pPr>
              <w:jc w:val="center"/>
              <w:ind w:right="40"/>
              <w:spacing w:after="0" w:line="203" w:lineRule="exact"/>
              <w:rPr>
                <w:sz w:val="20"/>
                <w:szCs w:val="20"/>
                <w:color w:val="auto"/>
              </w:rPr>
            </w:pPr>
            <w:r>
              <w:rPr>
                <w:rFonts w:ascii="Arial" w:cs="Arial" w:eastAsia="Arial" w:hAnsi="Arial"/>
                <w:sz w:val="14"/>
                <w:szCs w:val="14"/>
                <w:b w:val="1"/>
                <w:bCs w:val="1"/>
                <w:color w:val="auto"/>
                <w:w w:val="84"/>
              </w:rPr>
              <w:t>Income</w:t>
            </w:r>
            <w:r>
              <w:rPr>
                <w:rFonts w:ascii="Arial" w:cs="Arial" w:eastAsia="Arial" w:hAnsi="Arial"/>
                <w:sz w:val="21"/>
                <w:szCs w:val="21"/>
                <w:b w:val="1"/>
                <w:bCs w:val="1"/>
                <w:color w:val="auto"/>
                <w:w w:val="84"/>
                <w:vertAlign w:val="superscript"/>
              </w:rPr>
              <w:t>(1)</w:t>
            </w:r>
          </w:p>
        </w:tc>
        <w:tc>
          <w:tcPr>
            <w:tcW w:w="9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Fair Value</w:t>
            </w:r>
          </w:p>
        </w:tc>
        <w:tc>
          <w:tcPr>
            <w:tcW w:w="800" w:type="dxa"/>
            <w:vAlign w:val="bottom"/>
            <w:gridSpan w:val="5"/>
          </w:tcPr>
          <w:p>
            <w:pPr>
              <w:jc w:val="center"/>
              <w:ind w:right="60"/>
              <w:spacing w:after="0" w:line="203" w:lineRule="exact"/>
              <w:rPr>
                <w:sz w:val="20"/>
                <w:szCs w:val="20"/>
                <w:color w:val="auto"/>
              </w:rPr>
            </w:pPr>
            <w:r>
              <w:rPr>
                <w:rFonts w:ascii="Arial" w:cs="Arial" w:eastAsia="Arial" w:hAnsi="Arial"/>
                <w:sz w:val="14"/>
                <w:szCs w:val="14"/>
                <w:b w:val="1"/>
                <w:bCs w:val="1"/>
                <w:color w:val="auto"/>
                <w:w w:val="85"/>
              </w:rPr>
              <w:t>Additions</w:t>
            </w:r>
            <w:r>
              <w:rPr>
                <w:rFonts w:ascii="Arial" w:cs="Arial" w:eastAsia="Arial" w:hAnsi="Arial"/>
                <w:sz w:val="21"/>
                <w:szCs w:val="21"/>
                <w:b w:val="1"/>
                <w:bCs w:val="1"/>
                <w:color w:val="auto"/>
                <w:w w:val="85"/>
                <w:vertAlign w:val="superscript"/>
              </w:rPr>
              <w:t>(2)</w:t>
            </w:r>
          </w:p>
        </w:tc>
        <w:tc>
          <w:tcPr>
            <w:tcW w:w="880" w:type="dxa"/>
            <w:vAlign w:val="bottom"/>
            <w:gridSpan w:val="5"/>
          </w:tcPr>
          <w:p>
            <w:pPr>
              <w:jc w:val="center"/>
              <w:ind w:right="60"/>
              <w:spacing w:after="0" w:line="203" w:lineRule="exact"/>
              <w:rPr>
                <w:sz w:val="20"/>
                <w:szCs w:val="20"/>
                <w:color w:val="auto"/>
              </w:rPr>
            </w:pPr>
            <w:r>
              <w:rPr>
                <w:rFonts w:ascii="Arial" w:cs="Arial" w:eastAsia="Arial" w:hAnsi="Arial"/>
                <w:sz w:val="14"/>
                <w:szCs w:val="14"/>
                <w:b w:val="1"/>
                <w:bCs w:val="1"/>
                <w:color w:val="auto"/>
                <w:w w:val="83"/>
              </w:rPr>
              <w:t>Reductions</w:t>
            </w:r>
            <w:r>
              <w:rPr>
                <w:rFonts w:ascii="Arial" w:cs="Arial" w:eastAsia="Arial" w:hAnsi="Arial"/>
                <w:sz w:val="21"/>
                <w:szCs w:val="21"/>
                <w:b w:val="1"/>
                <w:bCs w:val="1"/>
                <w:color w:val="auto"/>
                <w:w w:val="83"/>
                <w:vertAlign w:val="superscript"/>
              </w:rPr>
              <w:t>(3)</w:t>
            </w: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Gain/(Loss)</w:t>
            </w:r>
          </w:p>
        </w:tc>
        <w:tc>
          <w:tcPr>
            <w:tcW w:w="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(Depreciation)</w:t>
            </w: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28"/>
        </w:trPr>
        <w:tc>
          <w:tcPr>
            <w:tcW w:w="12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Navis Holdings,</w:t>
            </w:r>
          </w:p>
        </w:tc>
        <w:tc>
          <w:tcPr>
            <w:tcW w:w="6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Class A Preferred Stock</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 xml:space="preserve">Inc. </w:t>
            </w:r>
            <w:r>
              <w:rPr>
                <w:rFonts w:ascii="Arial" w:cs="Arial" w:eastAsia="Arial" w:hAnsi="Arial"/>
                <w:sz w:val="17"/>
                <w:szCs w:val="17"/>
                <w:color w:val="auto"/>
                <w:vertAlign w:val="superscript"/>
              </w:rPr>
              <w:t>(5)</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(1,000 shares, 10.0%</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50</w:t>
            </w:r>
          </w:p>
        </w:tc>
        <w:tc>
          <w:tcPr>
            <w:tcW w:w="6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 Dividend)</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5"/>
                <w:szCs w:val="15"/>
                <w:color w:val="auto"/>
              </w:rPr>
              <w:t>Navis Holdings,</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Common Stock (60,000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24"/>
              <w:spacing w:after="0"/>
              <w:rPr>
                <w:sz w:val="20"/>
                <w:szCs w:val="20"/>
                <w:color w:val="auto"/>
              </w:rPr>
            </w:pPr>
            <w:r>
              <w:rPr>
                <w:rFonts w:ascii="Arial" w:cs="Arial" w:eastAsia="Arial" w:hAnsi="Arial"/>
                <w:sz w:val="15"/>
                <w:szCs w:val="15"/>
                <w:color w:val="auto"/>
              </w:rPr>
              <w:t>464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189"/>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Inc.</w:t>
            </w:r>
          </w:p>
        </w:tc>
        <w:tc>
          <w:tcPr>
            <w:tcW w:w="6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shares)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618</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11,100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464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11,564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gridSpan w:val="2"/>
          </w:tcPr>
          <w:p>
            <w:pPr>
              <w:spacing w:after="0" w:line="129" w:lineRule="exact"/>
              <w:rPr>
                <w:sz w:val="20"/>
                <w:szCs w:val="20"/>
                <w:color w:val="auto"/>
              </w:rPr>
            </w:pPr>
            <w:r>
              <w:rPr>
                <w:rFonts w:ascii="Arial" w:cs="Arial" w:eastAsia="Arial" w:hAnsi="Arial"/>
                <w:sz w:val="14"/>
                <w:szCs w:val="14"/>
                <w:color w:val="auto"/>
              </w:rPr>
              <w:t>Nth Degree</w:t>
            </w:r>
          </w:p>
        </w:tc>
        <w:tc>
          <w:tcPr>
            <w:tcW w:w="60" w:type="dxa"/>
            <w:vAlign w:val="bottom"/>
          </w:tcPr>
          <w:p>
            <w:pPr>
              <w:spacing w:after="0"/>
              <w:rPr>
                <w:sz w:val="11"/>
                <w:szCs w:val="11"/>
                <w:color w:val="auto"/>
              </w:rPr>
            </w:pPr>
          </w:p>
        </w:tc>
        <w:tc>
          <w:tcPr>
            <w:tcW w:w="1680" w:type="dxa"/>
            <w:vAlign w:val="bottom"/>
            <w:gridSpan w:val="3"/>
            <w:vMerge w:val="restart"/>
          </w:tcPr>
          <w:p>
            <w:pPr>
              <w:spacing w:after="0"/>
              <w:rPr>
                <w:sz w:val="20"/>
                <w:szCs w:val="20"/>
                <w:color w:val="auto"/>
              </w:rPr>
            </w:pPr>
            <w:r>
              <w:rPr>
                <w:rFonts w:ascii="Arial" w:cs="Arial" w:eastAsia="Arial" w:hAnsi="Arial"/>
                <w:sz w:val="15"/>
                <w:szCs w:val="15"/>
                <w:color w:val="auto"/>
              </w:rPr>
              <w:t>Membership Units</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Investment</w:t>
            </w:r>
          </w:p>
        </w:tc>
        <w:tc>
          <w:tcPr>
            <w:tcW w:w="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6,088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6,088</w:t>
            </w:r>
          </w:p>
        </w:tc>
        <w:tc>
          <w:tcPr>
            <w:tcW w:w="0" w:type="dxa"/>
            <w:vAlign w:val="bottom"/>
          </w:tcPr>
          <w:p>
            <w:pPr>
              <w:spacing w:after="0"/>
              <w:rPr>
                <w:sz w:val="1"/>
                <w:szCs w:val="1"/>
                <w:color w:val="auto"/>
              </w:rPr>
            </w:pPr>
          </w:p>
        </w:tc>
      </w:tr>
      <w:tr>
        <w:trPr>
          <w:trHeight w:val="189"/>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Group, LLC</w:t>
            </w:r>
          </w:p>
        </w:tc>
        <w:tc>
          <w:tcPr>
            <w:tcW w:w="6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(6,088,000 Units)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6,088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6,088</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gridSpan w:val="2"/>
          </w:tcPr>
          <w:p>
            <w:pPr>
              <w:spacing w:after="0" w:line="129" w:lineRule="exact"/>
              <w:rPr>
                <w:sz w:val="20"/>
                <w:szCs w:val="20"/>
                <w:color w:val="auto"/>
              </w:rPr>
            </w:pPr>
            <w:r>
              <w:rPr>
                <w:rFonts w:ascii="Arial" w:cs="Arial" w:eastAsia="Arial" w:hAnsi="Arial"/>
                <w:sz w:val="14"/>
                <w:szCs w:val="14"/>
                <w:color w:val="auto"/>
              </w:rPr>
              <w:t>RAM Payment,</w:t>
            </w:r>
          </w:p>
        </w:tc>
        <w:tc>
          <w:tcPr>
            <w:tcW w:w="60" w:type="dxa"/>
            <w:vAlign w:val="bottom"/>
          </w:tcPr>
          <w:p>
            <w:pPr>
              <w:spacing w:after="0"/>
              <w:rPr>
                <w:sz w:val="11"/>
                <w:szCs w:val="11"/>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color w:val="auto"/>
              </w:rPr>
              <w:t>First Lien Debt (10.0%</w:t>
            </w:r>
          </w:p>
        </w:tc>
        <w:tc>
          <w:tcPr>
            <w:tcW w:w="1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w w:val="95"/>
              </w:rPr>
              <w:t>9,019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w w:val="85"/>
              </w:rPr>
              <w:t>1,212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9,489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(470)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9,019</w:t>
            </w:r>
          </w:p>
        </w:tc>
        <w:tc>
          <w:tcPr>
            <w:tcW w:w="0" w:type="dxa"/>
            <w:vAlign w:val="bottom"/>
          </w:tcPr>
          <w:p>
            <w:pPr>
              <w:spacing w:after="0"/>
              <w:rPr>
                <w:sz w:val="1"/>
                <w:szCs w:val="1"/>
                <w:color w:val="auto"/>
              </w:rPr>
            </w:pPr>
          </w:p>
        </w:tc>
      </w:tr>
      <w:tr>
        <w:trPr>
          <w:trHeight w:val="175"/>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Cash, Due 1/4/24)</w:t>
            </w:r>
          </w:p>
        </w:tc>
        <w:tc>
          <w:tcPr>
            <w:tcW w:w="1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RAM Payment,</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Preferred Units</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 xml:space="preserve">LLC </w:t>
            </w:r>
            <w:r>
              <w:rPr>
                <w:rFonts w:ascii="Arial" w:cs="Arial" w:eastAsia="Arial" w:hAnsi="Arial"/>
                <w:sz w:val="17"/>
                <w:szCs w:val="17"/>
                <w:color w:val="auto"/>
                <w:vertAlign w:val="superscript"/>
              </w:rPr>
              <w:t>(5)</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(86,000 Units, 8.0% PIK</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928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797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1,725</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Dividend)</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CCEEFF"/>
              <w:bottom w:val="single" w:sz="8" w:color="CCEEFF"/>
            </w:tcBorders>
          </w:tcPr>
          <w:p>
            <w:pPr>
              <w:spacing w:after="0"/>
              <w:rPr>
                <w:sz w:val="14"/>
                <w:szCs w:val="14"/>
                <w:color w:val="auto"/>
              </w:rPr>
            </w:pPr>
          </w:p>
        </w:tc>
        <w:tc>
          <w:tcPr>
            <w:tcW w:w="138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5"/>
              </w:rPr>
              <w:t>1,212</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10,417</w:t>
            </w: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(470)</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797</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10,744</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Sierra Hamilton</w:t>
            </w:r>
          </w:p>
        </w:tc>
        <w:tc>
          <w:tcPr>
            <w:tcW w:w="60" w:type="dxa"/>
            <w:vAlign w:val="bottom"/>
            <w:shd w:val="clear" w:color="auto" w:fill="CCEEFF"/>
          </w:tcPr>
          <w:p>
            <w:pPr>
              <w:spacing w:after="0"/>
              <w:rPr>
                <w:sz w:val="11"/>
                <w:szCs w:val="11"/>
                <w:color w:val="auto"/>
              </w:rPr>
            </w:pPr>
          </w:p>
        </w:tc>
        <w:tc>
          <w:tcPr>
            <w:tcW w:w="16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Second Lien Debt</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Holdings</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(15.0% PIK, Due</w:t>
            </w:r>
          </w:p>
        </w:tc>
        <w:tc>
          <w:tcPr>
            <w:tcW w:w="1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748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748</w:t>
            </w:r>
          </w:p>
        </w:tc>
        <w:tc>
          <w:tcPr>
            <w:tcW w:w="0" w:type="dxa"/>
            <w:vAlign w:val="bottom"/>
          </w:tcPr>
          <w:p>
            <w:pPr>
              <w:spacing w:after="0"/>
              <w:rPr>
                <w:sz w:val="1"/>
                <w:szCs w:val="1"/>
                <w:color w:val="auto"/>
              </w:rPr>
            </w:pPr>
          </w:p>
        </w:tc>
      </w:tr>
      <w:tr>
        <w:trPr>
          <w:trHeight w:val="175"/>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Corporation</w:t>
            </w:r>
          </w:p>
        </w:tc>
        <w:tc>
          <w:tcPr>
            <w:tcW w:w="170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9/12/23)</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5"/>
                <w:szCs w:val="15"/>
                <w:color w:val="auto"/>
              </w:rPr>
              <w:t>Sierra Hamilton</w:t>
            </w:r>
          </w:p>
        </w:tc>
        <w:tc>
          <w:tcPr>
            <w:tcW w:w="60" w:type="dxa"/>
            <w:vAlign w:val="bottom"/>
          </w:tcPr>
          <w:p>
            <w:pPr>
              <w:spacing w:after="0"/>
              <w:rPr>
                <w:sz w:val="12"/>
                <w:szCs w:val="12"/>
                <w:color w:val="auto"/>
              </w:rPr>
            </w:pPr>
          </w:p>
        </w:tc>
        <w:tc>
          <w:tcPr>
            <w:tcW w:w="1680" w:type="dxa"/>
            <w:vAlign w:val="bottom"/>
            <w:gridSpan w:val="3"/>
            <w:vMerge w:val="restart"/>
          </w:tcPr>
          <w:p>
            <w:pPr>
              <w:spacing w:after="0"/>
              <w:rPr>
                <w:sz w:val="20"/>
                <w:szCs w:val="20"/>
                <w:color w:val="auto"/>
              </w:rPr>
            </w:pPr>
            <w:r>
              <w:rPr>
                <w:rFonts w:ascii="Arial" w:cs="Arial" w:eastAsia="Arial" w:hAnsi="Arial"/>
                <w:sz w:val="15"/>
                <w:szCs w:val="15"/>
                <w:color w:val="auto"/>
              </w:rPr>
              <w:t>Common Stock</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Holdings</w:t>
            </w:r>
          </w:p>
        </w:tc>
        <w:tc>
          <w:tcPr>
            <w:tcW w:w="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6,854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w w:val="88"/>
              </w:rPr>
              <w:t>(1,694)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5,160</w:t>
            </w:r>
          </w:p>
        </w:tc>
        <w:tc>
          <w:tcPr>
            <w:tcW w:w="0" w:type="dxa"/>
            <w:vAlign w:val="bottom"/>
          </w:tcPr>
          <w:p>
            <w:pPr>
              <w:spacing w:after="0"/>
              <w:rPr>
                <w:sz w:val="1"/>
                <w:szCs w:val="1"/>
                <w:color w:val="auto"/>
              </w:rPr>
            </w:pPr>
          </w:p>
        </w:tc>
      </w:tr>
      <w:tr>
        <w:trPr>
          <w:trHeight w:val="189"/>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Corporation</w:t>
            </w:r>
          </w:p>
        </w:tc>
        <w:tc>
          <w:tcPr>
            <w:tcW w:w="6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(15,068,000 shares)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6,854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5"/>
              </w:rPr>
              <w:t>(1,694)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5,908</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gridSpan w:val="2"/>
          </w:tcPr>
          <w:p>
            <w:pPr>
              <w:spacing w:after="0" w:line="129" w:lineRule="exact"/>
              <w:rPr>
                <w:sz w:val="20"/>
                <w:szCs w:val="20"/>
                <w:color w:val="auto"/>
              </w:rPr>
            </w:pPr>
            <w:r>
              <w:rPr>
                <w:rFonts w:ascii="Arial" w:cs="Arial" w:eastAsia="Arial" w:hAnsi="Arial"/>
                <w:sz w:val="14"/>
                <w:szCs w:val="14"/>
                <w:color w:val="auto"/>
              </w:rPr>
              <w:t>US Bath Group,</w:t>
            </w:r>
          </w:p>
        </w:tc>
        <w:tc>
          <w:tcPr>
            <w:tcW w:w="60" w:type="dxa"/>
            <w:vAlign w:val="bottom"/>
          </w:tcPr>
          <w:p>
            <w:pPr>
              <w:spacing w:after="0"/>
              <w:rPr>
                <w:sz w:val="11"/>
                <w:szCs w:val="11"/>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color w:val="auto"/>
              </w:rPr>
              <w:t>First Lien Debt (11.5%</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Cash (1 month</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LIBOR + 9.0%, 1.0%</w:t>
            </w:r>
          </w:p>
        </w:tc>
        <w:tc>
          <w:tcPr>
            <w:tcW w:w="18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676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w w:val="87"/>
              </w:rPr>
              <w:t>12,750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89"/>
              </w:rPr>
              <w:t>(12,750)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Floor), Due 1/2/23)</w:t>
            </w:r>
          </w:p>
        </w:tc>
        <w:tc>
          <w:tcPr>
            <w:tcW w:w="1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US Bath Group,</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Membership Units</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2,083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(4,323)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3,823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88"/>
              </w:rPr>
              <w:t>(1,583)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(500,000 units)</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CCEEFF"/>
              <w:bottom w:val="single" w:sz="8" w:color="CCEEFF"/>
            </w:tcBorders>
          </w:tcPr>
          <w:p>
            <w:pPr>
              <w:spacing w:after="0"/>
              <w:rPr>
                <w:sz w:val="14"/>
                <w:szCs w:val="14"/>
                <w:color w:val="auto"/>
              </w:rPr>
            </w:pPr>
          </w:p>
        </w:tc>
        <w:tc>
          <w:tcPr>
            <w:tcW w:w="138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676</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14,833</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8"/>
              </w:rPr>
              <w:t>(17,073)</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3,823</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5"/>
              </w:rPr>
              <w:t>(1,583)</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shd w:val="clear" w:color="auto" w:fill="CCEEFF"/>
              </w:rPr>
              <w:t>V12 Holdings, Inc.</w:t>
            </w:r>
          </w:p>
        </w:tc>
        <w:tc>
          <w:tcPr>
            <w:tcW w:w="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3"/>
            <w:shd w:val="clear" w:color="auto" w:fill="CCEEFF"/>
          </w:tcPr>
          <w:p>
            <w:pPr>
              <w:spacing w:after="0" w:line="169" w:lineRule="exact"/>
              <w:rPr>
                <w:sz w:val="20"/>
                <w:szCs w:val="20"/>
                <w:color w:val="auto"/>
              </w:rPr>
            </w:pPr>
            <w:r>
              <w:rPr>
                <w:rFonts w:ascii="Arial" w:cs="Arial" w:eastAsia="Arial" w:hAnsi="Arial"/>
                <w:sz w:val="15"/>
                <w:szCs w:val="15"/>
                <w:color w:val="auto"/>
              </w:rPr>
              <w:t>Second Lien Debt</w:t>
            </w:r>
          </w:p>
        </w:tc>
        <w:tc>
          <w:tcPr>
            <w:tcW w:w="1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742</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(30)</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(16)</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708</w:t>
            </w: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708</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gridSpan w:val="6"/>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Total Affiliate investments</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5"/>
              </w:rPr>
              <w:t>8,401</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92,939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95"/>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30,572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95"/>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6"/>
              </w:rPr>
              <w:t>(24,404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2,288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4"/>
              </w:rPr>
              <w:t>(2,632</w:t>
            </w:r>
          </w:p>
        </w:tc>
        <w:tc>
          <w:tcPr>
            <w:tcW w:w="220" w:type="dxa"/>
            <w:vAlign w:val="bottom"/>
            <w:shd w:val="clear" w:color="auto" w:fill="CCEEFF"/>
          </w:tcPr>
          <w:p>
            <w:pPr>
              <w:jc w:val="right"/>
              <w:ind w:right="84"/>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98,763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5"/>
                <w:szCs w:val="15"/>
                <w:b w:val="1"/>
                <w:bCs w:val="1"/>
                <w:i w:val="1"/>
                <w:iCs w:val="1"/>
                <w:color w:val="auto"/>
                <w:w w:val="84"/>
              </w:rPr>
              <w:t>Control investments</w:t>
            </w: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5"/>
                <w:szCs w:val="15"/>
                <w:color w:val="auto"/>
              </w:rPr>
              <w:t>AAE Acquisition,</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2" w:lineRule="exact"/>
              <w:rPr>
                <w:sz w:val="20"/>
                <w:szCs w:val="20"/>
                <w:color w:val="auto"/>
              </w:rPr>
            </w:pPr>
            <w:r>
              <w:rPr>
                <w:rFonts w:ascii="Arial" w:cs="Arial" w:eastAsia="Arial" w:hAnsi="Arial"/>
                <w:sz w:val="15"/>
                <w:szCs w:val="15"/>
                <w:color w:val="auto"/>
              </w:rPr>
              <w:t>Second Lien Debt (6.0%</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w w:val="87"/>
              </w:rPr>
              <w:t>16,327</w:t>
            </w:r>
          </w:p>
        </w:tc>
        <w:tc>
          <w:tcPr>
            <w:tcW w:w="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4,084</w:t>
            </w:r>
          </w:p>
        </w:tc>
        <w:tc>
          <w:tcPr>
            <w:tcW w:w="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w w:val="89"/>
              </w:rPr>
              <w:t>(20,411)</w:t>
            </w:r>
          </w:p>
        </w:tc>
        <w:tc>
          <w:tcPr>
            <w:tcW w:w="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PIK, Due 8/24/19)</w:t>
            </w:r>
          </w:p>
        </w:tc>
        <w:tc>
          <w:tcPr>
            <w:tcW w:w="180" w:type="dxa"/>
            <w:vAlign w:val="bottom"/>
            <w:vMerge w:val="continue"/>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5"/>
                <w:szCs w:val="15"/>
                <w:color w:val="auto"/>
              </w:rPr>
              <w:t>AAE Acquisition,</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Membership Units</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24"/>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(2.2% fully diluted)</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AAE Acquisition,</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Warrants (58.9% fully</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diluted)</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CCEEFF"/>
              <w:bottom w:val="single" w:sz="8" w:color="CCEEFF"/>
            </w:tcBorders>
          </w:tcPr>
          <w:p>
            <w:pPr>
              <w:spacing w:after="0"/>
              <w:rPr>
                <w:sz w:val="14"/>
                <w:szCs w:val="14"/>
                <w:color w:val="auto"/>
              </w:rPr>
            </w:pPr>
          </w:p>
        </w:tc>
        <w:tc>
          <w:tcPr>
            <w:tcW w:w="138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16,327</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4,084</w:t>
            </w: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8"/>
              </w:rPr>
              <w:t>(20,428)</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CableOrganizer</w:t>
            </w:r>
          </w:p>
        </w:tc>
        <w:tc>
          <w:tcPr>
            <w:tcW w:w="60" w:type="dxa"/>
            <w:vAlign w:val="bottom"/>
            <w:shd w:val="clear" w:color="auto" w:fill="CCEEFF"/>
          </w:tcPr>
          <w:p>
            <w:pPr>
              <w:spacing w:after="0"/>
              <w:rPr>
                <w:sz w:val="11"/>
                <w:szCs w:val="11"/>
                <w:color w:val="auto"/>
              </w:rPr>
            </w:pPr>
          </w:p>
        </w:tc>
        <w:tc>
          <w:tcPr>
            <w:tcW w:w="1680" w:type="dxa"/>
            <w:vAlign w:val="bottom"/>
            <w:gridSpan w:val="3"/>
            <w:vMerge w:val="restart"/>
            <w:shd w:val="clear" w:color="auto" w:fill="CCEEFF"/>
          </w:tcPr>
          <w:p>
            <w:pPr>
              <w:spacing w:after="0"/>
              <w:rPr>
                <w:sz w:val="20"/>
                <w:szCs w:val="20"/>
                <w:color w:val="auto"/>
              </w:rPr>
            </w:pPr>
            <w:r>
              <w:rPr>
                <w:rFonts w:ascii="Arial" w:cs="Arial" w:eastAsia="Arial" w:hAnsi="Arial"/>
                <w:sz w:val="15"/>
                <w:szCs w:val="15"/>
                <w:color w:val="auto"/>
              </w:rPr>
              <w:t>First Lien Debt (8.0%</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Acquisition,</w:t>
            </w:r>
          </w:p>
        </w:tc>
        <w:tc>
          <w:tcPr>
            <w:tcW w:w="60" w:type="dxa"/>
            <w:vAlign w:val="bottom"/>
            <w:shd w:val="clear" w:color="auto" w:fill="CCEEFF"/>
          </w:tcPr>
          <w:p>
            <w:pPr>
              <w:spacing w:after="0"/>
              <w:rPr>
                <w:sz w:val="12"/>
                <w:szCs w:val="12"/>
                <w:color w:val="auto"/>
              </w:rPr>
            </w:pPr>
          </w:p>
        </w:tc>
        <w:tc>
          <w:tcPr>
            <w:tcW w:w="1680" w:type="dxa"/>
            <w:vAlign w:val="bottom"/>
            <w:gridSpan w:val="3"/>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72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1,708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1,842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(3,550)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 Due 6/30/21)</w:t>
            </w:r>
          </w:p>
        </w:tc>
        <w:tc>
          <w:tcPr>
            <w:tcW w:w="1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5"/>
                <w:szCs w:val="15"/>
                <w:color w:val="auto"/>
              </w:rPr>
              <w:t>CableOrganizer</w:t>
            </w:r>
          </w:p>
        </w:tc>
        <w:tc>
          <w:tcPr>
            <w:tcW w:w="60" w:type="dxa"/>
            <w:vAlign w:val="bottom"/>
          </w:tcPr>
          <w:p>
            <w:pPr>
              <w:spacing w:after="0"/>
              <w:rPr>
                <w:sz w:val="12"/>
                <w:szCs w:val="12"/>
                <w:color w:val="auto"/>
              </w:rPr>
            </w:pPr>
          </w:p>
        </w:tc>
        <w:tc>
          <w:tcPr>
            <w:tcW w:w="1680" w:type="dxa"/>
            <w:vAlign w:val="bottom"/>
            <w:gridSpan w:val="3"/>
            <w:vMerge w:val="restart"/>
          </w:tcPr>
          <w:p>
            <w:pPr>
              <w:spacing w:after="0"/>
              <w:rPr>
                <w:sz w:val="20"/>
                <w:szCs w:val="20"/>
                <w:color w:val="auto"/>
              </w:rPr>
            </w:pPr>
            <w:r>
              <w:rPr>
                <w:rFonts w:ascii="Arial" w:cs="Arial" w:eastAsia="Arial" w:hAnsi="Arial"/>
                <w:sz w:val="15"/>
                <w:szCs w:val="15"/>
                <w:color w:val="auto"/>
              </w:rPr>
              <w:t>First Lien Debt (8.0%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Acquisition,</w:t>
            </w:r>
          </w:p>
        </w:tc>
        <w:tc>
          <w:tcPr>
            <w:tcW w:w="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148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8,889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(3,424)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(5,465)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Cash, Due 6/30/21)</w:t>
            </w:r>
          </w:p>
        </w:tc>
        <w:tc>
          <w:tcPr>
            <w:tcW w:w="1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CableOrganizer</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Preferred</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Acquisition,</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Units – Series A1</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5,373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(5,373)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(7,200,000 units)</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spacing w:after="0" w:line="149" w:lineRule="exact"/>
              <w:rPr>
                <w:sz w:val="20"/>
                <w:szCs w:val="20"/>
                <w:color w:val="auto"/>
              </w:rPr>
            </w:pPr>
            <w:r>
              <w:rPr>
                <w:rFonts w:ascii="Arial" w:cs="Arial" w:eastAsia="Arial" w:hAnsi="Arial"/>
                <w:sz w:val="15"/>
                <w:szCs w:val="15"/>
                <w:color w:val="auto"/>
              </w:rPr>
              <w:t>CableOrganizer</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Preferred</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Acquisition,</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Units – Series A</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(2,354)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24"/>
              <w:spacing w:after="0"/>
              <w:rPr>
                <w:sz w:val="20"/>
                <w:szCs w:val="20"/>
                <w:color w:val="auto"/>
              </w:rPr>
            </w:pPr>
            <w:r>
              <w:rPr>
                <w:rFonts w:ascii="Arial" w:cs="Arial" w:eastAsia="Arial" w:hAnsi="Arial"/>
                <w:sz w:val="15"/>
                <w:szCs w:val="15"/>
                <w:color w:val="auto"/>
              </w:rPr>
              <w:t>2,354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40" w:type="dxa"/>
            <w:vAlign w:val="bottom"/>
            <w:gridSpan w:val="2"/>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(4,000,000 units)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CableOrganizer</w:t>
            </w:r>
          </w:p>
        </w:tc>
        <w:tc>
          <w:tcPr>
            <w:tcW w:w="60" w:type="dxa"/>
            <w:vAlign w:val="bottom"/>
            <w:shd w:val="clear" w:color="auto" w:fill="CCEEFF"/>
          </w:tcPr>
          <w:p>
            <w:pPr>
              <w:spacing w:after="0"/>
              <w:rPr>
                <w:sz w:val="12"/>
                <w:szCs w:val="12"/>
                <w:color w:val="auto"/>
              </w:rPr>
            </w:pPr>
          </w:p>
        </w:tc>
        <w:tc>
          <w:tcPr>
            <w:tcW w:w="1680" w:type="dxa"/>
            <w:vAlign w:val="bottom"/>
            <w:gridSpan w:val="3"/>
            <w:vMerge w:val="restart"/>
            <w:shd w:val="clear" w:color="auto" w:fill="CCEEFF"/>
          </w:tcPr>
          <w:p>
            <w:pPr>
              <w:spacing w:after="0"/>
              <w:rPr>
                <w:sz w:val="20"/>
                <w:szCs w:val="20"/>
                <w:color w:val="auto"/>
              </w:rPr>
            </w:pPr>
            <w:r>
              <w:rPr>
                <w:rFonts w:ascii="Arial" w:cs="Arial" w:eastAsia="Arial" w:hAnsi="Arial"/>
                <w:sz w:val="15"/>
                <w:szCs w:val="15"/>
                <w:color w:val="auto"/>
              </w:rPr>
              <w:t>Common Stock (14.9%</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Acquisition,</w:t>
            </w:r>
          </w:p>
        </w:tc>
        <w:tc>
          <w:tcPr>
            <w:tcW w:w="60" w:type="dxa"/>
            <w:vAlign w:val="bottom"/>
            <w:shd w:val="clear" w:color="auto" w:fill="CCEEFF"/>
          </w:tcPr>
          <w:p>
            <w:pPr>
              <w:spacing w:after="0"/>
              <w:rPr>
                <w:sz w:val="12"/>
                <w:szCs w:val="12"/>
                <w:color w:val="auto"/>
              </w:rPr>
            </w:pPr>
          </w:p>
        </w:tc>
        <w:tc>
          <w:tcPr>
            <w:tcW w:w="1680" w:type="dxa"/>
            <w:vAlign w:val="bottom"/>
            <w:gridSpan w:val="3"/>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(1,394)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1,394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fully diluted)</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6380480</wp:posOffset>
            </wp:positionH>
            <wp:positionV relativeFrom="paragraph">
              <wp:posOffset>-1499235</wp:posOffset>
            </wp:positionV>
            <wp:extent cx="1117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-1499235</wp:posOffset>
            </wp:positionV>
            <wp:extent cx="28257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-1499235</wp:posOffset>
            </wp:positionV>
            <wp:extent cx="23177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-1499235</wp:posOffset>
            </wp:positionV>
            <wp:extent cx="17970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-1499235</wp:posOffset>
            </wp:positionV>
            <wp:extent cx="19685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-1499235</wp:posOffset>
            </wp:positionV>
            <wp:extent cx="351472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-2545080</wp:posOffset>
            </wp:positionV>
            <wp:extent cx="11176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-2545080</wp:posOffset>
            </wp:positionV>
            <wp:extent cx="28257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-2545080</wp:posOffset>
            </wp:positionV>
            <wp:extent cx="23177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-2545080</wp:posOffset>
            </wp:positionV>
            <wp:extent cx="17970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-2545080</wp:posOffset>
            </wp:positionV>
            <wp:extent cx="19685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-2545080</wp:posOffset>
            </wp:positionV>
            <wp:extent cx="351472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514725" cy="889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-2785110</wp:posOffset>
            </wp:positionV>
            <wp:extent cx="11176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-2785110</wp:posOffset>
            </wp:positionV>
            <wp:extent cx="28257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-2785110</wp:posOffset>
            </wp:positionV>
            <wp:extent cx="23177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-2785110</wp:posOffset>
            </wp:positionV>
            <wp:extent cx="17970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-2785110</wp:posOffset>
            </wp:positionV>
            <wp:extent cx="19685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-2785110</wp:posOffset>
            </wp:positionV>
            <wp:extent cx="351472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514725" cy="889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-3634105</wp:posOffset>
            </wp:positionV>
            <wp:extent cx="1117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-3634105</wp:posOffset>
            </wp:positionV>
            <wp:extent cx="28257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-3634105</wp:posOffset>
            </wp:positionV>
            <wp:extent cx="23177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-3634105</wp:posOffset>
            </wp:positionV>
            <wp:extent cx="17970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-3634105</wp:posOffset>
            </wp:positionV>
            <wp:extent cx="19685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-3634105</wp:posOffset>
            </wp:positionV>
            <wp:extent cx="351472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-4243070</wp:posOffset>
            </wp:positionV>
            <wp:extent cx="11176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-4243070</wp:posOffset>
            </wp:positionV>
            <wp:extent cx="28257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-4243070</wp:posOffset>
            </wp:positionV>
            <wp:extent cx="23177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-4243070</wp:posOffset>
            </wp:positionV>
            <wp:extent cx="17970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-4243070</wp:posOffset>
            </wp:positionV>
            <wp:extent cx="19685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-4243070</wp:posOffset>
            </wp:positionV>
            <wp:extent cx="351472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514725" cy="889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-4996815</wp:posOffset>
            </wp:positionV>
            <wp:extent cx="1117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-4996815</wp:posOffset>
            </wp:positionV>
            <wp:extent cx="28257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-4996815</wp:posOffset>
            </wp:positionV>
            <wp:extent cx="23177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-4996815</wp:posOffset>
            </wp:positionV>
            <wp:extent cx="17970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-4996815</wp:posOffset>
            </wp:positionV>
            <wp:extent cx="19685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-4996815</wp:posOffset>
            </wp:positionV>
            <wp:extent cx="351472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-5425440</wp:posOffset>
            </wp:positionV>
            <wp:extent cx="1117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-5425440</wp:posOffset>
            </wp:positionV>
            <wp:extent cx="28257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-5425440</wp:posOffset>
            </wp:positionV>
            <wp:extent cx="23177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-5425440</wp:posOffset>
            </wp:positionV>
            <wp:extent cx="17970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-5425440</wp:posOffset>
            </wp:positionV>
            <wp:extent cx="19685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-5425440</wp:posOffset>
            </wp:positionV>
            <wp:extent cx="351472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-5939790</wp:posOffset>
            </wp:positionV>
            <wp:extent cx="5143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-5939790</wp:posOffset>
            </wp:positionV>
            <wp:extent cx="5143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-5939790</wp:posOffset>
            </wp:positionV>
            <wp:extent cx="5143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-5939790</wp:posOffset>
            </wp:positionV>
            <wp:extent cx="5143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-5939790</wp:posOffset>
            </wp:positionV>
            <wp:extent cx="431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-5939790</wp:posOffset>
            </wp:positionV>
            <wp:extent cx="342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-5939790</wp:posOffset>
            </wp:positionV>
            <wp:extent cx="342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-5939790</wp:posOffset>
            </wp:positionV>
            <wp:extent cx="342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-5939790</wp:posOffset>
            </wp:positionV>
            <wp:extent cx="342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5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44" w:name="page145"/>
    <w:bookmarkEnd w:id="144"/>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5. Transactions With Affiliated Companies – (continued)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Interest, Fees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or Dividends</w:t>
            </w:r>
          </w:p>
        </w:tc>
        <w:tc>
          <w:tcPr>
            <w:tcW w:w="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Unrealized</w:t>
            </w:r>
          </w:p>
        </w:tc>
        <w:tc>
          <w:tcPr>
            <w:tcW w:w="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58"/>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1"/>
                <w:szCs w:val="21"/>
                <w:b w:val="1"/>
                <w:bCs w:val="1"/>
                <w:color w:val="auto"/>
                <w:vertAlign w:val="superscript"/>
              </w:rPr>
              <w:t>(4)</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Principal</w:t>
            </w:r>
          </w:p>
        </w:tc>
        <w:tc>
          <w:tcPr>
            <w:tcW w:w="900" w:type="dxa"/>
            <w:vAlign w:val="bottom"/>
            <w:gridSpan w:val="5"/>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Credited to</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3"/>
                <w:szCs w:val="13"/>
                <w:color w:val="auto"/>
              </w:rPr>
            </w:pPr>
          </w:p>
        </w:tc>
        <w:tc>
          <w:tcPr>
            <w:tcW w:w="72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Realized</w:t>
            </w:r>
          </w:p>
        </w:tc>
        <w:tc>
          <w:tcPr>
            <w:tcW w:w="980" w:type="dxa"/>
            <w:vAlign w:val="bottom"/>
            <w:gridSpan w:val="5"/>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Appreciation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Type of Investment</w:t>
            </w: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5"/>
          </w:tcPr>
          <w:p>
            <w:pPr>
              <w:jc w:val="center"/>
              <w:ind w:right="60"/>
              <w:spacing w:after="0" w:line="203" w:lineRule="exact"/>
              <w:rPr>
                <w:sz w:val="20"/>
                <w:szCs w:val="20"/>
                <w:color w:val="auto"/>
              </w:rPr>
            </w:pPr>
            <w:r>
              <w:rPr>
                <w:rFonts w:ascii="Arial" w:cs="Arial" w:eastAsia="Arial" w:hAnsi="Arial"/>
                <w:sz w:val="14"/>
                <w:szCs w:val="14"/>
                <w:b w:val="1"/>
                <w:bCs w:val="1"/>
                <w:color w:val="auto"/>
                <w:w w:val="84"/>
              </w:rPr>
              <w:t>Income</w:t>
            </w:r>
            <w:r>
              <w:rPr>
                <w:rFonts w:ascii="Arial" w:cs="Arial" w:eastAsia="Arial" w:hAnsi="Arial"/>
                <w:sz w:val="21"/>
                <w:szCs w:val="21"/>
                <w:b w:val="1"/>
                <w:bCs w:val="1"/>
                <w:color w:val="auto"/>
                <w:w w:val="84"/>
                <w:vertAlign w:val="superscript"/>
              </w:rPr>
              <w:t>(1)</w:t>
            </w:r>
          </w:p>
        </w:tc>
        <w:tc>
          <w:tcPr>
            <w:tcW w:w="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Fair Value</w:t>
            </w:r>
          </w:p>
        </w:tc>
        <w:tc>
          <w:tcPr>
            <w:tcW w:w="800" w:type="dxa"/>
            <w:vAlign w:val="bottom"/>
            <w:gridSpan w:val="5"/>
          </w:tcPr>
          <w:p>
            <w:pPr>
              <w:jc w:val="center"/>
              <w:ind w:right="60"/>
              <w:spacing w:after="0" w:line="203" w:lineRule="exact"/>
              <w:rPr>
                <w:sz w:val="20"/>
                <w:szCs w:val="20"/>
                <w:color w:val="auto"/>
              </w:rPr>
            </w:pPr>
            <w:r>
              <w:rPr>
                <w:rFonts w:ascii="Arial" w:cs="Arial" w:eastAsia="Arial" w:hAnsi="Arial"/>
                <w:sz w:val="14"/>
                <w:szCs w:val="14"/>
                <w:b w:val="1"/>
                <w:bCs w:val="1"/>
                <w:color w:val="auto"/>
                <w:w w:val="85"/>
              </w:rPr>
              <w:t>Additions</w:t>
            </w:r>
            <w:r>
              <w:rPr>
                <w:rFonts w:ascii="Arial" w:cs="Arial" w:eastAsia="Arial" w:hAnsi="Arial"/>
                <w:sz w:val="21"/>
                <w:szCs w:val="21"/>
                <w:b w:val="1"/>
                <w:bCs w:val="1"/>
                <w:color w:val="auto"/>
                <w:w w:val="85"/>
                <w:vertAlign w:val="superscript"/>
              </w:rPr>
              <w:t>(2)</w:t>
            </w:r>
          </w:p>
        </w:tc>
        <w:tc>
          <w:tcPr>
            <w:tcW w:w="880" w:type="dxa"/>
            <w:vAlign w:val="bottom"/>
            <w:gridSpan w:val="5"/>
          </w:tcPr>
          <w:p>
            <w:pPr>
              <w:jc w:val="center"/>
              <w:ind w:right="60"/>
              <w:spacing w:after="0" w:line="203" w:lineRule="exact"/>
              <w:rPr>
                <w:sz w:val="20"/>
                <w:szCs w:val="20"/>
                <w:color w:val="auto"/>
              </w:rPr>
            </w:pPr>
            <w:r>
              <w:rPr>
                <w:rFonts w:ascii="Arial" w:cs="Arial" w:eastAsia="Arial" w:hAnsi="Arial"/>
                <w:sz w:val="14"/>
                <w:szCs w:val="14"/>
                <w:b w:val="1"/>
                <w:bCs w:val="1"/>
                <w:color w:val="auto"/>
                <w:w w:val="83"/>
              </w:rPr>
              <w:t>Reductions</w:t>
            </w:r>
            <w:r>
              <w:rPr>
                <w:rFonts w:ascii="Arial" w:cs="Arial" w:eastAsia="Arial" w:hAnsi="Arial"/>
                <w:sz w:val="21"/>
                <w:szCs w:val="21"/>
                <w:b w:val="1"/>
                <w:bCs w:val="1"/>
                <w:color w:val="auto"/>
                <w:w w:val="83"/>
                <w:vertAlign w:val="superscript"/>
              </w:rPr>
              <w:t>(3)</w:t>
            </w: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Gain/(Loss)</w:t>
            </w:r>
          </w:p>
        </w:tc>
        <w:tc>
          <w:tcPr>
            <w:tcW w:w="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(Depreciation)</w:t>
            </w: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29"/>
        </w:trPr>
        <w:tc>
          <w:tcPr>
            <w:tcW w:w="1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CableOrganizer</w:t>
            </w:r>
          </w:p>
        </w:tc>
        <w:tc>
          <w:tcPr>
            <w:tcW w:w="6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Common Stock</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Acquisition,</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Warrants (40.0% fully</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diluted)</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CCEEFF"/>
              <w:bottom w:val="single" w:sz="8" w:color="CCEEFF"/>
            </w:tcBorders>
          </w:tcPr>
          <w:p>
            <w:pPr>
              <w:spacing w:after="0"/>
              <w:rPr>
                <w:sz w:val="14"/>
                <w:szCs w:val="14"/>
                <w:color w:val="auto"/>
              </w:rPr>
            </w:pPr>
          </w:p>
        </w:tc>
        <w:tc>
          <w:tcPr>
            <w:tcW w:w="136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220</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10,597</w:t>
            </w:r>
          </w:p>
        </w:tc>
        <w:tc>
          <w:tcPr>
            <w:tcW w:w="1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7,215</w:t>
            </w: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2"/>
              </w:rPr>
              <w:t>(6,974)</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8"/>
              </w:rPr>
              <w:t>(14,586)</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3,748</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ind w:left="280"/>
              <w:spacing w:after="0" w:line="169" w:lineRule="exact"/>
              <w:rPr>
                <w:sz w:val="20"/>
                <w:szCs w:val="20"/>
                <w:color w:val="auto"/>
              </w:rPr>
            </w:pPr>
            <w:r>
              <w:rPr>
                <w:rFonts w:ascii="Arial" w:cs="Arial" w:eastAsia="Arial" w:hAnsi="Arial"/>
                <w:sz w:val="15"/>
                <w:szCs w:val="15"/>
                <w:color w:val="auto"/>
                <w:w w:val="79"/>
              </w:rPr>
              <w:t>—</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Capitala Senior</w:t>
            </w:r>
          </w:p>
        </w:tc>
        <w:tc>
          <w:tcPr>
            <w:tcW w:w="60" w:type="dxa"/>
            <w:vAlign w:val="bottom"/>
            <w:shd w:val="clear" w:color="auto" w:fill="CCEEFF"/>
          </w:tcPr>
          <w:p>
            <w:pPr>
              <w:spacing w:after="0"/>
              <w:rPr>
                <w:sz w:val="11"/>
                <w:szCs w:val="11"/>
                <w:color w:val="auto"/>
              </w:rPr>
            </w:pPr>
          </w:p>
        </w:tc>
        <w:tc>
          <w:tcPr>
            <w:tcW w:w="16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Second Lien Debt (6.7%</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Loan Fund II,</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Cash (1 month</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LIBOR + 5.0)%, Due</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9/3/24)</w:t>
            </w:r>
          </w:p>
        </w:tc>
        <w:tc>
          <w:tcPr>
            <w:tcW w:w="4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5"/>
                <w:szCs w:val="15"/>
                <w:color w:val="auto"/>
              </w:rPr>
              <w:t>Capitala Senior</w:t>
            </w:r>
          </w:p>
        </w:tc>
        <w:tc>
          <w:tcPr>
            <w:tcW w:w="60" w:type="dxa"/>
            <w:vAlign w:val="bottom"/>
          </w:tcPr>
          <w:p>
            <w:pPr>
              <w:spacing w:after="0"/>
              <w:rPr>
                <w:sz w:val="12"/>
                <w:szCs w:val="12"/>
                <w:color w:val="auto"/>
              </w:rPr>
            </w:pPr>
          </w:p>
        </w:tc>
        <w:tc>
          <w:tcPr>
            <w:tcW w:w="1680" w:type="dxa"/>
            <w:vAlign w:val="bottom"/>
            <w:gridSpan w:val="3"/>
            <w:vMerge w:val="restart"/>
          </w:tcPr>
          <w:p>
            <w:pPr>
              <w:spacing w:after="0"/>
              <w:rPr>
                <w:sz w:val="20"/>
                <w:szCs w:val="20"/>
                <w:color w:val="auto"/>
              </w:rPr>
            </w:pPr>
            <w:r>
              <w:rPr>
                <w:rFonts w:ascii="Arial" w:cs="Arial" w:eastAsia="Arial" w:hAnsi="Arial"/>
                <w:sz w:val="15"/>
                <w:szCs w:val="15"/>
                <w:color w:val="auto"/>
              </w:rPr>
              <w:t>Membership Units</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40"/>
              <w:spacing w:after="0" w:line="149" w:lineRule="exact"/>
              <w:rPr>
                <w:sz w:val="20"/>
                <w:szCs w:val="20"/>
                <w:color w:val="auto"/>
              </w:rPr>
            </w:pPr>
            <w:r>
              <w:rPr>
                <w:rFonts w:ascii="Arial" w:cs="Arial" w:eastAsia="Arial" w:hAnsi="Arial"/>
                <w:sz w:val="15"/>
                <w:szCs w:val="15"/>
                <w:color w:val="auto"/>
              </w:rPr>
              <w:t>Loan Fund II,</w:t>
            </w:r>
          </w:p>
        </w:tc>
        <w:tc>
          <w:tcPr>
            <w:tcW w:w="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w w:val="85"/>
              </w:rPr>
              <w:t>1,040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w w:val="87"/>
              </w:rPr>
              <w:t>13,695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w w:val="91"/>
              </w:rPr>
              <w:t>13,631</w:t>
            </w:r>
          </w:p>
        </w:tc>
        <w:tc>
          <w:tcPr>
            <w:tcW w:w="0" w:type="dxa"/>
            <w:vAlign w:val="bottom"/>
          </w:tcPr>
          <w:p>
            <w:pPr>
              <w:spacing w:after="0"/>
              <w:rPr>
                <w:sz w:val="1"/>
                <w:szCs w:val="1"/>
                <w:color w:val="auto"/>
              </w:rPr>
            </w:pPr>
          </w:p>
        </w:tc>
      </w:tr>
      <w:tr>
        <w:trPr>
          <w:trHeight w:val="189"/>
        </w:trPr>
        <w:tc>
          <w:tcPr>
            <w:tcW w:w="1200" w:type="dxa"/>
            <w:vAlign w:val="bottom"/>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(80.0% ownership)</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5"/>
              </w:rPr>
              <w:t>1,040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13,695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13,631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line="129" w:lineRule="exact"/>
              <w:rPr>
                <w:sz w:val="20"/>
                <w:szCs w:val="20"/>
                <w:color w:val="auto"/>
              </w:rPr>
            </w:pPr>
            <w:r>
              <w:rPr>
                <w:rFonts w:ascii="Arial" w:cs="Arial" w:eastAsia="Arial" w:hAnsi="Arial"/>
                <w:sz w:val="14"/>
                <w:szCs w:val="14"/>
                <w:color w:val="auto"/>
              </w:rPr>
              <w:t>Micro Precision,</w:t>
            </w:r>
          </w:p>
        </w:tc>
        <w:tc>
          <w:tcPr>
            <w:tcW w:w="60" w:type="dxa"/>
            <w:vAlign w:val="bottom"/>
          </w:tcPr>
          <w:p>
            <w:pPr>
              <w:spacing w:after="0"/>
              <w:rPr>
                <w:sz w:val="11"/>
                <w:szCs w:val="11"/>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color w:val="auto"/>
              </w:rPr>
              <w:t>Second Lien Debt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(10.0% Cash, Due</w:t>
            </w:r>
          </w:p>
        </w:tc>
        <w:tc>
          <w:tcPr>
            <w:tcW w:w="18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1,862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(1,862)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700" w:type="dxa"/>
            <w:vAlign w:val="bottom"/>
            <w:gridSpan w:val="3"/>
          </w:tcPr>
          <w:p>
            <w:pPr>
              <w:ind w:left="60"/>
              <w:spacing w:after="0"/>
              <w:rPr>
                <w:sz w:val="20"/>
                <w:szCs w:val="20"/>
                <w:color w:val="auto"/>
              </w:rPr>
            </w:pPr>
            <w:r>
              <w:rPr>
                <w:rFonts w:ascii="Arial" w:cs="Arial" w:eastAsia="Arial" w:hAnsi="Arial"/>
                <w:sz w:val="15"/>
                <w:szCs w:val="15"/>
                <w:color w:val="auto"/>
              </w:rPr>
              <w:t>3/31/20)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Micro Precision,</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Second Lien Debt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(14.0% Cash, 4.0% PIK,</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350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4,325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(4,413)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Due 3/31/20)</w:t>
            </w:r>
          </w:p>
        </w:tc>
        <w:tc>
          <w:tcPr>
            <w:tcW w:w="1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5"/>
                <w:szCs w:val="15"/>
                <w:color w:val="auto"/>
              </w:rPr>
              <w:t>Micro Precision,</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Series A Preferred Units</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814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2,817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(1,629)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w w:val="88"/>
              </w:rPr>
              <w:t>(1,188)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00" w:type="dxa"/>
            <w:vAlign w:val="bottom"/>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(47 units)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5"/>
              </w:rPr>
              <w:t>1,270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9,004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2"/>
              </w:rPr>
              <w:t>(7,904)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5"/>
              </w:rPr>
              <w:t>(1,188)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79"/>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line="129" w:lineRule="exact"/>
              <w:rPr>
                <w:sz w:val="20"/>
                <w:szCs w:val="20"/>
                <w:color w:val="auto"/>
              </w:rPr>
            </w:pPr>
            <w:r>
              <w:rPr>
                <w:rFonts w:ascii="Arial" w:cs="Arial" w:eastAsia="Arial" w:hAnsi="Arial"/>
                <w:sz w:val="14"/>
                <w:szCs w:val="14"/>
                <w:color w:val="auto"/>
              </w:rPr>
              <w:t>Navis Holdings,</w:t>
            </w:r>
          </w:p>
        </w:tc>
        <w:tc>
          <w:tcPr>
            <w:tcW w:w="60" w:type="dxa"/>
            <w:vAlign w:val="bottom"/>
          </w:tcPr>
          <w:p>
            <w:pPr>
              <w:spacing w:after="0"/>
              <w:rPr>
                <w:sz w:val="11"/>
                <w:szCs w:val="11"/>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color w:val="auto"/>
              </w:rPr>
              <w:t>First Lien Debt (11.0%</w:t>
            </w:r>
          </w:p>
        </w:tc>
        <w:tc>
          <w:tcPr>
            <w:tcW w:w="180" w:type="dxa"/>
            <w:vAlign w:val="bottom"/>
          </w:tcPr>
          <w:p>
            <w:pPr>
              <w:spacing w:after="0"/>
              <w:rPr>
                <w:sz w:val="11"/>
                <w:szCs w:val="11"/>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566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7,500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(7,500)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tcPr>
          <w:p>
            <w:pPr>
              <w:ind w:left="140"/>
              <w:spacing w:after="0"/>
              <w:rPr>
                <w:sz w:val="20"/>
                <w:szCs w:val="20"/>
                <w:color w:val="auto"/>
              </w:rPr>
            </w:pPr>
            <w:r>
              <w:rPr>
                <w:rFonts w:ascii="Arial" w:cs="Arial" w:eastAsia="Arial" w:hAnsi="Arial"/>
                <w:sz w:val="15"/>
                <w:szCs w:val="15"/>
                <w:color w:val="auto"/>
              </w:rPr>
              <w:t>Inc.</w:t>
            </w: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Cash, Due 6/30/23)</w:t>
            </w:r>
          </w:p>
        </w:tc>
        <w:tc>
          <w:tcPr>
            <w:tcW w:w="1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Navis Holdings,</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Class A Preferred Stock</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40"/>
              <w:spacing w:after="0" w:line="149" w:lineRule="exact"/>
              <w:rPr>
                <w:sz w:val="20"/>
                <w:szCs w:val="20"/>
                <w:color w:val="auto"/>
              </w:rPr>
            </w:pPr>
            <w:r>
              <w:rPr>
                <w:rFonts w:ascii="Arial" w:cs="Arial" w:eastAsia="Arial" w:hAnsi="Arial"/>
                <w:sz w:val="12"/>
                <w:szCs w:val="12"/>
                <w:color w:val="auto"/>
              </w:rPr>
              <w:t xml:space="preserve">Inc. </w:t>
            </w:r>
            <w:r>
              <w:rPr>
                <w:rFonts w:ascii="Arial" w:cs="Arial" w:eastAsia="Arial" w:hAnsi="Arial"/>
                <w:sz w:val="17"/>
                <w:szCs w:val="17"/>
                <w:color w:val="auto"/>
                <w:vertAlign w:val="superscript"/>
              </w:rPr>
              <w:t>(5)</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(1,000 shares, 10.0%</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 Dividend)</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5"/>
                <w:szCs w:val="15"/>
                <w:color w:val="auto"/>
              </w:rPr>
              <w:t>Navis Holdings,</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Common Stock (60,000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4,348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(2,600)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4"/>
              <w:spacing w:after="0"/>
              <w:rPr>
                <w:sz w:val="20"/>
                <w:szCs w:val="20"/>
                <w:color w:val="auto"/>
              </w:rPr>
            </w:pPr>
            <w:r>
              <w:rPr>
                <w:rFonts w:ascii="Arial" w:cs="Arial" w:eastAsia="Arial" w:hAnsi="Arial"/>
                <w:sz w:val="15"/>
                <w:szCs w:val="15"/>
                <w:color w:val="auto"/>
              </w:rPr>
              <w:t>2,599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w w:val="88"/>
              </w:rPr>
              <w:t>(4,347)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00" w:type="dxa"/>
            <w:vAlign w:val="bottom"/>
          </w:tcPr>
          <w:p>
            <w:pPr>
              <w:ind w:left="140"/>
              <w:spacing w:after="0"/>
              <w:rPr>
                <w:sz w:val="20"/>
                <w:szCs w:val="20"/>
                <w:color w:val="auto"/>
              </w:rPr>
            </w:pPr>
            <w:r>
              <w:rPr>
                <w:rFonts w:ascii="Arial" w:cs="Arial" w:eastAsia="Arial" w:hAnsi="Arial"/>
                <w:sz w:val="15"/>
                <w:szCs w:val="15"/>
                <w:color w:val="auto"/>
              </w:rPr>
              <w:t>Inc.</w:t>
            </w:r>
          </w:p>
        </w:tc>
        <w:tc>
          <w:tcPr>
            <w:tcW w:w="6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shares)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616</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12,848</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8"/>
              </w:rPr>
              <w:t>(11,100)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2,599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5"/>
              </w:rPr>
              <w:t>(4,347)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79"/>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line="129" w:lineRule="exact"/>
              <w:rPr>
                <w:sz w:val="20"/>
                <w:szCs w:val="20"/>
                <w:color w:val="auto"/>
              </w:rPr>
            </w:pPr>
            <w:r>
              <w:rPr>
                <w:rFonts w:ascii="Arial" w:cs="Arial" w:eastAsia="Arial" w:hAnsi="Arial"/>
                <w:sz w:val="14"/>
                <w:szCs w:val="14"/>
                <w:color w:val="auto"/>
              </w:rPr>
              <w:t>Portrait Studio,</w:t>
            </w:r>
          </w:p>
        </w:tc>
        <w:tc>
          <w:tcPr>
            <w:tcW w:w="60" w:type="dxa"/>
            <w:vAlign w:val="bottom"/>
          </w:tcPr>
          <w:p>
            <w:pPr>
              <w:spacing w:after="0"/>
              <w:rPr>
                <w:sz w:val="11"/>
                <w:szCs w:val="11"/>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color w:val="auto"/>
              </w:rPr>
              <w:t>First Lien Debt (9.0%</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Cash (1 month</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LIBOR + 7.0%, 1.0%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Floor, 2.0% Ceiling),</w:t>
            </w:r>
          </w:p>
        </w:tc>
        <w:tc>
          <w:tcPr>
            <w:tcW w:w="18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3,540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(3,540)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Due 12/31/22)</w:t>
            </w:r>
          </w:p>
        </w:tc>
        <w:tc>
          <w:tcPr>
            <w:tcW w:w="1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Portrait Studio,</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First Lien Debt (9.1%</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Cash (1 month</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LIBOR + 7.0%, 1.0%</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Floor, 5.0% Ceiling),</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4,500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(792)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(3,708)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Due 12/31/22)</w:t>
            </w:r>
          </w:p>
        </w:tc>
        <w:tc>
          <w:tcPr>
            <w:tcW w:w="1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5"/>
                <w:szCs w:val="15"/>
                <w:color w:val="auto"/>
              </w:rPr>
              <w:t>Portrait Studio,</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Preferred Units</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2,174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5"/>
                <w:szCs w:val="15"/>
                <w:color w:val="auto"/>
              </w:rPr>
              <w:t>(2,450)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24"/>
              <w:spacing w:after="0"/>
              <w:rPr>
                <w:sz w:val="20"/>
                <w:szCs w:val="20"/>
                <w:color w:val="auto"/>
              </w:rPr>
            </w:pPr>
            <w:r>
              <w:rPr>
                <w:rFonts w:ascii="Arial" w:cs="Arial" w:eastAsia="Arial" w:hAnsi="Arial"/>
                <w:sz w:val="15"/>
                <w:szCs w:val="15"/>
                <w:color w:val="auto"/>
              </w:rPr>
              <w:t>276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00" w:type="dxa"/>
            <w:vAlign w:val="bottom"/>
          </w:tcPr>
          <w:p>
            <w:pPr>
              <w:ind w:left="140"/>
              <w:spacing w:after="0"/>
              <w:rPr>
                <w:sz w:val="20"/>
                <w:szCs w:val="20"/>
                <w:color w:val="auto"/>
              </w:rPr>
            </w:pPr>
            <w:r>
              <w:rPr>
                <w:rFonts w:ascii="Arial" w:cs="Arial" w:eastAsia="Arial" w:hAnsi="Arial"/>
                <w:sz w:val="15"/>
                <w:szCs w:val="15"/>
                <w:color w:val="auto"/>
              </w:rPr>
              <w:t>LLC</w:t>
            </w: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(4,350,000 Units)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Portrait Studio,</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Membership Units</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LLC</w:t>
            </w:r>
          </w:p>
        </w:tc>
        <w:tc>
          <w:tcPr>
            <w:tcW w:w="6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(150,000 Units)</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CCEEFF"/>
              <w:bottom w:val="single" w:sz="8" w:color="CCEEFF"/>
            </w:tcBorders>
          </w:tcPr>
          <w:p>
            <w:pPr>
              <w:spacing w:after="0"/>
              <w:rPr>
                <w:sz w:val="14"/>
                <w:szCs w:val="14"/>
                <w:color w:val="auto"/>
              </w:rPr>
            </w:pPr>
          </w:p>
        </w:tc>
        <w:tc>
          <w:tcPr>
            <w:tcW w:w="136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205</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6,674</w:t>
            </w:r>
          </w:p>
        </w:tc>
        <w:tc>
          <w:tcPr>
            <w:tcW w:w="1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3,540</w:t>
            </w: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2"/>
              </w:rPr>
              <w:t>(4,332)</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2"/>
              </w:rPr>
              <w:t>(6,158)</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276</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ind w:left="280"/>
              <w:spacing w:after="0" w:line="169" w:lineRule="exact"/>
              <w:rPr>
                <w:sz w:val="20"/>
                <w:szCs w:val="20"/>
                <w:color w:val="auto"/>
              </w:rPr>
            </w:pPr>
            <w:r>
              <w:rPr>
                <w:rFonts w:ascii="Arial" w:cs="Arial" w:eastAsia="Arial" w:hAnsi="Arial"/>
                <w:sz w:val="15"/>
                <w:szCs w:val="15"/>
                <w:color w:val="auto"/>
                <w:w w:val="79"/>
              </w:rPr>
              <w:t>—</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Vology, Inc.</w:t>
            </w:r>
          </w:p>
        </w:tc>
        <w:tc>
          <w:tcPr>
            <w:tcW w:w="60" w:type="dxa"/>
            <w:vAlign w:val="bottom"/>
            <w:shd w:val="clear" w:color="auto" w:fill="CCEEFF"/>
          </w:tcPr>
          <w:p>
            <w:pPr>
              <w:spacing w:after="0"/>
              <w:rPr>
                <w:sz w:val="11"/>
                <w:szCs w:val="11"/>
                <w:color w:val="auto"/>
              </w:rPr>
            </w:pPr>
          </w:p>
        </w:tc>
        <w:tc>
          <w:tcPr>
            <w:tcW w:w="16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First Lien Debt (10.5%</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Cash (1 month</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LIBOR + 8.5%, 2.0%</w:t>
            </w:r>
          </w:p>
        </w:tc>
        <w:tc>
          <w:tcPr>
            <w:tcW w:w="1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3,877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119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3,877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3,877</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Floor), Due 12/31/21)</w:t>
            </w:r>
          </w:p>
        </w:tc>
        <w:tc>
          <w:tcPr>
            <w:tcW w:w="1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5"/>
                <w:szCs w:val="15"/>
                <w:color w:val="auto"/>
              </w:rPr>
              <w:t>Vology, Inc.</w:t>
            </w:r>
          </w:p>
        </w:tc>
        <w:tc>
          <w:tcPr>
            <w:tcW w:w="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5"/>
                <w:szCs w:val="15"/>
                <w:color w:val="auto"/>
              </w:rPr>
              <w:t>Class A Preferred Units</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5,215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5,215</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5"/>
                <w:szCs w:val="15"/>
                <w:color w:val="auto"/>
              </w:rPr>
              <w:t>(9,041,810 Units)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Vology, Inc.</w:t>
            </w:r>
          </w:p>
        </w:tc>
        <w:tc>
          <w:tcPr>
            <w:tcW w:w="6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rPr>
              <w:t>Membership Units</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(5,363,982 Units)</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CCEEFF"/>
              <w:bottom w:val="single" w:sz="8" w:color="CCEEFF"/>
            </w:tcBorders>
          </w:tcPr>
          <w:p>
            <w:pPr>
              <w:spacing w:after="0"/>
              <w:rPr>
                <w:sz w:val="14"/>
                <w:szCs w:val="14"/>
                <w:color w:val="auto"/>
              </w:rPr>
            </w:pPr>
          </w:p>
        </w:tc>
        <w:tc>
          <w:tcPr>
            <w:tcW w:w="136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119</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9,092</w:t>
            </w: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9,092</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40" w:type="dxa"/>
            <w:vAlign w:val="bottom"/>
            <w:gridSpan w:val="5"/>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Total Control investments</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5"/>
              </w:rPr>
              <w:t>3,470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95"/>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69,145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95"/>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24,019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95"/>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6"/>
              </w:rPr>
              <w:t>(30,310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6"/>
              </w:rPr>
              <w:t>(38,573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4"/>
              </w:rPr>
              <w:t>(1,558</w:t>
            </w:r>
          </w:p>
        </w:tc>
        <w:tc>
          <w:tcPr>
            <w:tcW w:w="220" w:type="dxa"/>
            <w:vAlign w:val="bottom"/>
            <w:shd w:val="clear" w:color="auto" w:fill="CCEEFF"/>
          </w:tcPr>
          <w:p>
            <w:pPr>
              <w:jc w:val="right"/>
              <w:ind w:right="84"/>
              <w:spacing w:after="0" w:line="142" w:lineRule="exact"/>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22,723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6380480</wp:posOffset>
            </wp:positionH>
            <wp:positionV relativeFrom="paragraph">
              <wp:posOffset>-145415</wp:posOffset>
            </wp:positionV>
            <wp:extent cx="11176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-145415</wp:posOffset>
            </wp:positionV>
            <wp:extent cx="2825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-145415</wp:posOffset>
            </wp:positionV>
            <wp:extent cx="23177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-145415</wp:posOffset>
            </wp:positionV>
            <wp:extent cx="17970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-145415</wp:posOffset>
            </wp:positionV>
            <wp:extent cx="19685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-145415</wp:posOffset>
            </wp:positionV>
            <wp:extent cx="351472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514725" cy="889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-1079500</wp:posOffset>
            </wp:positionV>
            <wp:extent cx="1117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-1079500</wp:posOffset>
            </wp:positionV>
            <wp:extent cx="28257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-1079500</wp:posOffset>
            </wp:positionV>
            <wp:extent cx="23177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-1079500</wp:posOffset>
            </wp:positionV>
            <wp:extent cx="17970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-1079500</wp:posOffset>
            </wp:positionV>
            <wp:extent cx="19685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-1079500</wp:posOffset>
            </wp:positionV>
            <wp:extent cx="351472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-2716530</wp:posOffset>
            </wp:positionV>
            <wp:extent cx="11176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-2716530</wp:posOffset>
            </wp:positionV>
            <wp:extent cx="28257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-2716530</wp:posOffset>
            </wp:positionV>
            <wp:extent cx="23177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-2716530</wp:posOffset>
            </wp:positionV>
            <wp:extent cx="17970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-2716530</wp:posOffset>
            </wp:positionV>
            <wp:extent cx="1968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-2716530</wp:posOffset>
            </wp:positionV>
            <wp:extent cx="351472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-3556635</wp:posOffset>
            </wp:positionV>
            <wp:extent cx="1117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-3556635</wp:posOffset>
            </wp:positionV>
            <wp:extent cx="28257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-3556635</wp:posOffset>
            </wp:positionV>
            <wp:extent cx="23177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-3556635</wp:posOffset>
            </wp:positionV>
            <wp:extent cx="17970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-3556635</wp:posOffset>
            </wp:positionV>
            <wp:extent cx="19685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-3556635</wp:posOffset>
            </wp:positionV>
            <wp:extent cx="351472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-4491355</wp:posOffset>
            </wp:positionV>
            <wp:extent cx="1117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-4491355</wp:posOffset>
            </wp:positionV>
            <wp:extent cx="28257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-4491355</wp:posOffset>
            </wp:positionV>
            <wp:extent cx="23177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-4491355</wp:posOffset>
            </wp:positionV>
            <wp:extent cx="17970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-4491355</wp:posOffset>
            </wp:positionV>
            <wp:extent cx="19685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-4491355</wp:posOffset>
            </wp:positionV>
            <wp:extent cx="351472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-5194300</wp:posOffset>
            </wp:positionV>
            <wp:extent cx="11176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-5194300</wp:posOffset>
            </wp:positionV>
            <wp:extent cx="28257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-5194300</wp:posOffset>
            </wp:positionV>
            <wp:extent cx="23177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-5194300</wp:posOffset>
            </wp:positionV>
            <wp:extent cx="17970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-5194300</wp:posOffset>
            </wp:positionV>
            <wp:extent cx="19685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-5194300</wp:posOffset>
            </wp:positionV>
            <wp:extent cx="35147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-5622925</wp:posOffset>
            </wp:positionV>
            <wp:extent cx="5143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-5622925</wp:posOffset>
            </wp:positionV>
            <wp:extent cx="5143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-5622925</wp:posOffset>
            </wp:positionV>
            <wp:extent cx="5143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-5622925</wp:posOffset>
            </wp:positionV>
            <wp:extent cx="514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-5622925</wp:posOffset>
            </wp:positionV>
            <wp:extent cx="5143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-5622925</wp:posOffset>
            </wp:positionV>
            <wp:extent cx="5143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-5622925</wp:posOffset>
            </wp:positionV>
            <wp:extent cx="342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-5622925</wp:posOffset>
            </wp:positionV>
            <wp:extent cx="342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1082675</wp:posOffset>
            </wp:positionH>
            <wp:positionV relativeFrom="paragraph">
              <wp:posOffset>-5622925</wp:posOffset>
            </wp:positionV>
            <wp:extent cx="342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45" w:name="page146"/>
    <w:bookmarkEnd w:id="145"/>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Transactions With Affiliated Companies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620" w:right="419" w:hanging="360"/>
        <w:spacing w:after="0" w:line="308" w:lineRule="auto"/>
        <w:tabs>
          <w:tab w:leader="none" w:pos="1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Represents the total amount of interest, original issue discount, fees and dividends credited to income for the portion of the year an investment was included in Affiliate or Control categories, respectively.</w:t>
      </w:r>
    </w:p>
    <w:p>
      <w:pPr>
        <w:spacing w:after="0" w:line="11" w:lineRule="exact"/>
        <w:rPr>
          <w:rFonts w:ascii="Arial" w:cs="Arial" w:eastAsia="Arial" w:hAnsi="Arial"/>
          <w:sz w:val="17"/>
          <w:szCs w:val="17"/>
          <w:color w:val="auto"/>
        </w:rPr>
      </w:pPr>
    </w:p>
    <w:p>
      <w:pPr>
        <w:jc w:val="both"/>
        <w:ind w:left="1620" w:right="41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spacing w:after="0" w:line="48" w:lineRule="exact"/>
        <w:rPr>
          <w:rFonts w:ascii="Arial" w:cs="Arial" w:eastAsia="Arial" w:hAnsi="Arial"/>
          <w:sz w:val="18"/>
          <w:szCs w:val="18"/>
          <w:color w:val="auto"/>
        </w:rPr>
      </w:pPr>
    </w:p>
    <w:p>
      <w:pPr>
        <w:ind w:left="1620" w:right="419" w:hanging="360"/>
        <w:spacing w:after="0" w:line="308" w:lineRule="auto"/>
        <w:tabs>
          <w:tab w:leader="none" w:pos="1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Gross reductions include decreases in the cost basis of investments resulting from principal repayments and sales. Gross reductions also include transfers out of Affiliate or Control classification.</w:t>
      </w:r>
    </w:p>
    <w:p>
      <w:pPr>
        <w:spacing w:after="0" w:line="11" w:lineRule="exact"/>
        <w:rPr>
          <w:rFonts w:ascii="Arial" w:cs="Arial" w:eastAsia="Arial" w:hAnsi="Arial"/>
          <w:sz w:val="17"/>
          <w:szCs w:val="17"/>
          <w:color w:val="auto"/>
        </w:rPr>
      </w:pPr>
    </w:p>
    <w:p>
      <w:pPr>
        <w:ind w:left="1620" w:right="419" w:hanging="360"/>
        <w:spacing w:after="0" w:line="277"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Agreements</w:t>
      </w:r>
    </w:p>
    <w:p>
      <w:pPr>
        <w:spacing w:after="0" w:line="162"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directors who are not “interested persons” as such term is defined in Section 2(a)(19) of the 1940 Act (“Independent Directors”). The Investment Advisory Agreement was most recently re-approved by the Board, including a majority of our Independent Directors, at a meeting on July 30, 2020.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77" w:lineRule="exact"/>
        <w:rPr>
          <w:sz w:val="20"/>
          <w:szCs w:val="20"/>
          <w:color w:val="auto"/>
        </w:rPr>
      </w:pPr>
    </w:p>
    <w:p>
      <w:pPr>
        <w:ind w:left="1800" w:right="419" w:hanging="180"/>
        <w:spacing w:after="0" w:line="277" w:lineRule="auto"/>
        <w:tabs>
          <w:tab w:leader="none" w:pos="1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03"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89"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10"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Agreements – (continued)</w:t>
      </w:r>
    </w:p>
    <w:p>
      <w:pPr>
        <w:spacing w:after="0" w:line="229"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incentive fee consists of the following two parts:</w:t>
      </w:r>
    </w:p>
    <w:p>
      <w:pPr>
        <w:spacing w:after="0" w:line="158" w:lineRule="exact"/>
        <w:rPr>
          <w:sz w:val="20"/>
          <w:szCs w:val="20"/>
          <w:color w:val="auto"/>
        </w:rPr>
      </w:pPr>
    </w:p>
    <w:p>
      <w:pPr>
        <w:jc w:val="both"/>
        <w:ind w:left="1260" w:right="419" w:firstLine="360"/>
        <w:spacing w:after="0" w:line="251" w:lineRule="auto"/>
        <w:rPr>
          <w:sz w:val="20"/>
          <w:szCs w:val="20"/>
          <w:color w:val="auto"/>
        </w:rPr>
      </w:pPr>
      <w:r>
        <w:rPr>
          <w:rFonts w:ascii="Arial" w:cs="Arial" w:eastAsia="Arial" w:hAnsi="Arial"/>
          <w:sz w:val="17"/>
          <w:szCs w:val="17"/>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77" w:lineRule="exact"/>
        <w:rPr>
          <w:sz w:val="20"/>
          <w:szCs w:val="20"/>
          <w:color w:val="auto"/>
        </w:rPr>
      </w:pPr>
    </w:p>
    <w:p>
      <w:pPr>
        <w:ind w:left="1800" w:right="41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48" w:lineRule="exact"/>
        <w:rPr>
          <w:rFonts w:ascii="Arial" w:cs="Arial" w:eastAsia="Arial" w:hAnsi="Arial"/>
          <w:sz w:val="18"/>
          <w:szCs w:val="18"/>
          <w:color w:val="auto"/>
        </w:rPr>
      </w:pPr>
    </w:p>
    <w:p>
      <w:pPr>
        <w:jc w:val="both"/>
        <w:ind w:left="1800" w:right="419" w:hanging="180"/>
        <w:spacing w:after="0" w:line="254"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86"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06"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26" w:lineRule="exact"/>
        <w:rPr>
          <w:sz w:val="20"/>
          <w:szCs w:val="20"/>
          <w:color w:val="auto"/>
        </w:rPr>
      </w:pPr>
    </w:p>
    <w:p>
      <w:pPr>
        <w:jc w:val="both"/>
        <w:ind w:left="1260" w:right="419" w:firstLine="360"/>
        <w:spacing w:after="0" w:line="32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Agreement, as of the termination date), and will equal</w:t>
      </w:r>
    </w:p>
    <w:p>
      <w:pPr>
        <w:sectPr>
          <w:pgSz w:w="11900" w:h="16838" w:orient="portrait"/>
          <w:cols w:equalWidth="0" w:num="1">
            <w:col w:w="9879"/>
          </w:cols>
          <w:pgMar w:left="580" w:top="131" w:right="1440" w:bottom="1440" w:gutter="0" w:footer="0" w:header="0"/>
        </w:sectPr>
      </w:pP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Agreements – (continued)</w:t>
      </w:r>
    </w:p>
    <w:p>
      <w:pPr>
        <w:spacing w:after="0" w:line="229"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07"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w:t>
      </w:r>
    </w:p>
    <w:p>
      <w:pPr>
        <w:spacing w:after="0" w:line="2" w:lineRule="exact"/>
        <w:rPr>
          <w:sz w:val="20"/>
          <w:szCs w:val="20"/>
          <w:color w:val="auto"/>
        </w:rPr>
      </w:pPr>
    </w:p>
    <w:p>
      <w:pPr>
        <w:jc w:val="both"/>
        <w:ind w:left="1260" w:right="419"/>
        <w:spacing w:after="0" w:line="254" w:lineRule="auto"/>
        <w:tabs>
          <w:tab w:leader="none" w:pos="1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2020 and 2019, the Company had incentive fees payable to the Investment Advisor of $3.7 million, related to fees earned in prior years but deferred under the incentive fee deferral mechanism.</w:t>
      </w:r>
    </w:p>
    <w:p>
      <w:pPr>
        <w:spacing w:after="0" w:line="111"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7"/>
          <w:szCs w:val="17"/>
          <w:color w:val="auto"/>
        </w:rPr>
        <w:t>For the years ended December 31, 2020, 2019 and 2018, the Company incurred $6.4 million, $8.0 million and $9.0 million in base management fees, respectively. The Company incurred $ 0.0, $1.5 million and $0.2 million in incentive fees related to pre-incentive fee net investment income for the years ended December 31, 2020, 2019, and 2018, respectively. For the years ended December 31, 2020, 2019 and 2018, our Investment Advisor waived incentive fees of $0.0, $0.3 million and $0.0, respectively.</w:t>
      </w:r>
    </w:p>
    <w:p>
      <w:pPr>
        <w:spacing w:after="0" w:line="106"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10"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July 30, 2020.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18"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For the years ended December 31, 2020, 2019 and 2018 the Company paid the Administrator $1.4 million each year for the Company’s allocable portion of the Administrator’s overhead.</w:t>
      </w:r>
    </w:p>
    <w:p>
      <w:pPr>
        <w:spacing w:after="0" w:line="103"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w:t>
      </w: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3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Agreements – (continued)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Administrator for the Company.</w:t>
      </w:r>
    </w:p>
    <w:p>
      <w:pPr>
        <w:spacing w:after="0" w:line="3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Related Party Transactions</w:t>
      </w:r>
    </w:p>
    <w:p>
      <w:pPr>
        <w:spacing w:after="0" w:line="148" w:lineRule="exact"/>
        <w:rPr>
          <w:sz w:val="20"/>
          <w:szCs w:val="20"/>
          <w:color w:val="auto"/>
        </w:rPr>
      </w:pPr>
    </w:p>
    <w:p>
      <w:pPr>
        <w:jc w:val="both"/>
        <w:ind w:left="1260" w:right="1260" w:firstLine="360"/>
        <w:spacing w:after="0" w:line="259" w:lineRule="auto"/>
        <w:rPr>
          <w:sz w:val="20"/>
          <w:szCs w:val="20"/>
          <w:color w:val="auto"/>
        </w:rPr>
      </w:pPr>
      <w:r>
        <w:rPr>
          <w:rFonts w:ascii="Arial" w:cs="Arial" w:eastAsia="Arial" w:hAnsi="Arial"/>
          <w:sz w:val="18"/>
          <w:szCs w:val="18"/>
          <w:color w:val="auto"/>
        </w:rPr>
        <w:t>As of December 31, 2020 and 2019, the Company had $3.8 million and $3.7 million, respectively, of management and incentive fees payable to the Investment Advisor. These amounts are reflected in the accompanying consolidated statements of assets and liabilities under the caption “Management and incentive fees payable.”</w:t>
      </w:r>
    </w:p>
    <w:p>
      <w:pPr>
        <w:spacing w:after="0" w:line="119" w:lineRule="exact"/>
        <w:rPr>
          <w:sz w:val="20"/>
          <w:szCs w:val="20"/>
          <w:color w:val="auto"/>
        </w:rPr>
      </w:pPr>
    </w:p>
    <w:p>
      <w:pPr>
        <w:jc w:val="both"/>
        <w:ind w:left="1260" w:right="1260" w:firstLine="360"/>
        <w:spacing w:after="0" w:line="259" w:lineRule="auto"/>
        <w:rPr>
          <w:sz w:val="20"/>
          <w:szCs w:val="20"/>
          <w:color w:val="auto"/>
        </w:rPr>
      </w:pPr>
      <w:r>
        <w:rPr>
          <w:rFonts w:ascii="Arial" w:cs="Arial" w:eastAsia="Arial" w:hAnsi="Arial"/>
          <w:sz w:val="18"/>
          <w:szCs w:val="18"/>
          <w:color w:val="auto"/>
        </w:rPr>
        <w:t>On June 1, 2020, the Company purchased approximately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58" w:lineRule="exact"/>
        <w:rPr>
          <w:sz w:val="20"/>
          <w:szCs w:val="20"/>
          <w:color w:val="auto"/>
        </w:rPr>
      </w:pPr>
    </w:p>
    <w:p>
      <w:pPr>
        <w:jc w:val="both"/>
        <w:ind w:left="1260" w:right="1260" w:firstLine="360"/>
        <w:spacing w:after="0" w:line="252" w:lineRule="auto"/>
        <w:rPr>
          <w:sz w:val="20"/>
          <w:szCs w:val="20"/>
          <w:color w:val="auto"/>
        </w:rPr>
      </w:pPr>
      <w:r>
        <w:rPr>
          <w:rFonts w:ascii="Arial" w:cs="Arial" w:eastAsia="Arial" w:hAnsi="Arial"/>
          <w:sz w:val="18"/>
          <w:szCs w:val="18"/>
          <w:color w:val="auto"/>
        </w:rPr>
        <w:t>The Company, through its wholly owned subsidiary Fund III, uses debenture leverage guaranteed through the SBA (the “SBA-guaranteed debentures”) to fund a portion of its investment portfolio. As of December 31, 2020 and 2019, the Company had $91.0 million and $150.0 million of SBA-guaranteed debentures outstanding, respectively. The Company has issued all SBA-guaranteed debentures that were permitted under each of the Legacy Funds’ respective SBIC licenses (as applicable), and there are no unused SBA-guaranteed debenture commitments remaining. On March 1, 2019, Fund II repaid its outstanding SBA-guaranteed debentures and relinquished its SBIC license. SBA-guaranteed debentures are secured by a lien on all assets of Fund III and were secured by a lien on all assets of Fund II prior to March 1, 2019. As of December 31, 2020 and 2019, Fund III had total assets of $186.0 million and $266.3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15" w:lineRule="exact"/>
        <w:rPr>
          <w:sz w:val="20"/>
          <w:szCs w:val="20"/>
          <w:color w:val="auto"/>
        </w:rPr>
      </w:pPr>
    </w:p>
    <w:p>
      <w:pPr>
        <w:jc w:val="both"/>
        <w:ind w:left="1260" w:right="1260" w:firstLine="360"/>
        <w:spacing w:after="0" w:line="286" w:lineRule="auto"/>
        <w:rPr>
          <w:sz w:val="20"/>
          <w:szCs w:val="20"/>
          <w:color w:val="auto"/>
        </w:rPr>
      </w:pPr>
      <w:r>
        <w:rPr>
          <w:rFonts w:ascii="Arial" w:cs="Arial" w:eastAsia="Arial" w:hAnsi="Arial"/>
          <w:sz w:val="17"/>
          <w:szCs w:val="17"/>
          <w:color w:val="auto"/>
        </w:rPr>
        <w:t>The following table summarizes the interest expense and annual charges, deferred financing costs, average outstanding balance, and average stated interest and annual charge rate on the SBA-guaranteed debentures for the years ended December 31, 2020, 2019 and 2018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For the years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3"/>
        </w:trPr>
        <w:tc>
          <w:tcPr>
            <w:tcW w:w="16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w w:val="87"/>
              </w:rPr>
              <w:t>December 31,</w:t>
            </w:r>
          </w:p>
        </w:tc>
        <w:tc>
          <w:tcPr>
            <w:tcW w:w="1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10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5"/>
              </w:rPr>
              <w:t>December 31,</w:t>
            </w:r>
          </w:p>
        </w:tc>
        <w:tc>
          <w:tcPr>
            <w:tcW w:w="1620" w:type="dxa"/>
            <w:vAlign w:val="bottom"/>
          </w:tcPr>
          <w:p>
            <w:pPr>
              <w:spacing w:after="0"/>
              <w:rPr>
                <w:sz w:val="15"/>
                <w:szCs w:val="15"/>
                <w:color w:val="auto"/>
              </w:rPr>
            </w:pPr>
          </w:p>
        </w:tc>
      </w:tr>
      <w:tr>
        <w:trPr>
          <w:trHeight w:val="186"/>
        </w:trPr>
        <w:tc>
          <w:tcPr>
            <w:tcW w:w="16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tcPr>
          <w:p>
            <w:pPr>
              <w:spacing w:after="0"/>
              <w:rPr>
                <w:sz w:val="21"/>
                <w:szCs w:val="21"/>
                <w:color w:val="auto"/>
              </w:rPr>
            </w:pPr>
          </w:p>
        </w:tc>
      </w:tr>
      <w:tr>
        <w:trPr>
          <w:trHeight w:val="264"/>
        </w:trPr>
        <w:tc>
          <w:tcPr>
            <w:tcW w:w="1620" w:type="dxa"/>
            <w:vAlign w:val="bottom"/>
          </w:tcPr>
          <w:p>
            <w:pPr>
              <w:spacing w:after="0"/>
              <w:rPr>
                <w:sz w:val="22"/>
                <w:szCs w:val="22"/>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financing costs</w:t>
            </w:r>
          </w:p>
        </w:tc>
        <w:tc>
          <w:tcPr>
            <w:tcW w:w="7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20" w:type="dxa"/>
            <w:vAlign w:val="bottom"/>
          </w:tcPr>
          <w:p>
            <w:pPr>
              <w:spacing w:after="0"/>
              <w:rPr>
                <w:sz w:val="22"/>
                <w:szCs w:val="22"/>
                <w:color w:val="auto"/>
              </w:rPr>
            </w:pPr>
          </w:p>
        </w:tc>
      </w:tr>
      <w:tr>
        <w:trPr>
          <w:trHeight w:val="263"/>
        </w:trPr>
        <w:tc>
          <w:tcPr>
            <w:tcW w:w="16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86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tcPr>
          <w:p>
            <w:pPr>
              <w:spacing w:after="0"/>
              <w:rPr>
                <w:sz w:val="22"/>
                <w:szCs w:val="22"/>
                <w:color w:val="auto"/>
              </w:rPr>
            </w:pPr>
          </w:p>
        </w:tc>
      </w:tr>
      <w:tr>
        <w:trPr>
          <w:trHeight w:val="20"/>
        </w:trPr>
        <w:tc>
          <w:tcPr>
            <w:tcW w:w="16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0"/>
        </w:trPr>
        <w:tc>
          <w:tcPr>
            <w:tcW w:w="5120" w:type="dxa"/>
            <w:vAlign w:val="bottom"/>
            <w:gridSpan w:val="2"/>
          </w:tcPr>
          <w:p>
            <w:pPr>
              <w:ind w:left="1620"/>
              <w:spacing w:after="0"/>
              <w:rPr>
                <w:sz w:val="20"/>
                <w:szCs w:val="20"/>
                <w:color w:val="auto"/>
              </w:rPr>
            </w:pPr>
            <w:r>
              <w:rPr>
                <w:rFonts w:ascii="Arial" w:cs="Arial" w:eastAsia="Arial" w:hAnsi="Arial"/>
                <w:sz w:val="18"/>
                <w:szCs w:val="18"/>
                <w:color w:val="auto"/>
              </w:rPr>
              <w:t>Average outstanding balance</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130,333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152,537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169,028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6"/>
        </w:trPr>
        <w:tc>
          <w:tcPr>
            <w:tcW w:w="16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2"/>
              </w:rPr>
              <w:t>Average stated interest and annual charge rate</w:t>
            </w: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1620" w:type="dxa"/>
            <w:vAlign w:val="bottom"/>
          </w:tcPr>
          <w:p>
            <w:pPr>
              <w:spacing w:after="0"/>
              <w:rPr>
                <w:sz w:val="22"/>
                <w:szCs w:val="22"/>
                <w:color w:val="auto"/>
              </w:rPr>
            </w:pPr>
          </w:p>
        </w:tc>
      </w:tr>
      <w:tr>
        <w:trPr>
          <w:trHeight w:val="607"/>
        </w:trPr>
        <w:tc>
          <w:tcPr>
            <w:tcW w:w="1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60" w:type="dxa"/>
            <w:vAlign w:val="bottom"/>
            <w:gridSpan w:val="3"/>
          </w:tcPr>
          <w:p>
            <w:pPr>
              <w:jc w:val="right"/>
              <w:ind w:right="470"/>
              <w:spacing w:after="0"/>
              <w:rPr>
                <w:sz w:val="20"/>
                <w:szCs w:val="20"/>
                <w:color w:val="auto"/>
              </w:rPr>
            </w:pPr>
            <w:r>
              <w:rPr>
                <w:rFonts w:ascii="Arial" w:cs="Arial" w:eastAsia="Arial" w:hAnsi="Arial"/>
                <w:sz w:val="18"/>
                <w:szCs w:val="18"/>
                <w:color w:val="auto"/>
              </w:rPr>
              <w:t>F-43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5591810</wp:posOffset>
            </wp:positionH>
            <wp:positionV relativeFrom="paragraph">
              <wp:posOffset>-1173480</wp:posOffset>
            </wp:positionV>
            <wp:extent cx="18859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-1173480</wp:posOffset>
            </wp:positionV>
            <wp:extent cx="24003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-1173480</wp:posOffset>
            </wp:positionV>
            <wp:extent cx="344614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-1516380</wp:posOffset>
            </wp:positionV>
            <wp:extent cx="13716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-1516380</wp:posOffset>
            </wp:positionV>
            <wp:extent cx="13716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-1516380</wp:posOffset>
            </wp:positionV>
            <wp:extent cx="339471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-7620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9" w:name="page150"/>
    <w:bookmarkEnd w:id="149"/>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Borrowings – (continued)</w:t>
      </w:r>
    </w:p>
    <w:p>
      <w:pPr>
        <w:spacing w:after="0" w:line="229"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As of December 31, 2020 and 2019, the Company’s issued and outstanding SBA-guaranteed debentures mature as follows (dollars in thousands)</w:t>
      </w:r>
      <w:r>
        <w:rPr>
          <w:rFonts w:ascii="Arial" w:cs="Arial" w:eastAsia="Arial" w:hAnsi="Arial"/>
          <w:sz w:val="18"/>
          <w:szCs w:val="18"/>
          <w:b w:val="1"/>
          <w:bCs w:val="1"/>
          <w:color w:val="auto"/>
        </w:rPr>
        <w:t>:</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Interest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SBA Annual</w:t>
            </w:r>
          </w:p>
        </w:tc>
        <w:tc>
          <w:tcPr>
            <w:tcW w:w="1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4360" w:type="dxa"/>
            <w:vAlign w:val="bottom"/>
          </w:tcPr>
          <w:p>
            <w:pPr>
              <w:spacing w:after="0"/>
              <w:rPr>
                <w:sz w:val="20"/>
                <w:szCs w:val="20"/>
                <w:color w:val="auto"/>
              </w:rPr>
            </w:pPr>
            <w:r>
              <w:rPr>
                <w:rFonts w:ascii="Arial" w:cs="Arial" w:eastAsia="Arial" w:hAnsi="Arial"/>
                <w:sz w:val="14"/>
                <w:szCs w:val="14"/>
                <w:b w:val="1"/>
                <w:bCs w:val="1"/>
                <w:color w:val="auto"/>
              </w:rPr>
              <w:t>Fixed Maturity Date</w:t>
            </w:r>
          </w:p>
        </w:tc>
        <w:tc>
          <w:tcPr>
            <w:tcW w:w="220" w:type="dxa"/>
            <w:vAlign w:val="bottom"/>
          </w:tcPr>
          <w:p>
            <w:pPr>
              <w:spacing w:after="0"/>
              <w:rPr>
                <w:sz w:val="16"/>
                <w:szCs w:val="16"/>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Charge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6"/>
        </w:trPr>
        <w:tc>
          <w:tcPr>
            <w:tcW w:w="4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March 1, 2021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4.084%</w:t>
            </w:r>
          </w:p>
        </w:tc>
        <w:tc>
          <w:tcPr>
            <w:tcW w:w="780" w:type="dxa"/>
            <w:vAlign w:val="bottom"/>
          </w:tcPr>
          <w:p>
            <w:pPr>
              <w:jc w:val="right"/>
              <w:spacing w:after="0"/>
              <w:rPr>
                <w:sz w:val="20"/>
                <w:szCs w:val="20"/>
                <w:color w:val="auto"/>
              </w:rPr>
            </w:pPr>
            <w:r>
              <w:rPr>
                <w:rFonts w:ascii="Arial" w:cs="Arial" w:eastAsia="Arial" w:hAnsi="Arial"/>
                <w:sz w:val="18"/>
                <w:szCs w:val="18"/>
                <w:color w:val="auto"/>
              </w:rPr>
              <w:t>0.285%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46,000</w:t>
            </w:r>
          </w:p>
        </w:tc>
      </w:tr>
      <w:tr>
        <w:trPr>
          <w:trHeight w:val="25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March 1, 2022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10,000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March 1, 2022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2.766%</w:t>
            </w:r>
          </w:p>
        </w:tc>
        <w:tc>
          <w:tcPr>
            <w:tcW w:w="780" w:type="dxa"/>
            <w:vAlign w:val="bottom"/>
          </w:tcPr>
          <w:p>
            <w:pPr>
              <w:jc w:val="right"/>
              <w:spacing w:after="0"/>
              <w:rPr>
                <w:sz w:val="20"/>
                <w:szCs w:val="20"/>
                <w:color w:val="auto"/>
              </w:rPr>
            </w:pPr>
            <w:r>
              <w:rPr>
                <w:rFonts w:ascii="Arial" w:cs="Arial" w:eastAsia="Arial" w:hAnsi="Arial"/>
                <w:sz w:val="18"/>
                <w:szCs w:val="18"/>
                <w:color w:val="auto"/>
              </w:rPr>
              <w:t>0.515%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50,000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March 1, 2023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25,000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r>
      <w:tr>
        <w:trPr>
          <w:trHeight w:val="20"/>
        </w:trPr>
        <w:tc>
          <w:tcPr>
            <w:tcW w:w="4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4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91,000</w:t>
            </w:r>
          </w:p>
        </w:tc>
        <w:tc>
          <w:tcPr>
            <w:tcW w:w="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-1002665</wp:posOffset>
            </wp:positionV>
            <wp:extent cx="1371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-1002665</wp:posOffset>
            </wp:positionV>
            <wp:extent cx="13716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-1002665</wp:posOffset>
            </wp:positionV>
            <wp:extent cx="1371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-1002665</wp:posOffset>
            </wp:positionV>
            <wp:extent cx="1371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Notes</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As of December 31, 2020 and 2019, the Company had $72.8 million and $75.0 million in 2022 Notes outstanding, respectively.</w:t>
      </w:r>
    </w:p>
    <w:p>
      <w:pPr>
        <w:spacing w:after="0" w:line="12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years ended December 31, 2020, 2019, and 2018 (dollars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8"/>
              </w:rPr>
              <w:t>For the years ended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500" w:type="dxa"/>
            <w:vAlign w:val="bottom"/>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4500" w:type="dxa"/>
            <w:vAlign w:val="bottom"/>
          </w:tcPr>
          <w:p>
            <w:pPr>
              <w:spacing w:after="0"/>
              <w:rPr>
                <w:sz w:val="15"/>
                <w:szCs w:val="15"/>
                <w:color w:val="auto"/>
              </w:rPr>
            </w:pPr>
          </w:p>
        </w:tc>
        <w:tc>
          <w:tcPr>
            <w:tcW w:w="8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5"/>
                <w:szCs w:val="15"/>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Average outstanding balance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74,253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75,000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75,000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-521970</wp:posOffset>
            </wp:positionV>
            <wp:extent cx="8572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-521970</wp:posOffset>
            </wp:positionV>
            <wp:extent cx="428625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-864870</wp:posOffset>
            </wp:positionV>
            <wp:extent cx="1371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-864870</wp:posOffset>
            </wp:positionV>
            <wp:extent cx="353187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5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06"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is approximately 14.0%. As a result of the Reverse Stock Split, the conversion rate for the 2022 Convertible Notes is 0.2652 shares per $25.00 principal amount of</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Borrowings – (continued)</w:t>
      </w:r>
    </w:p>
    <w:p>
      <w:pPr>
        <w:spacing w:after="0" w:line="229"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2022 Convertible Notes (equivalent to a conversion price of approximately $94.26) effective August 21, 2020.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08"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25"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As of December 31, 2020 and 2019, the Company had $52.1 million in 2022 Convertible Notes outstanding.</w:t>
      </w:r>
    </w:p>
    <w:p>
      <w:pPr>
        <w:spacing w:after="0" w:line="103"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years ended December 31, 2020, 2019, and 2018 (dollars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8"/>
              </w:rPr>
              <w:t>For the years ended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500" w:type="dxa"/>
            <w:vAlign w:val="bottom"/>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4500" w:type="dxa"/>
            <w:vAlign w:val="bottom"/>
          </w:tcPr>
          <w:p>
            <w:pPr>
              <w:spacing w:after="0"/>
              <w:rPr>
                <w:sz w:val="15"/>
                <w:szCs w:val="15"/>
                <w:color w:val="auto"/>
              </w:rPr>
            </w:pPr>
          </w:p>
        </w:tc>
        <w:tc>
          <w:tcPr>
            <w:tcW w:w="8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5"/>
                <w:szCs w:val="15"/>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Average outstanding balance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52,088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52,088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52,088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-521970</wp:posOffset>
            </wp:positionV>
            <wp:extent cx="8572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-521970</wp:posOffset>
            </wp:positionV>
            <wp:extent cx="428625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-864870</wp:posOffset>
            </wp:positionV>
            <wp:extent cx="1371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-864870</wp:posOffset>
            </wp:positionV>
            <wp:extent cx="353187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Bond Repurchase Program</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During the year ended December 31, 2020, the Company purchased approximately $2.2 million of outstanding principal of the 2022 Notes under the Bond Repurchase Program, resulting in a realized gain of $0.2 million. During the year ended December 31, 2020, the Company did not purchase any of the 2022 Convertible Notes.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ING Credit Facility</w:t>
      </w:r>
    </w:p>
    <w:p>
      <w:pPr>
        <w:spacing w:after="0" w:line="144"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“ING Credit Facility”) with ING Capital, LLC, as administrative agent, arranger, and bookrunner, and the lenders party thereto. The Credit Facility was set to mature on April 30, 2022. On June 19, 2020, the Company unilaterally terminated the ING Credit Facility.</w:t>
      </w:r>
    </w:p>
    <w:p>
      <w:pPr>
        <w:spacing w:after="0" w:line="11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Borrowings under the ING Credit Facility bore interest, at the Company’s election, at a rate per annum equal to (i) the one, two, three or six month LIBOR, as applicable, plus 3.50% or (ii) 2.00% plus the highest of (A) a prime rate, (B) the Federal Funds rate plus 0.5%, and (C) three month LIBOR plus 1.0%. The Company’s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Borrowings – (continued)</w:t>
      </w:r>
    </w:p>
    <w:p>
      <w:pPr>
        <w:spacing w:after="0" w:line="229"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7"/>
          <w:szCs w:val="17"/>
          <w:color w:val="auto"/>
        </w:rPr>
        <w:t>ability to elect LIBOR indices with various tenors (e.g., one, two, three or six month LIBOR) on which the interest rates for borrowings under the ING Credit Facility were based, provided the Company with increased flexibility to manage interest rate risks as compared to a borrowing arrangement that did not provide for such optionality. Once a particular LIBOR had been selected, the interest rate on the applicable amount borrowed reset after the applicable tenor period and was based on the then applicable selected LIBOR (e.g., borrowings for which the Company elected the one month LIBOR reset on the one month anniversary of the period based on the then selected LIBOR) . For any given borrowing under the ING Credit Facility, the Company elected what it believed to be an appropriate LIBOR taking into account the Company’s needs at the time as well as the Company’s view of future interest rate movements. The ING Credit Facility provided for the ability to step- down the pricing of the ING Credit Facility from LIBOR plus 3.50% to LIBOR plus 3.00% when certain conditions were met. The Company also paid an unused commitment fee at a rate of 0.75% per annum on the unutilized portion of the aggregate commitments under the ING Credit Facility on each day when the utilized portion of the aggregate commitments was less than 35% for such day and 0.50% per annum on the unutilized portion of the aggregate commitments under the ING Credit Facility when the utilized portion was greater than 35% for such day.</w:t>
      </w:r>
    </w:p>
    <w:p>
      <w:pPr>
        <w:spacing w:after="0" w:line="106"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ING Credit Facility for the years ended December 31, 2020, 2019, and 2018 (dollars in thousands):</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For the years ended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5"/>
                <w:szCs w:val="15"/>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6"/>
                <w:szCs w:val="16"/>
                <w:color w:val="auto"/>
              </w:rPr>
            </w:pPr>
          </w:p>
        </w:tc>
      </w:tr>
      <w:tr>
        <w:trPr>
          <w:trHeight w:val="25"/>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21"/>
                <w:szCs w:val="2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1,379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22"/>
                <w:szCs w:val="22"/>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1,353</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8"/>
                <w:szCs w:val="18"/>
                <w:color w:val="auto"/>
              </w:rPr>
              <w:t>Total interest and financing expenses</w:t>
            </w:r>
          </w:p>
        </w:tc>
        <w:tc>
          <w:tcPr>
            <w:tcW w:w="38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1,590</w:t>
            </w:r>
          </w:p>
        </w:tc>
        <w:tc>
          <w:tcPr>
            <w:tcW w:w="1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2,608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2,099</w:t>
            </w:r>
          </w:p>
        </w:tc>
        <w:tc>
          <w:tcPr>
            <w:tcW w:w="180" w:type="dxa"/>
            <w:vAlign w:val="bottom"/>
          </w:tcPr>
          <w:p>
            <w:pPr>
              <w:spacing w:after="0"/>
              <w:rPr>
                <w:sz w:val="24"/>
                <w:szCs w:val="24"/>
                <w:color w:val="auto"/>
              </w:rPr>
            </w:pP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Average outstanding balance</w:t>
            </w:r>
          </w:p>
        </w:tc>
        <w:tc>
          <w:tcPr>
            <w:tcW w:w="38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10,448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6,304</w:t>
            </w:r>
          </w:p>
        </w:tc>
        <w:tc>
          <w:tcPr>
            <w:tcW w:w="180" w:type="dxa"/>
            <w:vAlign w:val="bottom"/>
            <w:shd w:val="clear" w:color="auto" w:fill="CCEEFF"/>
          </w:tcPr>
          <w:p>
            <w:pPr>
              <w:spacing w:after="0"/>
              <w:rPr>
                <w:sz w:val="20"/>
                <w:szCs w:val="20"/>
                <w:color w:val="auto"/>
              </w:rPr>
            </w:pP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-1036955</wp:posOffset>
            </wp:positionV>
            <wp:extent cx="13716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-1036955</wp:posOffset>
            </wp:positionV>
            <wp:extent cx="353187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01"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ING Credit Facility was secured by investments and cash held by the Company, exclusive of assets pledged as collateral for the Company’s SBA debentures. Assets pledged to secure the Credit Facility had a carrying value of $159.8 million at December 31, 2019.</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KeyBank Credit Facility</w:t>
      </w:r>
    </w:p>
    <w:p>
      <w:pPr>
        <w:spacing w:after="0" w:line="158"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On October 30, 2020, Capitala Business Lending, LLC CBL, a direct, wholly owned, consolidated subsidiary of the Company, entered into a senior secured revolving credit agreement (the “KeyBank Credit Facility”), with the Investment Adviser,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subject to a minimum interest rate of 4.25%. The Company will also pay an unused</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Borrowings – (continued)</w:t>
      </w:r>
    </w:p>
    <w:p>
      <w:pPr>
        <w:spacing w:after="0" w:line="229"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7"/>
          <w:szCs w:val="17"/>
          <w:color w:val="auto"/>
        </w:rPr>
        <w:t>commitment fee at a rate of 1.75% per annum on the unutilized portion of the aggregate commitments under the KeyBank Credit Facility. As of December 31, 2020, the Company had $0.0 outstanding and $25.0 million available under the KeyBank Credit Facility. The Keybank Credit Facility is secured by the investments and other assets held by CBL, the Company’s wholly owned subsidiary. As of December 31, 2020, assets pledged to secure the KeyBank Credit Facility had a fair value of $57.6 million.</w:t>
      </w:r>
    </w:p>
    <w:p>
      <w:pPr>
        <w:spacing w:after="0" w:line="93"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KeyBank Credit Facility for the years ended December 31, 2020, 2019, and 2018 (dollars in thousands):</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8"/>
              </w:rPr>
              <w:t>For the years ended</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66"/>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42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46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77"/>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46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110</w:t>
            </w: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w:t>
            </w:r>
          </w:p>
        </w:tc>
        <w:tc>
          <w:tcPr>
            <w:tcW w:w="500" w:type="dxa"/>
            <w:vAlign w:val="bottom"/>
            <w:tcBorders>
              <w:bottom w:val="single" w:sz="8" w:color="CCEEFF"/>
            </w:tcBorders>
            <w:gridSpan w:val="2"/>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w:t>
            </w:r>
          </w:p>
        </w:tc>
        <w:tc>
          <w:tcPr>
            <w:tcW w:w="280" w:type="dxa"/>
            <w:vAlign w:val="bottom"/>
            <w:tcBorders>
              <w:bottom w:val="single" w:sz="8" w:color="CCEEFF"/>
            </w:tcBorders>
          </w:tcPr>
          <w:p>
            <w:pPr>
              <w:spacing w:after="0"/>
              <w:rPr>
                <w:sz w:val="24"/>
                <w:szCs w:val="24"/>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w w:val="92"/>
              </w:rPr>
              <w:t>$—</w:t>
            </w:r>
          </w:p>
        </w:tc>
        <w:tc>
          <w:tcPr>
            <w:tcW w:w="2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92"/>
              </w:rPr>
              <w:t>$—</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-925195</wp:posOffset>
            </wp:positionV>
            <wp:extent cx="13716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-925195</wp:posOffset>
            </wp:positionV>
            <wp:extent cx="353187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144"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following table presents the carrying value and fair value of the Company’s financial liabilities disclosed, but not carried, at fair value as of December 31, 2020, and the level of each financial liability within the fair value hierarchy (dollars in thousands):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33"/>
              <w:spacing w:after="0" w:line="230" w:lineRule="exact"/>
              <w:rPr>
                <w:sz w:val="20"/>
                <w:szCs w:val="20"/>
                <w:color w:val="auto"/>
              </w:rPr>
            </w:pPr>
            <w:r>
              <w:rPr>
                <w:rFonts w:ascii="Arial" w:cs="Arial" w:eastAsia="Arial" w:hAnsi="Arial"/>
                <w:sz w:val="14"/>
                <w:szCs w:val="14"/>
                <w:b w:val="1"/>
                <w:bCs w:val="1"/>
                <w:color w:val="auto"/>
                <w:w w:val="84"/>
              </w:rPr>
              <w:t>Value</w:t>
            </w:r>
            <w:r>
              <w:rPr>
                <w:rFonts w:ascii="Arial" w:cs="Arial" w:eastAsia="Arial" w:hAnsi="Arial"/>
                <w:sz w:val="21"/>
                <w:szCs w:val="21"/>
                <w:b w:val="1"/>
                <w:bCs w:val="1"/>
                <w:color w:val="auto"/>
                <w:w w:val="84"/>
                <w:vertAlign w:val="superscript"/>
              </w:rPr>
              <w:t>(1)</w:t>
            </w: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0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$92,189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2022</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72,833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70,503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70,503</w:t>
            </w:r>
          </w:p>
        </w:tc>
        <w:tc>
          <w:tcPr>
            <w:tcW w:w="10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2022</w:t>
            </w:r>
          </w:p>
        </w:tc>
        <w:tc>
          <w:tcPr>
            <w:tcW w:w="36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51,233</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gridSpan w:val="3"/>
          </w:tcPr>
          <w:p>
            <w:pPr>
              <w:spacing w:after="0"/>
              <w:rPr>
                <w:sz w:val="20"/>
                <w:szCs w:val="20"/>
                <w:color w:val="auto"/>
              </w:rPr>
            </w:pPr>
            <w:r>
              <w:rPr>
                <w:rFonts w:ascii="Arial" w:cs="Arial" w:eastAsia="Arial" w:hAnsi="Arial"/>
                <w:sz w:val="18"/>
                <w:szCs w:val="18"/>
                <w:color w:val="auto"/>
              </w:rPr>
              <w:t>KeyBank Credit Facility</w:t>
            </w: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15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vMerge w:val="continue"/>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215,921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213,925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121,736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92,189</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-265430</wp:posOffset>
            </wp:positionV>
            <wp:extent cx="14605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-265430</wp:posOffset>
            </wp:positionV>
            <wp:extent cx="14541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-265430</wp:posOffset>
            </wp:positionV>
            <wp:extent cx="14541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-265430</wp:posOffset>
            </wp:positionV>
            <wp:extent cx="31203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12039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-839470</wp:posOffset>
            </wp:positionV>
            <wp:extent cx="13716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-839470</wp:posOffset>
            </wp:positionV>
            <wp:extent cx="13716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-839470</wp:posOffset>
            </wp:positionV>
            <wp:extent cx="13716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311150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Carrying value equals the gross principal outstanding at period end.</w:t>
      </w:r>
    </w:p>
    <w:p>
      <w:pPr>
        <w:spacing w:after="0" w:line="14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The following table presents the carrying value and fair value of the Company’s financial liabilities disclosed, but not carried, at fair value as of December 31, 2019, and the level of each financial liability within the fair value hierarchy (dollars in thousands):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0"/>
              </w:rPr>
              <w:t>Value</w:t>
            </w:r>
            <w:r>
              <w:rPr>
                <w:rFonts w:ascii="Arial" w:cs="Arial" w:eastAsia="Arial" w:hAnsi="Arial"/>
                <w:sz w:val="21"/>
                <w:szCs w:val="21"/>
                <w:b w:val="1"/>
                <w:bCs w:val="1"/>
                <w:color w:val="auto"/>
                <w:w w:val="80"/>
                <w:vertAlign w:val="superscript"/>
              </w:rPr>
              <w:t>(1)</w:t>
            </w: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$150,000</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$151,167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$151,167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2022</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74,970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74,970</w:t>
            </w:r>
          </w:p>
        </w:tc>
        <w:tc>
          <w:tcPr>
            <w:tcW w:w="10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2022</w:t>
            </w:r>
          </w:p>
        </w:tc>
        <w:tc>
          <w:tcPr>
            <w:tcW w:w="35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51,498</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51,498</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3"/>
          </w:tcPr>
          <w:p>
            <w:pPr>
              <w:spacing w:after="0"/>
              <w:rPr>
                <w:sz w:val="20"/>
                <w:szCs w:val="20"/>
                <w:color w:val="auto"/>
              </w:rPr>
            </w:pPr>
            <w:r>
              <w:rPr>
                <w:rFonts w:ascii="Arial" w:cs="Arial" w:eastAsia="Arial" w:hAnsi="Arial"/>
                <w:sz w:val="18"/>
                <w:szCs w:val="18"/>
                <w:color w:val="auto"/>
              </w:rPr>
              <w:t>ING Credit Facility</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154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0" w:type="dxa"/>
            <w:vAlign w:val="bottom"/>
            <w:vMerge w:val="continue"/>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96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277,088</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277,635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126,468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151,167</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-256540</wp:posOffset>
            </wp:positionV>
            <wp:extent cx="14605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-256540</wp:posOffset>
            </wp:positionV>
            <wp:extent cx="14605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-256540</wp:posOffset>
            </wp:positionV>
            <wp:extent cx="14605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-256540</wp:posOffset>
            </wp:positionV>
            <wp:extent cx="306006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060065"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-831215</wp:posOffset>
            </wp:positionV>
            <wp:extent cx="13716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-831215</wp:posOffset>
            </wp:positionV>
            <wp:extent cx="13716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-831215</wp:posOffset>
            </wp:positionV>
            <wp:extent cx="13716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-831215</wp:posOffset>
            </wp:positionV>
            <wp:extent cx="305181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14" w:lineRule="exact"/>
        <w:rPr>
          <w:sz w:val="20"/>
          <w:szCs w:val="20"/>
          <w:color w:val="auto"/>
        </w:rPr>
      </w:pPr>
    </w:p>
    <w:p>
      <w:pPr>
        <w:ind w:left="5160" w:right="3159" w:hanging="3900"/>
        <w:spacing w:after="0" w:line="731" w:lineRule="auto"/>
        <w:tabs>
          <w:tab w:leader="none" w:pos="16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Carrying value equals the gross principal outstanding at period end. 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806565"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Borrowings – (continued)</w:t>
      </w:r>
    </w:p>
    <w:p>
      <w:pPr>
        <w:spacing w:after="0" w:line="229" w:lineRule="exact"/>
        <w:rPr>
          <w:sz w:val="20"/>
          <w:szCs w:val="20"/>
          <w:color w:val="auto"/>
        </w:rPr>
      </w:pPr>
    </w:p>
    <w:p>
      <w:pPr>
        <w:jc w:val="both"/>
        <w:ind w:left="1260" w:right="419" w:firstLine="360"/>
        <w:spacing w:after="0" w:line="342" w:lineRule="auto"/>
        <w:rPr>
          <w:sz w:val="20"/>
          <w:szCs w:val="20"/>
          <w:color w:val="auto"/>
        </w:rPr>
      </w:pPr>
      <w:r>
        <w:rPr>
          <w:rFonts w:ascii="Arial" w:cs="Arial" w:eastAsia="Arial" w:hAnsi="Arial"/>
          <w:sz w:val="16"/>
          <w:szCs w:val="16"/>
          <w:color w:val="auto"/>
        </w:rPr>
        <w:t>The estimated fair value of the Company’s SBA-guaranteed debentures was based on future contractual cash payments discounted at market interest rates to borrow from the SBA as of the measurement date.</w:t>
      </w:r>
    </w:p>
    <w:p>
      <w:pPr>
        <w:spacing w:after="0" w:line="43"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19"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estimated fair value of the ING Credit Facility and KeyBank Credit Facility was based on future contractual cash payments discounted at estimated market interest rates for similar debt.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Income Taxes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Company has elected to be treated as a RIC under subchapter M of the Code. As a RIC, the Company is not taxed on any investment company taxable income or capital gains which it distributes to stockholders. The Company intends to make the requisite distributions to its stockholders which will relieve the Company from U.S. federal income taxes.</w:t>
      </w:r>
    </w:p>
    <w:p>
      <w:pPr>
        <w:spacing w:after="0" w:line="106" w:lineRule="exact"/>
        <w:rPr>
          <w:sz w:val="20"/>
          <w:szCs w:val="20"/>
          <w:color w:val="auto"/>
        </w:rPr>
      </w:pPr>
    </w:p>
    <w:p>
      <w:pPr>
        <w:jc w:val="both"/>
        <w:ind w:left="1260" w:right="419" w:firstLine="360"/>
        <w:spacing w:after="0" w:line="286" w:lineRule="auto"/>
        <w:rPr>
          <w:sz w:val="20"/>
          <w:szCs w:val="20"/>
          <w:color w:val="auto"/>
        </w:rPr>
      </w:pPr>
      <w:r>
        <w:rPr>
          <w:rFonts w:ascii="Arial" w:cs="Arial" w:eastAsia="Arial" w:hAnsi="Arial"/>
          <w:sz w:val="17"/>
          <w:szCs w:val="17"/>
          <w:color w:val="auto"/>
        </w:rPr>
        <w:t>Distributions from net investment income, distributions from net realized capital gains, and distributions classified as return of capital are determined in accordance with U.S. federal tax regulations, which may differ from amounts in accordance with U.S. GAAP and those differences could be material.</w:t>
      </w:r>
    </w:p>
    <w:p>
      <w:pPr>
        <w:spacing w:after="0" w:line="98"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Permanent differences between taxable income and net investment income for financial reporting purposes are reclassified among the capital accounts in the financial statements to reflect their tax character. During the years ended December 31, 2020, December 31, 2019, and December 31, 2018, the Company reclassified for book purposes amounts arising from permanent differences in the book and tax basis of partnership investments sold, sales relating to defaulted bond accruals, and book and tax character of distributions paid. Such reclassifications are reported in “Tax reclassifications of stockholders’ equity in accordance with generally accepted accounting principles” and “Distributions — Return of Capital” in the statements of changes in net assets for the years ended December 31, 2020, 2019 and 2018, respectively.</w:t>
      </w:r>
    </w:p>
    <w:p>
      <w:pPr>
        <w:spacing w:after="0" w:line="111"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The following permanent differences due to adjustments for the realized gains (losses) upon disposition of partnership interests and for the transfer of distributions between accumulated capital gains, accumulated net investment income, and return of capital were reclassified for tax purposes for the tax years ended December 31, 2020, December 31, 2019, and December 31, 2018 (dollars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Tax year ended</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Tax year ended</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Tax year ended</w:t>
            </w:r>
          </w:p>
        </w:tc>
      </w:tr>
      <w:tr>
        <w:trPr>
          <w:trHeight w:val="162"/>
        </w:trPr>
        <w:tc>
          <w:tcPr>
            <w:tcW w:w="48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r>
      <w:tr>
        <w:trPr>
          <w:trHeight w:val="185"/>
        </w:trPr>
        <w:tc>
          <w:tcPr>
            <w:tcW w:w="48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6"/>
                <w:szCs w:val="16"/>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(Decrease) increase in accumulated net investment income</w:t>
            </w:r>
          </w:p>
        </w:tc>
        <w:tc>
          <w:tcPr>
            <w:tcW w:w="94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rPr>
              <w:t>$  (778)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   (13)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rPr>
              <w:t>$ 38</w:t>
            </w:r>
          </w:p>
        </w:tc>
        <w:tc>
          <w:tcPr>
            <w:tcW w:w="200" w:type="dxa"/>
            <w:vAlign w:val="bottom"/>
            <w:shd w:val="clear" w:color="auto" w:fill="CCEEFF"/>
          </w:tcPr>
          <w:p>
            <w:pPr>
              <w:spacing w:after="0"/>
              <w:rPr>
                <w:sz w:val="17"/>
                <w:szCs w:val="17"/>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Increase in accumulated net realized gains on investments</w:t>
            </w:r>
          </w:p>
        </w:tc>
        <w:tc>
          <w:tcPr>
            <w:tcW w:w="940" w:type="dxa"/>
            <w:vAlign w:val="bottom"/>
          </w:tcPr>
          <w:p>
            <w:pPr>
              <w:jc w:val="right"/>
              <w:ind w:right="99"/>
              <w:spacing w:after="0"/>
              <w:rPr>
                <w:sz w:val="20"/>
                <w:szCs w:val="20"/>
                <w:color w:val="auto"/>
              </w:rPr>
            </w:pPr>
            <w:r>
              <w:rPr>
                <w:rFonts w:ascii="Arial" w:cs="Arial" w:eastAsia="Arial" w:hAnsi="Arial"/>
                <w:sz w:val="18"/>
                <w:szCs w:val="18"/>
                <w:color w:val="auto"/>
              </w:rPr>
              <w:t>6,254</w:t>
            </w:r>
          </w:p>
        </w:tc>
        <w:tc>
          <w:tcPr>
            <w:tcW w:w="1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8"/>
                <w:szCs w:val="18"/>
                <w:color w:val="auto"/>
              </w:rPr>
              <w:t>2,450</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capital in excess of par value</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(5,476)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(2,437)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-419100</wp:posOffset>
            </wp:positionV>
            <wp:extent cx="12890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-419100</wp:posOffset>
            </wp:positionV>
            <wp:extent cx="10287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-419100</wp:posOffset>
            </wp:positionV>
            <wp:extent cx="378904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Income Taxes – (continued)</w:t>
      </w:r>
    </w:p>
    <w:p>
      <w:pPr>
        <w:spacing w:after="0" w:line="229"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For the tax years ended December 31, 2020, December 31, 2019, December 31, 2018, the tax basis components of distributable earnings were as follows (dollars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Tax year ended</w:t>
            </w:r>
          </w:p>
        </w:tc>
        <w:tc>
          <w:tcPr>
            <w:tcW w:w="1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Tax year ended</w:t>
            </w:r>
          </w:p>
        </w:tc>
        <w:tc>
          <w:tcPr>
            <w:tcW w:w="1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Tax year ended</w:t>
            </w:r>
          </w:p>
        </w:tc>
      </w:tr>
      <w:tr>
        <w:trPr>
          <w:trHeight w:val="162"/>
        </w:trPr>
        <w:tc>
          <w:tcPr>
            <w:tcW w:w="4880" w:type="dxa"/>
            <w:vAlign w:val="bottom"/>
          </w:tcPr>
          <w:p>
            <w:pPr>
              <w:spacing w:after="0"/>
              <w:rPr>
                <w:sz w:val="14"/>
                <w:szCs w:val="14"/>
                <w:color w:val="auto"/>
              </w:rPr>
            </w:pPr>
          </w:p>
        </w:tc>
        <w:tc>
          <w:tcPr>
            <w:tcW w:w="1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1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1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48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Undistributed ordinary income</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1"/>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1"/>
              <w:spacing w:after="0" w:line="196" w:lineRule="exact"/>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Accumulated capital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0"/>
              </w:rPr>
              <w:t>(111,734)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w w:val="89"/>
              </w:rPr>
              <w:t>(79,063)</w:t>
            </w:r>
          </w:p>
        </w:tc>
        <w:tc>
          <w:tcPr>
            <w:tcW w:w="2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appreciation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6,519</w:t>
            </w:r>
          </w:p>
        </w:tc>
        <w:tc>
          <w:tcPr>
            <w:tcW w:w="200" w:type="dxa"/>
            <w:vAlign w:val="bottom"/>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9"/>
                <w:szCs w:val="19"/>
                <w:color w:val="auto"/>
              </w:rPr>
            </w:pPr>
          </w:p>
        </w:tc>
      </w:tr>
      <w:tr>
        <w:trPr>
          <w:trHeight w:val="209"/>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(141,424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(110,799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(72,138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5789295</wp:posOffset>
            </wp:positionH>
            <wp:positionV relativeFrom="paragraph">
              <wp:posOffset>-170815</wp:posOffset>
            </wp:positionV>
            <wp:extent cx="22288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456882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-728345</wp:posOffset>
            </wp:positionV>
            <wp:extent cx="1371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-728345</wp:posOffset>
            </wp:positionV>
            <wp:extent cx="10287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-728345</wp:posOffset>
            </wp:positionV>
            <wp:extent cx="378904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Capital losses in excess of capital gains earned in a tax year may generally be carried forward and used to offset capital gains, subject to certain limitations. Under the Regulated Investment Company Modernization Act of 2010, capital losses incurred after September 30, 2011 will not be subject to expiration. As of December 31, 2020, the Company has a short-term capital loss carry forward of $16.7 million and a long-term capital loss carry forward of $95.0 million.</w:t>
      </w:r>
    </w:p>
    <w:p>
      <w:pPr>
        <w:spacing w:after="0" w:line="122"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Taxable income generally differs from net increase (decrease) in net assets resulting from operations for financial reporting purposes due to temporary and permanent differences in the recognition of income and expenses and generally excludes unrealized appreciation (depreciation) on investments as investment gains and losses are not included in taxable income until they are realized.</w:t>
      </w:r>
    </w:p>
    <w:p>
      <w:pPr>
        <w:spacing w:after="0" w:line="107"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 following table reconciles net increase (decrease) in net assets resulting from operations to taxable income for the tax periods ended December 31, 2020, December 31, 2019, and December 31, 2018 (dollars in thousands):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Tax year ended</w:t>
            </w: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Tax year ended</w:t>
            </w:r>
          </w:p>
        </w:tc>
        <w:tc>
          <w:tcPr>
            <w:tcW w:w="1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Tax year ended</w:t>
            </w:r>
          </w:p>
        </w:tc>
      </w:tr>
      <w:tr>
        <w:trPr>
          <w:trHeight w:val="162"/>
        </w:trPr>
        <w:tc>
          <w:tcPr>
            <w:tcW w:w="4880" w:type="dxa"/>
            <w:vAlign w:val="bottom"/>
          </w:tcPr>
          <w:p>
            <w:pPr>
              <w:spacing w:after="0"/>
              <w:rPr>
                <w:sz w:val="14"/>
                <w:szCs w:val="14"/>
                <w:color w:val="auto"/>
              </w:rPr>
            </w:pPr>
          </w:p>
        </w:tc>
        <w:tc>
          <w:tcPr>
            <w:tcW w:w="1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1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4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decrease in net assets resulting from operations</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2"/>
              </w:rPr>
              <w:t>(35,447)</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$(27,647)</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89"/>
              </w:rPr>
              <w:t>(16,026)</w:t>
            </w:r>
          </w:p>
        </w:tc>
        <w:tc>
          <w:tcPr>
            <w:tcW w:w="200" w:type="dxa"/>
            <w:vAlign w:val="bottom"/>
            <w:shd w:val="clear" w:color="auto" w:fill="CCEEFF"/>
          </w:tcPr>
          <w:p>
            <w:pPr>
              <w:spacing w:after="0"/>
              <w:rPr>
                <w:sz w:val="17"/>
                <w:szCs w:val="17"/>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11,611</w:t>
            </w:r>
          </w:p>
        </w:tc>
        <w:tc>
          <w:tcPr>
            <w:tcW w:w="16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20,306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20"/>
                <w:szCs w:val="20"/>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16,561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16,246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34,985</w:t>
            </w:r>
          </w:p>
        </w:tc>
        <w:tc>
          <w:tcPr>
            <w:tcW w:w="2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Tax provision (benefit)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(1,916)</w:t>
            </w:r>
          </w:p>
        </w:tc>
        <w:tc>
          <w:tcPr>
            <w:tcW w:w="200" w:type="dxa"/>
            <w:vAlign w:val="bottom"/>
          </w:tcPr>
          <w:p>
            <w:pPr>
              <w:spacing w:after="0"/>
              <w:rPr>
                <w:sz w:val="18"/>
                <w:szCs w:val="18"/>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deductions for book in excess of deductions for tax</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7,930</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(9,051)</w:t>
            </w:r>
          </w:p>
        </w:tc>
        <w:tc>
          <w:tcPr>
            <w:tcW w:w="200" w:type="dxa"/>
            <w:vAlign w:val="bottom"/>
            <w:shd w:val="clear" w:color="auto" w:fill="CCEEFF"/>
          </w:tcPr>
          <w:p>
            <w:pPr>
              <w:spacing w:after="0"/>
              <w:rPr>
                <w:sz w:val="19"/>
                <w:szCs w:val="19"/>
                <w:color w:val="auto"/>
              </w:rPr>
            </w:pPr>
          </w:p>
        </w:tc>
      </w:tr>
      <w:tr>
        <w:trPr>
          <w:trHeight w:val="210"/>
        </w:trPr>
        <w:tc>
          <w:tcPr>
            <w:tcW w:w="4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taxable income</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$ 12,436</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-1010920</wp:posOffset>
            </wp:positionV>
            <wp:extent cx="13716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-1010920</wp:posOffset>
            </wp:positionV>
            <wp:extent cx="10287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-1010920</wp:posOffset>
            </wp:positionV>
            <wp:extent cx="378904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For income tax purposes, distributions paid to stockholders are reported as ordinary income, return of capital, long term capital gains or a combination thereof. The tax character of distributions paid for the tax periods ended December 31, 2020, December 31, 2019, and December 31, 2018 (dollars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Tax year ended</w:t>
            </w: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Tax year ended</w:t>
            </w: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Tax Year ended</w:t>
            </w:r>
          </w:p>
        </w:tc>
      </w:tr>
      <w:tr>
        <w:trPr>
          <w:trHeight w:val="162"/>
        </w:trPr>
        <w:tc>
          <w:tcPr>
            <w:tcW w:w="4840" w:type="dxa"/>
            <w:vAlign w:val="bottom"/>
          </w:tcPr>
          <w:p>
            <w:pPr>
              <w:spacing w:after="0"/>
              <w:rPr>
                <w:sz w:val="14"/>
                <w:szCs w:val="14"/>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r>
      <w:tr>
        <w:trPr>
          <w:trHeight w:val="185"/>
        </w:trPr>
        <w:tc>
          <w:tcPr>
            <w:tcW w:w="4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ind w:left="12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Ordinary income</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$13,451</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$15,986</w:t>
            </w:r>
          </w:p>
        </w:tc>
        <w:tc>
          <w:tcPr>
            <w:tcW w:w="200" w:type="dxa"/>
            <w:vAlign w:val="bottom"/>
            <w:shd w:val="clear" w:color="auto" w:fill="CCEEFF"/>
          </w:tcPr>
          <w:p>
            <w:pPr>
              <w:spacing w:after="0"/>
              <w:rPr>
                <w:sz w:val="17"/>
                <w:szCs w:val="17"/>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Return of capital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3,398</w:t>
            </w:r>
          </w:p>
        </w:tc>
        <w:tc>
          <w:tcPr>
            <w:tcW w:w="16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2,659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16,110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-170815</wp:posOffset>
            </wp:positionV>
            <wp:extent cx="25717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457771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-453390</wp:posOffset>
            </wp:positionV>
            <wp:extent cx="13716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-453390</wp:posOffset>
            </wp:positionV>
            <wp:extent cx="10287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-453390</wp:posOffset>
            </wp:positionV>
            <wp:extent cx="37719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For U.S. federal income tax purposes, as of December 31, 2020, the aggregate net unrealized depreciation for all securities was $(23.4) million. As of December 31, 2020, gross unrealized appreciation was $14.3 million and gross unrealized depreciation was $(37.7) million. The aggregate cost of securities for U.S. federal income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Income Taxes – (continued)</w:t>
      </w:r>
    </w:p>
    <w:p>
      <w:pPr>
        <w:spacing w:after="0" w:line="229"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tax purposes was $298.1 million as of December 31, 2020. For U.S. federal income tax purposes, as of December 31, 2019, the aggregate net unrealized depreciation for all securities was $(9.2) million. As of December 31, 2019, gross unrealized appreciation was $7.7 million and gross unrealized depreciation was $(16.9) million. The aggregate cost of securities for U.S. federal income tax purposes was $371.7 million as of December 31, 2019.</w:t>
      </w:r>
    </w:p>
    <w:p>
      <w:pPr>
        <w:spacing w:after="0" w:line="107"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The Company has formed and expects to continue to form certain Taxable Subsidiaries, which are taxed as corporations for income tax purposes. These Taxable Subsidiaries allow the Company to make equity investments in companies organized as pass-through entities while continuing to satisfy the requirements of a RIC under the Code. The Taxable Subsidiaries are wholly owned consolidated subsidiaries of the Company.</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Company acquired the non-controlling interest in Print Direction, Inc. on December 1, 2017 and converted the entity to CPTA Master Blocker, Inc. (Georgia), retaining its net operating losses in the transaction pursuant to Section 382 of the Code. As of December 31, 2020, the Taxable Subsidiaries had net operating losses for U.S. federal income tax purposes of approximately $13.7 million. If not utilized, $6.1 million of these net operating losses will expire in the year ended December 31, 2037, $1.5 million of these net operating losses will expire in the year ended December 31, 2036, and $6.1 million of these net operating losses have no expiration.</w:t>
      </w:r>
    </w:p>
    <w:p>
      <w:pPr>
        <w:spacing w:after="0" w:line="127"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Deferred U.S. federal income taxes reflect the net tax effect of temporary differences between the carrying amount of assets and liabilities for financial reporting and U.S. federal income tax purposes. Components of deferred tax assets (liabilities) as of December 31, 2020 and 2019 are as follows (dollars in thousands):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5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6"/>
                <w:szCs w:val="16"/>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3,318</w:t>
            </w: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4,033</w:t>
            </w:r>
          </w:p>
        </w:tc>
        <w:tc>
          <w:tcPr>
            <w:tcW w:w="14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loss carryforwards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Other deferred tax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43"/>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(4,621)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(3,166)</w:t>
            </w:r>
          </w:p>
        </w:tc>
      </w:tr>
      <w:tr>
        <w:trPr>
          <w:trHeight w:val="276"/>
        </w:trPr>
        <w:tc>
          <w:tcPr>
            <w:tcW w:w="538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1,115</w:t>
            </w:r>
          </w:p>
        </w:tc>
        <w:tc>
          <w:tcPr>
            <w:tcW w:w="140" w:type="dxa"/>
            <w:vAlign w:val="bottom"/>
            <w:tcBorders>
              <w:top w:val="single" w:sz="8" w:color="CCEEFF"/>
              <w:bottom w:val="single" w:sz="8" w:color="CCEEFF"/>
            </w:tcBorders>
          </w:tcPr>
          <w:p>
            <w:pPr>
              <w:spacing w:after="0"/>
              <w:rPr>
                <w:sz w:val="24"/>
                <w:szCs w:val="24"/>
                <w:color w:val="auto"/>
              </w:rPr>
            </w:pPr>
          </w:p>
        </w:tc>
      </w:tr>
      <w:tr>
        <w:trPr>
          <w:trHeight w:val="156"/>
        </w:trPr>
        <w:tc>
          <w:tcPr>
            <w:tcW w:w="53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Net unrealized depreciation on investments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(1,115)</w:t>
            </w:r>
          </w:p>
        </w:tc>
      </w:tr>
      <w:tr>
        <w:trPr>
          <w:trHeight w:val="243"/>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(1,115)</w:t>
            </w:r>
          </w:p>
        </w:tc>
      </w:tr>
      <w:tr>
        <w:trPr>
          <w:trHeight w:val="20"/>
        </w:trPr>
        <w:tc>
          <w:tcPr>
            <w:tcW w:w="5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4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-1499235</wp:posOffset>
            </wp:positionV>
            <wp:extent cx="421767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At December 31, 2020 and December 31, 2019, the valuation allowance on deferred tax assets was $4.6 million and $3.2 million, respectively, which represents the tax effect of net operating losses that we do not believe we will realize through future taxable income. Any adjustments to the Company’s valuation allowance will depend on estimates of future taxable income and will be made in the period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Income Taxes – (continued)</w:t>
      </w:r>
    </w:p>
    <w:p>
      <w:pPr>
        <w:spacing w:after="0" w:line="229"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Total income tax expense (benefit) differs from the amount computed by applying the federal statutory income tax rate of 21% to net investment loss and net realized and unrealized appreciation (depreciation) on investments for the years ended December 31, 2020, 2019, and 2018, are as follows (dollars in thousands):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10"/>
          </w:tcPr>
          <w:p>
            <w:pPr>
              <w:jc w:val="center"/>
              <w:ind w:right="700"/>
              <w:spacing w:after="0"/>
              <w:rPr>
                <w:sz w:val="20"/>
                <w:szCs w:val="20"/>
                <w:color w:val="auto"/>
              </w:rPr>
            </w:pPr>
            <w:r>
              <w:rPr>
                <w:rFonts w:ascii="Arial" w:cs="Arial" w:eastAsia="Arial" w:hAnsi="Arial"/>
                <w:sz w:val="14"/>
                <w:szCs w:val="14"/>
                <w:b w:val="1"/>
                <w:bCs w:val="1"/>
                <w:color w:val="auto"/>
                <w:w w:val="87"/>
              </w:rPr>
              <w:t>For the years ended</w:t>
            </w:r>
          </w:p>
        </w:tc>
      </w:tr>
      <w:tr>
        <w:trPr>
          <w:trHeight w:val="166"/>
        </w:trPr>
        <w:tc>
          <w:tcPr>
            <w:tcW w:w="472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92"/>
        </w:trPr>
        <w:tc>
          <w:tcPr>
            <w:tcW w:w="4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statutory rates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(1,742)</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$(1,447)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State income tax benefit, net of federal benefit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(266)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unrealized depreciation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1"/>
              </w:rPr>
              <w:t>(1,366)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adjustments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Revaluation for state rate change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43"/>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1"/>
                <w:szCs w:val="21"/>
                <w:color w:val="auto"/>
              </w:rPr>
            </w:pPr>
          </w:p>
        </w:tc>
      </w:tr>
      <w:tr>
        <w:trPr>
          <w:trHeight w:val="23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tax provision (benefit),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5686425</wp:posOffset>
            </wp:positionH>
            <wp:positionV relativeFrom="paragraph">
              <wp:posOffset>-187960</wp:posOffset>
            </wp:positionV>
            <wp:extent cx="9461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-187960</wp:posOffset>
            </wp:positionV>
            <wp:extent cx="429450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-1036320</wp:posOffset>
            </wp:positionV>
            <wp:extent cx="6858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-1036320</wp:posOffset>
            </wp:positionV>
            <wp:extent cx="360045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For the years ended December 31, 2020, 2019 and 2018, the components of the Company’s tax provision (benefit) include the following:</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10"/>
          </w:tcPr>
          <w:p>
            <w:pPr>
              <w:jc w:val="center"/>
              <w:ind w:right="700"/>
              <w:spacing w:after="0"/>
              <w:rPr>
                <w:sz w:val="20"/>
                <w:szCs w:val="20"/>
                <w:color w:val="auto"/>
              </w:rPr>
            </w:pPr>
            <w:r>
              <w:rPr>
                <w:rFonts w:ascii="Arial" w:cs="Arial" w:eastAsia="Arial" w:hAnsi="Arial"/>
                <w:sz w:val="14"/>
                <w:szCs w:val="14"/>
                <w:b w:val="1"/>
                <w:bCs w:val="1"/>
                <w:color w:val="auto"/>
                <w:w w:val="87"/>
              </w:rPr>
              <w:t>For the years ended</w:t>
            </w:r>
          </w:p>
        </w:tc>
      </w:tr>
      <w:tr>
        <w:trPr>
          <w:trHeight w:val="166"/>
        </w:trPr>
        <w:tc>
          <w:tcPr>
            <w:tcW w:w="472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92"/>
        </w:trPr>
        <w:tc>
          <w:tcPr>
            <w:tcW w:w="4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r>
      <w:tr>
        <w:trPr>
          <w:trHeight w:val="215"/>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w w:val="91"/>
              </w:rPr>
              <w:t>(1,297)</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(1,862)</w:t>
            </w: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$(1,615)</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r>
      <w:tr>
        <w:trPr>
          <w:trHeight w:val="243"/>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valuation allowance</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1"/>
                <w:szCs w:val="21"/>
                <w:color w:val="auto"/>
              </w:rPr>
            </w:pP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tax provision (benefit),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5686425</wp:posOffset>
            </wp:positionH>
            <wp:positionV relativeFrom="paragraph">
              <wp:posOffset>-187960</wp:posOffset>
            </wp:positionV>
            <wp:extent cx="9461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-187960</wp:posOffset>
            </wp:positionV>
            <wp:extent cx="429450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-762635</wp:posOffset>
            </wp:positionV>
            <wp:extent cx="6858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-762635</wp:posOffset>
            </wp:positionV>
            <wp:extent cx="360045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Directors’ Fees</w:t>
      </w:r>
    </w:p>
    <w:p>
      <w:pPr>
        <w:spacing w:after="0" w:line="148" w:lineRule="exact"/>
        <w:rPr>
          <w:sz w:val="20"/>
          <w:szCs w:val="20"/>
          <w:color w:val="auto"/>
        </w:rPr>
      </w:pPr>
    </w:p>
    <w:p>
      <w:pPr>
        <w:jc w:val="both"/>
        <w:ind w:left="1260" w:right="419" w:firstLine="360"/>
        <w:spacing w:after="0" w:line="237" w:lineRule="auto"/>
        <w:rPr>
          <w:sz w:val="20"/>
          <w:szCs w:val="20"/>
          <w:color w:val="auto"/>
        </w:rPr>
      </w:pPr>
      <w:r>
        <w:rPr>
          <w:rFonts w:ascii="Arial" w:cs="Arial" w:eastAsia="Arial" w:hAnsi="Arial"/>
          <w:sz w:val="18"/>
          <w:szCs w:val="18"/>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2020, 2019 and 2018, the Company recognized directors’ fees expense of $0.3 million, $0.4 million, and $0.4 million, respectively. No compensation is expected to be paid to directors who are “interested persons” of the Company, as such term is defined in Section 2(a)(19) of the 1940 Act. Effective April 1, 2020, the Company’s Independent Directors have agreed to waive 20% of the fees due to them for the remainder of the fiscal year ending December 31, 2020 due to the impact of the COVID-19 pandemic.</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Stockholders’ Equity</w:t>
      </w:r>
    </w:p>
    <w:p>
      <w:pPr>
        <w:spacing w:after="0" w:line="148"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On September 24, 2013, we issued 8,974,420 shares of common stock to the limited partners of the Legacy Funds, in exchange for 100% of their membership interests or certain investment assets of such Legacy Funds,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w:t>
      </w:r>
    </w:p>
    <w:p>
      <w:pPr>
        <w:spacing w:after="0" w:line="122"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Stockholders’ Equity – (continued)</w:t>
      </w:r>
    </w:p>
    <w:p>
      <w:pPr>
        <w:spacing w:after="0" w:line="229"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On August 21, 2020, the Company effectuated a one-for-six reverse stock split of shares of the Company’s common stock. Please see Note 1 for a full description. As of December 31, 2020, the Company had 2,711,068 shares of common stock outstanding.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Earnings Per Share</w:t>
      </w:r>
    </w:p>
    <w:p>
      <w:pPr>
        <w:spacing w:after="0" w:line="148" w:lineRule="exact"/>
        <w:rPr>
          <w:sz w:val="20"/>
          <w:szCs w:val="20"/>
          <w:color w:val="auto"/>
        </w:rPr>
      </w:pPr>
    </w:p>
    <w:p>
      <w:pPr>
        <w:jc w:val="both"/>
        <w:ind w:left="1260" w:right="419" w:firstLine="360"/>
        <w:spacing w:after="0" w:line="273" w:lineRule="auto"/>
        <w:rPr>
          <w:sz w:val="20"/>
          <w:szCs w:val="20"/>
          <w:color w:val="auto"/>
        </w:rPr>
      </w:pPr>
      <w:r>
        <w:rPr>
          <w:rFonts w:ascii="Arial" w:cs="Arial" w:eastAsia="Arial" w:hAnsi="Arial"/>
          <w:sz w:val="17"/>
          <w:szCs w:val="17"/>
          <w:color w:val="auto"/>
        </w:rPr>
        <w:t xml:space="preserve">In accordance with the provisions of ASC Topic 260 —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earnings per share is computed by dividing earnings available to stockholders by the weighted average number of shares of the Company’s common stock outstanding during the period. Other potentially dilutive shares of the Company’s common stock, and the related impact to earnings, are considered when calculating diluted earnings per share. For the years ended December 31, 2020, 2019, and 2018, 0.6 million in convertible shares related to the 2022 Convertible Notes were considered anti-dilutive.</w:t>
      </w:r>
    </w:p>
    <w:p>
      <w:pPr>
        <w:spacing w:after="0" w:line="110"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decrease in net assets per share resulting from operations for the years ended December 31, 2020, 2019 and 2018 (dollars in thousands, except share and per share data):</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8"/>
              </w:rPr>
              <w:t>For the years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86"/>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Basic and diluted</w:t>
            </w:r>
          </w:p>
        </w:tc>
        <w:tc>
          <w:tcPr>
            <w:tcW w:w="10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r>
      <w:tr>
        <w:trPr>
          <w:trHeight w:val="26"/>
        </w:trPr>
        <w:tc>
          <w:tcPr>
            <w:tcW w:w="4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(35,447)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40" w:type="dxa"/>
            <w:vAlign w:val="bottom"/>
          </w:tcPr>
          <w:p>
            <w:pPr>
              <w:spacing w:after="0"/>
              <w:rPr>
                <w:sz w:val="21"/>
                <w:szCs w:val="21"/>
                <w:color w:val="auto"/>
              </w:rPr>
            </w:pPr>
          </w:p>
        </w:tc>
      </w:tr>
      <w:tr>
        <w:trPr>
          <w:trHeight w:val="205"/>
        </w:trPr>
        <w:tc>
          <w:tcPr>
            <w:tcW w:w="4560" w:type="dxa"/>
            <w:vAlign w:val="bottom"/>
            <w:gridSpan w:val="2"/>
          </w:tcPr>
          <w:p>
            <w:pPr>
              <w:spacing w:after="0" w:line="205" w:lineRule="exact"/>
              <w:rPr>
                <w:sz w:val="20"/>
                <w:szCs w:val="20"/>
                <w:color w:val="auto"/>
              </w:rPr>
            </w:pPr>
            <w:r>
              <w:rPr>
                <w:rFonts w:ascii="Arial" w:cs="Arial" w:eastAsia="Arial" w:hAnsi="Arial"/>
                <w:sz w:val="18"/>
                <w:szCs w:val="18"/>
                <w:color w:val="auto"/>
                <w:w w:val="98"/>
              </w:rPr>
              <w:t>Weighted average common stock outstanding – basic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81"/>
        </w:trPr>
        <w:tc>
          <w:tcPr>
            <w:tcW w:w="456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diluted</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2,709,169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2,686,287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2,665,573</w:t>
            </w:r>
          </w:p>
        </w:tc>
        <w:tc>
          <w:tcPr>
            <w:tcW w:w="40" w:type="dxa"/>
            <w:vAlign w:val="bottom"/>
          </w:tcPr>
          <w:p>
            <w:pPr>
              <w:spacing w:after="0"/>
              <w:rPr>
                <w:sz w:val="24"/>
                <w:szCs w:val="24"/>
                <w:color w:val="auto"/>
              </w:rPr>
            </w:pPr>
          </w:p>
        </w:tc>
      </w:tr>
      <w:tr>
        <w:trPr>
          <w:trHeight w:val="205"/>
        </w:trPr>
        <w:tc>
          <w:tcPr>
            <w:tcW w:w="45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Net decrease in net assets per share resulting from</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81"/>
        </w:trPr>
        <w:tc>
          <w:tcPr>
            <w:tcW w:w="456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operations – basic and diluted</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-788035</wp:posOffset>
            </wp:positionV>
            <wp:extent cx="12001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-788035</wp:posOffset>
            </wp:positionV>
            <wp:extent cx="12001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-788035</wp:posOffset>
            </wp:positionV>
            <wp:extent cx="12001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162560</wp:posOffset>
            </wp:positionV>
            <wp:extent cx="123444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8" w:lineRule="exact"/>
        <w:rPr>
          <w:sz w:val="20"/>
          <w:szCs w:val="20"/>
          <w:color w:val="auto"/>
        </w:rPr>
      </w:pPr>
    </w:p>
    <w:p>
      <w:pPr>
        <w:jc w:val="both"/>
        <w:ind w:left="1980" w:right="419" w:hanging="360"/>
        <w:spacing w:after="0" w:line="263"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Basic and diluted shares of the Company’s common stock have been adjusted for the periods shown to reflect the one-for-six reverse stock split effected on August 21, 2020 on a retroactive basis, as described in Note 1.</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Distributions</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the Company’s common stock, or a combination of cash and shares of common stock.</w:t>
      </w:r>
    </w:p>
    <w:p>
      <w:pPr>
        <w:spacing w:after="0" w:line="103"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On April 30, 2020, July 30, 2020, and October 29, 2020 the Company’s Board determined not to declare a distribution for the second quarter, third quarter, or fourth quarter, respectively, due to the impact of the COVID-19 pandemic on the Company’s expected net investment income. Tax characteristics of all distributions paid are reported to stockholders on Form 1099 after the end of the calendar year. For the year ended December 31, 2020, we estimate that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 For the year ended December 31, 2018, total distributions of $16.0 million were comprised 100% of ordinary income.</w:t>
      </w: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Distributions –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tables  summarize  the  Company’s  distribution  declarations  for  the  years  ended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2019 and 2018 (in thousands, except share and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rPr>
              <w:t>DRIP</w:t>
            </w:r>
          </w:p>
        </w:tc>
        <w:tc>
          <w:tcPr>
            <w:tcW w:w="600" w:type="dxa"/>
            <w:vAlign w:val="bottom"/>
          </w:tcPr>
          <w:p>
            <w:pPr>
              <w:jc w:val="center"/>
              <w:ind w:left="148"/>
              <w:spacing w:after="0"/>
              <w:rPr>
                <w:sz w:val="20"/>
                <w:szCs w:val="20"/>
                <w:color w:val="auto"/>
              </w:rPr>
            </w:pPr>
            <w:r>
              <w:rPr>
                <w:rFonts w:ascii="Arial" w:cs="Arial" w:eastAsia="Arial" w:hAnsi="Arial"/>
                <w:sz w:val="14"/>
                <w:szCs w:val="14"/>
                <w:b w:val="1"/>
                <w:bCs w:val="1"/>
                <w:color w:val="auto"/>
              </w:rPr>
              <w:t>DRIP</w:t>
            </w:r>
          </w:p>
        </w:tc>
      </w:tr>
      <w:tr>
        <w:trPr>
          <w:trHeight w:val="158"/>
        </w:trPr>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7"/>
              </w:rPr>
              <w:t>Cash</w:t>
            </w:r>
          </w:p>
        </w:tc>
        <w:tc>
          <w:tcPr>
            <w:tcW w:w="84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jc w:val="center"/>
              <w:ind w:left="148"/>
              <w:spacing w:after="0" w:line="158" w:lineRule="exact"/>
              <w:rPr>
                <w:sz w:val="20"/>
                <w:szCs w:val="20"/>
                <w:color w:val="auto"/>
              </w:rPr>
            </w:pPr>
            <w:r>
              <w:rPr>
                <w:rFonts w:ascii="Arial" w:cs="Arial" w:eastAsia="Arial" w:hAnsi="Arial"/>
                <w:sz w:val="14"/>
                <w:szCs w:val="14"/>
                <w:b w:val="1"/>
                <w:bCs w:val="1"/>
                <w:color w:val="auto"/>
                <w:w w:val="87"/>
              </w:rPr>
              <w:t>Share</w:t>
            </w:r>
          </w:p>
        </w:tc>
      </w:tr>
      <w:tr>
        <w:trPr>
          <w:trHeight w:val="216"/>
        </w:trPr>
        <w:tc>
          <w:tcPr>
            <w:tcW w:w="140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720" w:type="dxa"/>
            <w:vAlign w:val="bottom"/>
          </w:tcPr>
          <w:p>
            <w:pPr>
              <w:ind w:left="560"/>
              <w:spacing w:after="0"/>
              <w:rPr>
                <w:sz w:val="20"/>
                <w:szCs w:val="20"/>
                <w:color w:val="auto"/>
              </w:rPr>
            </w:pPr>
            <w:r>
              <w:rPr>
                <w:rFonts w:ascii="Arial" w:cs="Arial" w:eastAsia="Arial" w:hAnsi="Arial"/>
                <w:sz w:val="14"/>
                <w:szCs w:val="14"/>
                <w:b w:val="1"/>
                <w:bCs w:val="1"/>
                <w:color w:val="auto"/>
              </w:rPr>
              <w:t>Record Date</w:t>
            </w:r>
          </w:p>
        </w:tc>
        <w:tc>
          <w:tcPr>
            <w:tcW w:w="1480" w:type="dxa"/>
            <w:vAlign w:val="bottom"/>
          </w:tcPr>
          <w:p>
            <w:pPr>
              <w:ind w:left="420"/>
              <w:spacing w:after="0"/>
              <w:rPr>
                <w:sz w:val="20"/>
                <w:szCs w:val="20"/>
                <w:color w:val="auto"/>
              </w:rPr>
            </w:pPr>
            <w:r>
              <w:rPr>
                <w:rFonts w:ascii="Arial" w:cs="Arial" w:eastAsia="Arial" w:hAnsi="Arial"/>
                <w:sz w:val="14"/>
                <w:szCs w:val="14"/>
                <w:b w:val="1"/>
                <w:bCs w:val="1"/>
                <w:color w:val="auto"/>
              </w:rPr>
              <w:t>Payment Date</w:t>
            </w:r>
          </w:p>
        </w:tc>
        <w:tc>
          <w:tcPr>
            <w:tcW w:w="1020" w:type="dxa"/>
            <w:vAlign w:val="bottom"/>
          </w:tcPr>
          <w:p>
            <w:pPr>
              <w:jc w:val="center"/>
              <w:ind w:left="88"/>
              <w:spacing w:after="0" w:line="216" w:lineRule="exact"/>
              <w:rPr>
                <w:sz w:val="20"/>
                <w:szCs w:val="20"/>
                <w:color w:val="auto"/>
              </w:rPr>
            </w:pPr>
            <w:r>
              <w:rPr>
                <w:rFonts w:ascii="Arial" w:cs="Arial" w:eastAsia="Arial" w:hAnsi="Arial"/>
                <w:sz w:val="14"/>
                <w:szCs w:val="14"/>
                <w:b w:val="1"/>
                <w:bCs w:val="1"/>
                <w:color w:val="auto"/>
                <w:w w:val="84"/>
              </w:rPr>
              <w:t>Per Share</w:t>
            </w:r>
            <w:r>
              <w:rPr>
                <w:rFonts w:ascii="Arial" w:cs="Arial" w:eastAsia="Arial" w:hAnsi="Arial"/>
                <w:sz w:val="21"/>
                <w:szCs w:val="21"/>
                <w:b w:val="1"/>
                <w:bCs w:val="1"/>
                <w:color w:val="auto"/>
                <w:w w:val="84"/>
                <w:vertAlign w:val="superscript"/>
              </w:rPr>
              <w:t>(1)</w:t>
            </w: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Distribution</w:t>
            </w:r>
          </w:p>
        </w:tc>
        <w:tc>
          <w:tcPr>
            <w:tcW w:w="840" w:type="dxa"/>
            <w:vAlign w:val="bottom"/>
          </w:tcPr>
          <w:p>
            <w:pPr>
              <w:jc w:val="center"/>
              <w:ind w:right="28"/>
              <w:spacing w:after="0" w:line="216" w:lineRule="exact"/>
              <w:rPr>
                <w:sz w:val="20"/>
                <w:szCs w:val="20"/>
                <w:color w:val="auto"/>
              </w:rPr>
            </w:pPr>
            <w:r>
              <w:rPr>
                <w:rFonts w:ascii="Arial" w:cs="Arial" w:eastAsia="Arial" w:hAnsi="Arial"/>
                <w:sz w:val="14"/>
                <w:szCs w:val="14"/>
                <w:b w:val="1"/>
                <w:bCs w:val="1"/>
                <w:color w:val="auto"/>
                <w:w w:val="81"/>
              </w:rPr>
              <w:t>Issued</w:t>
            </w:r>
            <w:r>
              <w:rPr>
                <w:rFonts w:ascii="Arial" w:cs="Arial" w:eastAsia="Arial" w:hAnsi="Arial"/>
                <w:sz w:val="21"/>
                <w:szCs w:val="21"/>
                <w:b w:val="1"/>
                <w:bCs w:val="1"/>
                <w:color w:val="auto"/>
                <w:w w:val="81"/>
                <w:vertAlign w:val="superscript"/>
              </w:rPr>
              <w:t>(1)</w:t>
            </w:r>
          </w:p>
        </w:tc>
        <w:tc>
          <w:tcPr>
            <w:tcW w:w="60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0</wp:posOffset>
            </wp:positionV>
            <wp:extent cx="685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0</wp:posOffset>
            </wp:positionV>
            <wp:extent cx="685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0</wp:posOffset>
            </wp:positionV>
            <wp:extent cx="6858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0</wp:posOffset>
            </wp:positionV>
            <wp:extent cx="685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0</wp:posOffset>
            </wp:positionV>
            <wp:extent cx="6858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0</wp:posOffset>
            </wp:positionV>
            <wp:extent cx="6858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96"/>
        </w:trPr>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2, 2020</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January 24, 2020</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30, 2020</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$ 119</w:t>
            </w:r>
          </w:p>
        </w:tc>
        <w:tc>
          <w:tcPr>
            <w:tcW w:w="160" w:type="dxa"/>
            <w:vAlign w:val="bottom"/>
            <w:tcBorders>
              <w:top w:val="single" w:sz="8" w:color="auto"/>
            </w:tcBorders>
            <w:shd w:val="clear" w:color="auto" w:fill="CCEEFF"/>
          </w:tcPr>
          <w:p>
            <w:pPr>
              <w:spacing w:after="0"/>
              <w:rPr>
                <w:sz w:val="17"/>
                <w:szCs w:val="17"/>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January 2, 2020</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February 20, 2020</w:t>
            </w:r>
          </w:p>
        </w:tc>
        <w:tc>
          <w:tcPr>
            <w:tcW w:w="1520" w:type="dxa"/>
            <w:vAlign w:val="bottom"/>
          </w:tcPr>
          <w:p>
            <w:pPr>
              <w:spacing w:after="0"/>
              <w:rPr>
                <w:sz w:val="20"/>
                <w:szCs w:val="20"/>
                <w:color w:val="auto"/>
              </w:rPr>
            </w:pPr>
            <w:r>
              <w:rPr>
                <w:rFonts w:ascii="Arial" w:cs="Arial" w:eastAsia="Arial" w:hAnsi="Arial"/>
                <w:sz w:val="16"/>
                <w:szCs w:val="16"/>
                <w:color w:val="auto"/>
              </w:rPr>
              <w:t>February 27, 2020</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1,229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2,760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w w:val="82"/>
              </w:rPr>
              <w:t>122</w:t>
            </w:r>
          </w:p>
        </w:tc>
        <w:tc>
          <w:tcPr>
            <w:tcW w:w="160" w:type="dxa"/>
            <w:vAlign w:val="bottom"/>
          </w:tcPr>
          <w:p>
            <w:pPr>
              <w:spacing w:after="0"/>
              <w:rPr>
                <w:sz w:val="17"/>
                <w:szCs w:val="17"/>
                <w:color w:val="auto"/>
              </w:rPr>
            </w:pPr>
          </w:p>
        </w:tc>
      </w:tr>
      <w:tr>
        <w:trPr>
          <w:trHeight w:val="227"/>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January 2, 2020</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March 23, 2020</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March 30, 2020</w:t>
            </w:r>
          </w:p>
        </w:tc>
        <w:tc>
          <w:tcPr>
            <w:tcW w:w="280" w:type="dxa"/>
            <w:vAlign w:val="bottom"/>
            <w:gridSpan w:val="2"/>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1,259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CEEFF"/>
          </w:tcPr>
          <w:p>
            <w:pPr>
              <w:spacing w:after="0"/>
              <w:rPr>
                <w:sz w:val="19"/>
                <w:szCs w:val="19"/>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3"/>
        </w:trPr>
        <w:tc>
          <w:tcPr>
            <w:tcW w:w="4720" w:type="dxa"/>
            <w:vAlign w:val="bottom"/>
            <w:gridSpan w:val="6"/>
          </w:tcPr>
          <w:p>
            <w:pPr>
              <w:ind w:left="160"/>
              <w:spacing w:after="0"/>
              <w:rPr>
                <w:sz w:val="20"/>
                <w:szCs w:val="20"/>
                <w:color w:val="auto"/>
              </w:rPr>
            </w:pPr>
            <w:r>
              <w:rPr>
                <w:rFonts w:ascii="Arial" w:cs="Arial" w:eastAsia="Arial" w:hAnsi="Arial"/>
                <w:sz w:val="16"/>
                <w:szCs w:val="16"/>
                <w:color w:val="auto"/>
              </w:rPr>
              <w:t>Total Distributions Declared and Distributed for 2020</w:t>
            </w:r>
          </w:p>
        </w:tc>
        <w:tc>
          <w:tcPr>
            <w:tcW w:w="280" w:type="dxa"/>
            <w:vAlign w:val="bottom"/>
            <w:gridSpan w:val="2"/>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10,453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6"/>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334</w:t>
            </w:r>
          </w:p>
        </w:tc>
        <w:tc>
          <w:tcPr>
            <w:tcW w:w="16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3"/>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DRIP</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5"/>
          </w:tcPr>
          <w:p>
            <w:pPr>
              <w:spacing w:after="0"/>
              <w:rPr>
                <w:sz w:val="20"/>
                <w:szCs w:val="20"/>
                <w:color w:val="auto"/>
              </w:rPr>
            </w:pPr>
            <w:r>
              <w:rPr>
                <w:rFonts w:ascii="Arial" w:cs="Arial" w:eastAsia="Arial" w:hAnsi="Arial"/>
                <w:sz w:val="14"/>
                <w:szCs w:val="14"/>
                <w:b w:val="1"/>
                <w:bCs w:val="1"/>
                <w:color w:val="auto"/>
              </w:rPr>
              <w:t>DRIP</w:t>
            </w:r>
          </w:p>
        </w:tc>
      </w:tr>
      <w:tr>
        <w:trPr>
          <w:trHeight w:val="158"/>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Cash</w:t>
            </w:r>
          </w:p>
        </w:tc>
        <w:tc>
          <w:tcPr>
            <w:tcW w:w="140" w:type="dxa"/>
            <w:vAlign w:val="bottom"/>
          </w:tcPr>
          <w:p>
            <w:pPr>
              <w:spacing w:after="0"/>
              <w:rPr>
                <w:sz w:val="13"/>
                <w:szCs w:val="13"/>
                <w:color w:val="auto"/>
              </w:rPr>
            </w:pPr>
          </w:p>
        </w:tc>
        <w:tc>
          <w:tcPr>
            <w:tcW w:w="72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Share</w:t>
            </w:r>
          </w:p>
        </w:tc>
      </w:tr>
      <w:tr>
        <w:trPr>
          <w:trHeight w:val="216"/>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 Date</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3"/>
          </w:tcPr>
          <w:p>
            <w:pPr>
              <w:jc w:val="center"/>
              <w:spacing w:after="0" w:line="216" w:lineRule="exact"/>
              <w:rPr>
                <w:sz w:val="20"/>
                <w:szCs w:val="20"/>
                <w:color w:val="auto"/>
              </w:rPr>
            </w:pPr>
            <w:r>
              <w:rPr>
                <w:rFonts w:ascii="Arial" w:cs="Arial" w:eastAsia="Arial" w:hAnsi="Arial"/>
                <w:sz w:val="14"/>
                <w:szCs w:val="14"/>
                <w:b w:val="1"/>
                <w:bCs w:val="1"/>
                <w:color w:val="auto"/>
                <w:w w:val="84"/>
              </w:rPr>
              <w:t>Per Share</w:t>
            </w:r>
            <w:r>
              <w:rPr>
                <w:rFonts w:ascii="Arial" w:cs="Arial" w:eastAsia="Arial" w:hAnsi="Arial"/>
                <w:sz w:val="21"/>
                <w:szCs w:val="21"/>
                <w:b w:val="1"/>
                <w:bCs w:val="1"/>
                <w:color w:val="auto"/>
                <w:w w:val="84"/>
                <w:vertAlign w:val="superscript"/>
              </w:rPr>
              <w:t>(1)</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Distribution</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4"/>
          </w:tcPr>
          <w:p>
            <w:pPr>
              <w:ind w:left="140"/>
              <w:spacing w:after="0" w:line="216" w:lineRule="exact"/>
              <w:rPr>
                <w:sz w:val="20"/>
                <w:szCs w:val="20"/>
                <w:color w:val="auto"/>
              </w:rPr>
            </w:pPr>
            <w:r>
              <w:rPr>
                <w:rFonts w:ascii="Arial" w:cs="Arial" w:eastAsia="Arial" w:hAnsi="Arial"/>
                <w:sz w:val="14"/>
                <w:szCs w:val="14"/>
                <w:b w:val="1"/>
                <w:bCs w:val="1"/>
                <w:color w:val="auto"/>
                <w:w w:val="97"/>
              </w:rPr>
              <w:t>Issued</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Value</w:t>
            </w:r>
          </w:p>
        </w:tc>
      </w:tr>
      <w:tr>
        <w:trPr>
          <w:trHeight w:val="196"/>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January 2, 2019</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January 24, 2019</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January 30, 2019</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4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81</w:t>
            </w: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January 2, 2019</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February 20, 2019</w:t>
            </w:r>
          </w:p>
        </w:tc>
        <w:tc>
          <w:tcPr>
            <w:tcW w:w="1520" w:type="dxa"/>
            <w:vAlign w:val="bottom"/>
          </w:tcPr>
          <w:p>
            <w:pPr>
              <w:spacing w:after="0"/>
              <w:rPr>
                <w:sz w:val="20"/>
                <w:szCs w:val="20"/>
                <w:color w:val="auto"/>
              </w:rPr>
            </w:pPr>
            <w:r>
              <w:rPr>
                <w:rFonts w:ascii="Arial" w:cs="Arial" w:eastAsia="Arial" w:hAnsi="Arial"/>
                <w:sz w:val="16"/>
                <w:szCs w:val="16"/>
                <w:color w:val="auto"/>
              </w:rPr>
              <w:t>February 27, 2019</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1,253</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1,762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6"/>
                <w:szCs w:val="16"/>
                <w:color w:val="auto"/>
              </w:rPr>
              <w:t>85</w:t>
            </w: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January 2, 2019</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March 21, 2019</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March 28, 2019</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1,959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89</w:t>
            </w: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April 1, 2019</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April 22, 2019</w:t>
            </w:r>
          </w:p>
        </w:tc>
        <w:tc>
          <w:tcPr>
            <w:tcW w:w="1520" w:type="dxa"/>
            <w:vAlign w:val="bottom"/>
          </w:tcPr>
          <w:p>
            <w:pPr>
              <w:spacing w:after="0"/>
              <w:rPr>
                <w:sz w:val="20"/>
                <w:szCs w:val="20"/>
                <w:color w:val="auto"/>
              </w:rPr>
            </w:pPr>
            <w:r>
              <w:rPr>
                <w:rFonts w:ascii="Arial" w:cs="Arial" w:eastAsia="Arial" w:hAnsi="Arial"/>
                <w:sz w:val="16"/>
                <w:szCs w:val="16"/>
                <w:color w:val="auto"/>
              </w:rPr>
              <w:t>April 29, 2019</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1,246</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1,913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6"/>
                <w:szCs w:val="16"/>
                <w:color w:val="auto"/>
              </w:rPr>
              <w:t>94</w:t>
            </w: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April 1, 2019</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May 23, 2019</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May 30, 2019</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1,243</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97</w:t>
            </w: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April 1, 2019</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June 20, 2019</w:t>
            </w:r>
          </w:p>
        </w:tc>
        <w:tc>
          <w:tcPr>
            <w:tcW w:w="1520" w:type="dxa"/>
            <w:vAlign w:val="bottom"/>
          </w:tcPr>
          <w:p>
            <w:pPr>
              <w:spacing w:after="0"/>
              <w:rPr>
                <w:sz w:val="20"/>
                <w:szCs w:val="20"/>
                <w:color w:val="auto"/>
              </w:rPr>
            </w:pPr>
            <w:r>
              <w:rPr>
                <w:rFonts w:ascii="Arial" w:cs="Arial" w:eastAsia="Arial" w:hAnsi="Arial"/>
                <w:sz w:val="16"/>
                <w:szCs w:val="16"/>
                <w:color w:val="auto"/>
              </w:rPr>
              <w:t>June 27, 2019</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1,958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6"/>
                <w:szCs w:val="16"/>
                <w:color w:val="auto"/>
              </w:rPr>
              <w:t>104</w:t>
            </w: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July 1, 2019</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July 23, 2019</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July 30, 2019</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1,237</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1,953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106</w:t>
            </w: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July 1, 2019</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August 22, 2019</w:t>
            </w:r>
          </w:p>
        </w:tc>
        <w:tc>
          <w:tcPr>
            <w:tcW w:w="1520" w:type="dxa"/>
            <w:vAlign w:val="bottom"/>
          </w:tcPr>
          <w:p>
            <w:pPr>
              <w:spacing w:after="0"/>
              <w:rPr>
                <w:sz w:val="20"/>
                <w:szCs w:val="20"/>
                <w:color w:val="auto"/>
              </w:rPr>
            </w:pPr>
            <w:r>
              <w:rPr>
                <w:rFonts w:ascii="Arial" w:cs="Arial" w:eastAsia="Arial" w:hAnsi="Arial"/>
                <w:sz w:val="16"/>
                <w:szCs w:val="16"/>
                <w:color w:val="auto"/>
              </w:rPr>
              <w:t>August 29, 2019</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2,680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6"/>
                <w:szCs w:val="16"/>
                <w:color w:val="auto"/>
              </w:rPr>
              <w:t>113</w:t>
            </w: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July 1, 2019</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September 20, 2019</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September 27, 2019</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1,231</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2,388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114</w:t>
            </w: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October 1, 2019</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October 22, 2019</w:t>
            </w:r>
          </w:p>
        </w:tc>
        <w:tc>
          <w:tcPr>
            <w:tcW w:w="1520" w:type="dxa"/>
            <w:vAlign w:val="bottom"/>
          </w:tcPr>
          <w:p>
            <w:pPr>
              <w:spacing w:after="0"/>
              <w:rPr>
                <w:sz w:val="20"/>
                <w:szCs w:val="20"/>
                <w:color w:val="auto"/>
              </w:rPr>
            </w:pPr>
            <w:r>
              <w:rPr>
                <w:rFonts w:ascii="Arial" w:cs="Arial" w:eastAsia="Arial" w:hAnsi="Arial"/>
                <w:sz w:val="16"/>
                <w:szCs w:val="16"/>
                <w:color w:val="auto"/>
              </w:rPr>
              <w:t>October 29, 2019</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2,413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6"/>
                <w:szCs w:val="16"/>
                <w:color w:val="auto"/>
              </w:rPr>
              <w:t>115</w:t>
            </w: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October 1, 2019</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November 22, 2019</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November 29, 2019</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2,346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113</w:t>
            </w:r>
          </w:p>
        </w:tc>
      </w:tr>
      <w:tr>
        <w:trPr>
          <w:trHeight w:val="240"/>
        </w:trPr>
        <w:tc>
          <w:tcPr>
            <w:tcW w:w="1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October 1, 2019</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December 23, 2019</w:t>
            </w:r>
          </w:p>
        </w:tc>
        <w:tc>
          <w:tcPr>
            <w:tcW w:w="1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December 30, 2019</w:t>
            </w:r>
          </w:p>
        </w:tc>
        <w:tc>
          <w:tcPr>
            <w:tcW w:w="280" w:type="dxa"/>
            <w:vAlign w:val="bottom"/>
            <w:tcBorders>
              <w:bottom w:val="single" w:sz="8" w:color="CCEEFF"/>
            </w:tcBorders>
            <w:gridSpan w:val="2"/>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115</w:t>
            </w:r>
          </w:p>
        </w:tc>
        <w:tc>
          <w:tcPr>
            <w:tcW w:w="160" w:type="dxa"/>
            <w:vAlign w:val="bottom"/>
            <w:tcBorders>
              <w:bottom w:val="single" w:sz="8" w:color="CCEEFF"/>
            </w:tcBorders>
          </w:tcPr>
          <w:p>
            <w:pPr>
              <w:spacing w:after="0"/>
              <w:rPr>
                <w:sz w:val="20"/>
                <w:szCs w:val="20"/>
                <w:color w:val="auto"/>
              </w:rPr>
            </w:pPr>
          </w:p>
        </w:tc>
      </w:tr>
      <w:tr>
        <w:trPr>
          <w:trHeight w:val="237"/>
        </w:trPr>
        <w:tc>
          <w:tcPr>
            <w:tcW w:w="4720" w:type="dxa"/>
            <w:vAlign w:val="bottom"/>
            <w:gridSpan w:val="6"/>
            <w:shd w:val="clear" w:color="auto" w:fill="CCEEFF"/>
          </w:tcPr>
          <w:p>
            <w:pPr>
              <w:ind w:left="160"/>
              <w:spacing w:after="0"/>
              <w:rPr>
                <w:sz w:val="20"/>
                <w:szCs w:val="20"/>
                <w:color w:val="auto"/>
              </w:rPr>
            </w:pPr>
            <w:r>
              <w:rPr>
                <w:rFonts w:ascii="Arial" w:cs="Arial" w:eastAsia="Arial" w:hAnsi="Arial"/>
                <w:sz w:val="16"/>
                <w:szCs w:val="16"/>
                <w:color w:val="auto"/>
              </w:rPr>
              <w:t>Total Distributions Declared and Distributed for 2019</w:t>
            </w:r>
          </w:p>
        </w:tc>
        <w:tc>
          <w:tcPr>
            <w:tcW w:w="280" w:type="dxa"/>
            <w:vAlign w:val="bottom"/>
            <w:gridSpan w:val="2"/>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6.00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14,884</w:t>
            </w: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25,370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7"/>
            <w:shd w:val="clear" w:color="auto" w:fill="CCEEFF"/>
          </w:tcPr>
          <w:p>
            <w:pPr>
              <w:jc w:val="right"/>
              <w:ind w:right="160"/>
              <w:spacing w:after="0"/>
              <w:rPr>
                <w:sz w:val="20"/>
                <w:szCs w:val="20"/>
                <w:color w:val="auto"/>
              </w:rPr>
            </w:pPr>
            <w:r>
              <w:rPr>
                <w:rFonts w:ascii="Arial" w:cs="Arial" w:eastAsia="Arial" w:hAnsi="Arial"/>
                <w:sz w:val="16"/>
                <w:szCs w:val="16"/>
                <w:color w:val="auto"/>
              </w:rPr>
              <w:t>$ 1,226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93"/>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DRIP</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5"/>
          </w:tcPr>
          <w:p>
            <w:pPr>
              <w:spacing w:after="0"/>
              <w:rPr>
                <w:sz w:val="20"/>
                <w:szCs w:val="20"/>
                <w:color w:val="auto"/>
              </w:rPr>
            </w:pPr>
            <w:r>
              <w:rPr>
                <w:rFonts w:ascii="Arial" w:cs="Arial" w:eastAsia="Arial" w:hAnsi="Arial"/>
                <w:sz w:val="14"/>
                <w:szCs w:val="14"/>
                <w:b w:val="1"/>
                <w:bCs w:val="1"/>
                <w:color w:val="auto"/>
              </w:rPr>
              <w:t>DRIP</w:t>
            </w:r>
          </w:p>
        </w:tc>
      </w:tr>
      <w:tr>
        <w:trPr>
          <w:trHeight w:val="158"/>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Cash</w:t>
            </w:r>
          </w:p>
        </w:tc>
        <w:tc>
          <w:tcPr>
            <w:tcW w:w="140" w:type="dxa"/>
            <w:vAlign w:val="bottom"/>
          </w:tcPr>
          <w:p>
            <w:pPr>
              <w:spacing w:after="0"/>
              <w:rPr>
                <w:sz w:val="13"/>
                <w:szCs w:val="13"/>
                <w:color w:val="auto"/>
              </w:rPr>
            </w:pPr>
          </w:p>
        </w:tc>
        <w:tc>
          <w:tcPr>
            <w:tcW w:w="72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Share</w:t>
            </w:r>
          </w:p>
        </w:tc>
      </w:tr>
      <w:tr>
        <w:trPr>
          <w:trHeight w:val="216"/>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 Date</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3"/>
          </w:tcPr>
          <w:p>
            <w:pPr>
              <w:jc w:val="center"/>
              <w:spacing w:after="0" w:line="216" w:lineRule="exact"/>
              <w:rPr>
                <w:sz w:val="20"/>
                <w:szCs w:val="20"/>
                <w:color w:val="auto"/>
              </w:rPr>
            </w:pPr>
            <w:r>
              <w:rPr>
                <w:rFonts w:ascii="Arial" w:cs="Arial" w:eastAsia="Arial" w:hAnsi="Arial"/>
                <w:sz w:val="14"/>
                <w:szCs w:val="14"/>
                <w:b w:val="1"/>
                <w:bCs w:val="1"/>
                <w:color w:val="auto"/>
                <w:w w:val="84"/>
              </w:rPr>
              <w:t>Per Share</w:t>
            </w:r>
            <w:r>
              <w:rPr>
                <w:rFonts w:ascii="Arial" w:cs="Arial" w:eastAsia="Arial" w:hAnsi="Arial"/>
                <w:sz w:val="21"/>
                <w:szCs w:val="21"/>
                <w:b w:val="1"/>
                <w:bCs w:val="1"/>
                <w:color w:val="auto"/>
                <w:w w:val="84"/>
                <w:vertAlign w:val="superscript"/>
              </w:rPr>
              <w:t>(1)</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Distribution</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3"/>
          </w:tcPr>
          <w:p>
            <w:pPr>
              <w:jc w:val="center"/>
              <w:spacing w:after="0" w:line="216" w:lineRule="exact"/>
              <w:rPr>
                <w:sz w:val="20"/>
                <w:szCs w:val="20"/>
                <w:color w:val="auto"/>
              </w:rPr>
            </w:pPr>
            <w:r>
              <w:rPr>
                <w:rFonts w:ascii="Arial" w:cs="Arial" w:eastAsia="Arial" w:hAnsi="Arial"/>
                <w:sz w:val="14"/>
                <w:szCs w:val="14"/>
                <w:b w:val="1"/>
                <w:bCs w:val="1"/>
                <w:color w:val="auto"/>
                <w:w w:val="81"/>
              </w:rPr>
              <w:t>Issued</w:t>
            </w:r>
            <w:r>
              <w:rPr>
                <w:rFonts w:ascii="Arial" w:cs="Arial" w:eastAsia="Arial" w:hAnsi="Arial"/>
                <w:sz w:val="21"/>
                <w:szCs w:val="21"/>
                <w:b w:val="1"/>
                <w:bCs w:val="1"/>
                <w:color w:val="auto"/>
                <w:w w:val="81"/>
                <w:vertAlign w:val="superscript"/>
              </w:rPr>
              <w:t>(1)</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Value</w:t>
            </w:r>
          </w:p>
        </w:tc>
      </w:tr>
      <w:tr>
        <w:trPr>
          <w:trHeight w:val="196"/>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January 2, 2018</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January 22, 2018</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January 30, 2018</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1,275</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54</w:t>
            </w:r>
          </w:p>
        </w:tc>
        <w:tc>
          <w:tcPr>
            <w:tcW w:w="160" w:type="dxa"/>
            <w:vAlign w:val="bottom"/>
            <w:shd w:val="clear" w:color="auto" w:fill="CCEEFF"/>
          </w:tcPr>
          <w:p>
            <w:pPr>
              <w:spacing w:after="0"/>
              <w:rPr>
                <w:sz w:val="17"/>
                <w:szCs w:val="17"/>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January 2, 2018</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February 20, 2018</w:t>
            </w:r>
          </w:p>
        </w:tc>
        <w:tc>
          <w:tcPr>
            <w:tcW w:w="1520" w:type="dxa"/>
            <w:vAlign w:val="bottom"/>
          </w:tcPr>
          <w:p>
            <w:pPr>
              <w:spacing w:after="0"/>
              <w:rPr>
                <w:sz w:val="20"/>
                <w:szCs w:val="20"/>
                <w:color w:val="auto"/>
              </w:rPr>
            </w:pPr>
            <w:r>
              <w:rPr>
                <w:rFonts w:ascii="Arial" w:cs="Arial" w:eastAsia="Arial" w:hAnsi="Arial"/>
                <w:sz w:val="16"/>
                <w:szCs w:val="16"/>
                <w:color w:val="auto"/>
              </w:rPr>
              <w:t>February 27, 2018</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7"/>
                <w:szCs w:val="17"/>
                <w:color w:val="auto"/>
              </w:rPr>
            </w:pP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January 2, 2018</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March 23, 2018</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March 29, 2018</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1,274</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CEEFF"/>
          </w:tcPr>
          <w:p>
            <w:pPr>
              <w:spacing w:after="0"/>
              <w:rPr>
                <w:sz w:val="17"/>
                <w:szCs w:val="17"/>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April 2, 2018</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April 19, 2018</w:t>
            </w:r>
          </w:p>
        </w:tc>
        <w:tc>
          <w:tcPr>
            <w:tcW w:w="1520" w:type="dxa"/>
            <w:vAlign w:val="bottom"/>
          </w:tcPr>
          <w:p>
            <w:pPr>
              <w:spacing w:after="0"/>
              <w:rPr>
                <w:sz w:val="20"/>
                <w:szCs w:val="20"/>
                <w:color w:val="auto"/>
              </w:rPr>
            </w:pPr>
            <w:r>
              <w:rPr>
                <w:rFonts w:ascii="Arial" w:cs="Arial" w:eastAsia="Arial" w:hAnsi="Arial"/>
                <w:sz w:val="16"/>
                <w:szCs w:val="16"/>
                <w:color w:val="auto"/>
              </w:rPr>
              <w:t>April 27, 2018</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7"/>
                <w:szCs w:val="17"/>
                <w:color w:val="auto"/>
              </w:rPr>
            </w:pP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April 2, 2018</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May 22, 2018</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May 30, 2018</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1,277</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54</w:t>
            </w:r>
          </w:p>
        </w:tc>
        <w:tc>
          <w:tcPr>
            <w:tcW w:w="160" w:type="dxa"/>
            <w:vAlign w:val="bottom"/>
            <w:shd w:val="clear" w:color="auto" w:fill="CCEEFF"/>
          </w:tcPr>
          <w:p>
            <w:pPr>
              <w:spacing w:after="0"/>
              <w:rPr>
                <w:sz w:val="17"/>
                <w:szCs w:val="17"/>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April 2, 2018</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June 20, 2018</w:t>
            </w:r>
          </w:p>
        </w:tc>
        <w:tc>
          <w:tcPr>
            <w:tcW w:w="1520" w:type="dxa"/>
            <w:vAlign w:val="bottom"/>
          </w:tcPr>
          <w:p>
            <w:pPr>
              <w:spacing w:after="0"/>
              <w:rPr>
                <w:sz w:val="20"/>
                <w:szCs w:val="20"/>
                <w:color w:val="auto"/>
              </w:rPr>
            </w:pPr>
            <w:r>
              <w:rPr>
                <w:rFonts w:ascii="Arial" w:cs="Arial" w:eastAsia="Arial" w:hAnsi="Arial"/>
                <w:sz w:val="16"/>
                <w:szCs w:val="16"/>
                <w:color w:val="auto"/>
              </w:rPr>
              <w:t>June 28, 2018</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7"/>
                <w:szCs w:val="17"/>
                <w:color w:val="auto"/>
              </w:rPr>
            </w:pP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July 2, 2018</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July 23, 2018</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July 30, 2018</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7"/>
                <w:szCs w:val="17"/>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July 2, 2018</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August 23, 2018</w:t>
            </w:r>
          </w:p>
        </w:tc>
        <w:tc>
          <w:tcPr>
            <w:tcW w:w="1520" w:type="dxa"/>
            <w:vAlign w:val="bottom"/>
          </w:tcPr>
          <w:p>
            <w:pPr>
              <w:spacing w:after="0"/>
              <w:rPr>
                <w:sz w:val="20"/>
                <w:szCs w:val="20"/>
                <w:color w:val="auto"/>
              </w:rPr>
            </w:pPr>
            <w:r>
              <w:rPr>
                <w:rFonts w:ascii="Arial" w:cs="Arial" w:eastAsia="Arial" w:hAnsi="Arial"/>
                <w:sz w:val="16"/>
                <w:szCs w:val="16"/>
                <w:color w:val="auto"/>
              </w:rPr>
              <w:t>August 30, 2018</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7"/>
                <w:szCs w:val="17"/>
                <w:color w:val="auto"/>
              </w:rPr>
            </w:pP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July 2, 2018</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September 20, 2018</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September 27, 2018</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84</w:t>
            </w:r>
          </w:p>
        </w:tc>
        <w:tc>
          <w:tcPr>
            <w:tcW w:w="160" w:type="dxa"/>
            <w:vAlign w:val="bottom"/>
            <w:shd w:val="clear" w:color="auto" w:fill="CCEEFF"/>
          </w:tcPr>
          <w:p>
            <w:pPr>
              <w:spacing w:after="0"/>
              <w:rPr>
                <w:sz w:val="17"/>
                <w:szCs w:val="17"/>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6"/>
                <w:szCs w:val="16"/>
                <w:color w:val="auto"/>
              </w:rPr>
              <w:t>October 1, 2018</w:t>
            </w:r>
          </w:p>
        </w:tc>
        <w:tc>
          <w:tcPr>
            <w:tcW w:w="1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October 23, 2018</w:t>
            </w:r>
          </w:p>
        </w:tc>
        <w:tc>
          <w:tcPr>
            <w:tcW w:w="1520" w:type="dxa"/>
            <w:vAlign w:val="bottom"/>
          </w:tcPr>
          <w:p>
            <w:pPr>
              <w:spacing w:after="0"/>
              <w:rPr>
                <w:sz w:val="20"/>
                <w:szCs w:val="20"/>
                <w:color w:val="auto"/>
              </w:rPr>
            </w:pPr>
            <w:r>
              <w:rPr>
                <w:rFonts w:ascii="Arial" w:cs="Arial" w:eastAsia="Arial" w:hAnsi="Arial"/>
                <w:sz w:val="16"/>
                <w:szCs w:val="16"/>
                <w:color w:val="auto"/>
              </w:rPr>
              <w:t>October 30, 2018</w:t>
            </w: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85</w:t>
            </w:r>
          </w:p>
        </w:tc>
        <w:tc>
          <w:tcPr>
            <w:tcW w:w="160" w:type="dxa"/>
            <w:vAlign w:val="bottom"/>
          </w:tcPr>
          <w:p>
            <w:pPr>
              <w:spacing w:after="0"/>
              <w:rPr>
                <w:sz w:val="17"/>
                <w:szCs w:val="17"/>
                <w:color w:val="auto"/>
              </w:rPr>
            </w:pPr>
          </w:p>
        </w:tc>
      </w:tr>
      <w:tr>
        <w:trPr>
          <w:trHeight w:val="203"/>
        </w:trPr>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October 1, 2018</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November 21, 2018</w:t>
            </w: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November 29, 2018</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spacing w:after="0"/>
              <w:rPr>
                <w:sz w:val="17"/>
                <w:szCs w:val="17"/>
                <w:color w:val="auto"/>
              </w:rPr>
            </w:pPr>
          </w:p>
        </w:tc>
      </w:tr>
      <w:tr>
        <w:trPr>
          <w:trHeight w:val="240"/>
        </w:trPr>
        <w:tc>
          <w:tcPr>
            <w:tcW w:w="1480" w:type="dxa"/>
            <w:vAlign w:val="bottom"/>
          </w:tcPr>
          <w:p>
            <w:pPr>
              <w:spacing w:after="0"/>
              <w:rPr>
                <w:sz w:val="20"/>
                <w:szCs w:val="20"/>
                <w:color w:val="auto"/>
              </w:rPr>
            </w:pPr>
            <w:r>
              <w:rPr>
                <w:rFonts w:ascii="Arial" w:cs="Arial" w:eastAsia="Arial" w:hAnsi="Arial"/>
                <w:sz w:val="16"/>
                <w:szCs w:val="16"/>
                <w:color w:val="auto"/>
              </w:rPr>
              <w:t>October 1, 2018</w:t>
            </w:r>
          </w:p>
        </w:tc>
        <w:tc>
          <w:tcPr>
            <w:tcW w:w="10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December 20, 2018</w:t>
            </w:r>
          </w:p>
        </w:tc>
        <w:tc>
          <w:tcPr>
            <w:tcW w:w="1520" w:type="dxa"/>
            <w:vAlign w:val="bottom"/>
          </w:tcPr>
          <w:p>
            <w:pPr>
              <w:spacing w:after="0"/>
              <w:rPr>
                <w:sz w:val="20"/>
                <w:szCs w:val="20"/>
                <w:color w:val="auto"/>
              </w:rPr>
            </w:pPr>
            <w:r>
              <w:rPr>
                <w:rFonts w:ascii="Arial" w:cs="Arial" w:eastAsia="Arial" w:hAnsi="Arial"/>
                <w:sz w:val="16"/>
                <w:szCs w:val="16"/>
                <w:color w:val="auto"/>
              </w:rPr>
              <w:t>December 28, 2018</w:t>
            </w:r>
          </w:p>
        </w:tc>
        <w:tc>
          <w:tcPr>
            <w:tcW w:w="280" w:type="dxa"/>
            <w:vAlign w:val="bottom"/>
            <w:gridSpan w:val="2"/>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20"/>
                <w:szCs w:val="20"/>
                <w:color w:val="auto"/>
              </w:rPr>
            </w:pPr>
          </w:p>
        </w:tc>
      </w:tr>
      <w:tr>
        <w:trPr>
          <w:trHeight w:val="20"/>
        </w:trPr>
        <w:tc>
          <w:tcPr>
            <w:tcW w:w="1940" w:type="dxa"/>
            <w:vAlign w:val="bottom"/>
            <w:gridSpan w:val="3"/>
            <w:shd w:val="clear" w:color="auto" w:fill="CCEEFF"/>
          </w:tcPr>
          <w:p>
            <w:pPr>
              <w:spacing w:after="0" w:line="20" w:lineRule="exact"/>
              <w:rPr>
                <w:sz w:val="1"/>
                <w:szCs w:val="1"/>
                <w:color w:val="auto"/>
              </w:rPr>
            </w:pPr>
          </w:p>
        </w:tc>
        <w:tc>
          <w:tcPr>
            <w:tcW w:w="2780" w:type="dxa"/>
            <w:vAlign w:val="bottom"/>
            <w:gridSpan w:val="3"/>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6"/>
        </w:trPr>
        <w:tc>
          <w:tcPr>
            <w:tcW w:w="472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Total Distributions Declared and Distributed for 2018</w:t>
            </w:r>
          </w:p>
        </w:tc>
        <w:tc>
          <w:tcPr>
            <w:tcW w:w="280" w:type="dxa"/>
            <w:vAlign w:val="bottom"/>
            <w:gridSpan w:val="2"/>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6.00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15,217</w:t>
            </w:r>
          </w:p>
        </w:tc>
        <w:tc>
          <w:tcPr>
            <w:tcW w:w="12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16,719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769</w:t>
            </w:r>
          </w:p>
        </w:tc>
        <w:tc>
          <w:tcPr>
            <w:tcW w:w="160" w:type="dxa"/>
            <w:vAlign w:val="bottom"/>
            <w:shd w:val="clear" w:color="auto" w:fill="CCEEFF"/>
          </w:tcPr>
          <w:p>
            <w:pPr>
              <w:spacing w:after="0"/>
              <w:rPr>
                <w:sz w:val="20"/>
                <w:szCs w:val="20"/>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92"/>
        </w:trPr>
        <w:tc>
          <w:tcPr>
            <w:tcW w:w="1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-2527935</wp:posOffset>
            </wp:positionV>
            <wp:extent cx="11112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-2527935</wp:posOffset>
            </wp:positionV>
            <wp:extent cx="25717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-2527935</wp:posOffset>
            </wp:positionV>
            <wp:extent cx="424307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243070" cy="8890"/>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-4105275</wp:posOffset>
            </wp:positionV>
            <wp:extent cx="685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-4105275</wp:posOffset>
            </wp:positionV>
            <wp:extent cx="6858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-4105275</wp:posOffset>
            </wp:positionV>
            <wp:extent cx="6858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-4105275</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-4105275</wp:posOffset>
            </wp:positionV>
            <wp:extent cx="6858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-4105275</wp:posOffset>
            </wp:positionV>
            <wp:extent cx="6858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-265430</wp:posOffset>
            </wp:positionV>
            <wp:extent cx="15430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-265430</wp:posOffset>
            </wp:positionV>
            <wp:extent cx="30861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-265430</wp:posOffset>
            </wp:positionV>
            <wp:extent cx="424307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4243070"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-1842135</wp:posOffset>
            </wp:positionV>
            <wp:extent cx="6858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-1842135</wp:posOffset>
            </wp:positionV>
            <wp:extent cx="6858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-1842135</wp:posOffset>
            </wp:positionV>
            <wp:extent cx="6858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-1842135</wp:posOffset>
            </wp:positionV>
            <wp:extent cx="685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-1842135</wp:posOffset>
            </wp:positionV>
            <wp:extent cx="685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-1842135</wp:posOffset>
            </wp:positionV>
            <wp:extent cx="6858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ind w:left="1620" w:right="419" w:hanging="36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Shares and amount per share have been adjusted for the periods shown to reflect the one-for-six reverse stock split effected on August 21, 2020 on a retroactive basis, as described in Note 1.</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Financial Highlights and Senior Securities</w:t>
      </w:r>
    </w:p>
    <w:p>
      <w:pPr>
        <w:spacing w:after="0" w:line="148"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The following is a schedule of financial highlights for the years ended December 31, 2020, 2019, 2018, 2017, and 2016 (dollars in thousands, except share and per share data, unless otherwise noted):</w:t>
      </w:r>
    </w:p>
    <w:p>
      <w:pPr>
        <w:spacing w:after="0" w:line="16"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11"/>
          </w:tcPr>
          <w:p>
            <w:pPr>
              <w:ind w:left="240"/>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34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3"/>
                <w:szCs w:val="13"/>
                <w:color w:val="auto"/>
              </w:rPr>
            </w:pPr>
          </w:p>
        </w:tc>
      </w:tr>
      <w:tr>
        <w:trPr>
          <w:trHeight w:val="183"/>
        </w:trPr>
        <w:tc>
          <w:tcPr>
            <w:tcW w:w="3420" w:type="dxa"/>
            <w:vAlign w:val="bottom"/>
            <w:shd w:val="clear" w:color="auto" w:fill="CCEEFF"/>
          </w:tcPr>
          <w:p>
            <w:pPr>
              <w:spacing w:after="0" w:line="183"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5"/>
        </w:trPr>
        <w:tc>
          <w:tcPr>
            <w:tcW w:w="3440" w:type="dxa"/>
            <w:vAlign w:val="bottom"/>
            <w:gridSpan w:val="2"/>
          </w:tcPr>
          <w:p>
            <w:pPr>
              <w:spacing w:after="0" w:line="175" w:lineRule="exact"/>
              <w:rPr>
                <w:sz w:val="20"/>
                <w:szCs w:val="20"/>
                <w:color w:val="auto"/>
              </w:rPr>
            </w:pPr>
            <w:r>
              <w:rPr>
                <w:rFonts w:ascii="Arial" w:cs="Arial" w:eastAsia="Arial" w:hAnsi="Arial"/>
                <w:sz w:val="16"/>
                <w:szCs w:val="16"/>
                <w:color w:val="auto"/>
              </w:rPr>
              <w:t>Net asset value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54.84</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71.26</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83.46</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94.75</w:t>
            </w: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102.22</w:t>
            </w:r>
          </w:p>
        </w:tc>
      </w:tr>
      <w:tr>
        <w:trPr>
          <w:trHeight w:val="189"/>
        </w:trPr>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11.01</w:t>
            </w:r>
          </w:p>
        </w:tc>
      </w:tr>
      <w:tr>
        <w:trPr>
          <w:trHeight w:val="189"/>
        </w:trPr>
        <w:tc>
          <w:tcPr>
            <w:tcW w:w="3440" w:type="dxa"/>
            <w:vAlign w:val="bottom"/>
            <w:gridSpan w:val="2"/>
          </w:tcPr>
          <w:p>
            <w:pPr>
              <w:spacing w:after="0" w:line="189" w:lineRule="exact"/>
              <w:rPr>
                <w:sz w:val="20"/>
                <w:szCs w:val="20"/>
                <w:color w:val="auto"/>
              </w:rPr>
            </w:pPr>
            <w:r>
              <w:rPr>
                <w:rFonts w:ascii="Arial" w:cs="Arial" w:eastAsia="Arial" w:hAnsi="Arial"/>
                <w:sz w:val="14"/>
                <w:szCs w:val="14"/>
                <w:color w:val="auto"/>
              </w:rPr>
              <w:t>Net realized loss on investments</w:t>
            </w:r>
            <w:r>
              <w:rPr>
                <w:rFonts w:ascii="Arial" w:cs="Arial" w:eastAsia="Arial" w:hAnsi="Arial"/>
                <w:sz w:val="21"/>
                <w:szCs w:val="21"/>
                <w:color w:val="auto"/>
                <w:vertAlign w:val="superscript"/>
              </w:rPr>
              <w:t>(2)</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(8.88)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(7.35)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(13.06)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(9.13)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(8.63)</w:t>
            </w:r>
          </w:p>
        </w:tc>
      </w:tr>
      <w:tr>
        <w:trPr>
          <w:trHeight w:val="148"/>
        </w:trPr>
        <w:tc>
          <w:tcPr>
            <w:tcW w:w="34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Net unrealized appreciation (depreciation) on</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230"/>
        </w:trPr>
        <w:tc>
          <w:tcPr>
            <w:tcW w:w="3440" w:type="dxa"/>
            <w:vAlign w:val="bottom"/>
            <w:gridSpan w:val="2"/>
            <w:shd w:val="clear" w:color="auto" w:fill="CCEEFF"/>
          </w:tcPr>
          <w:p>
            <w:pPr>
              <w:ind w:left="160"/>
              <w:spacing w:after="0" w:line="229" w:lineRule="exact"/>
              <w:rPr>
                <w:sz w:val="20"/>
                <w:szCs w:val="20"/>
                <w:color w:val="auto"/>
              </w:rPr>
            </w:pPr>
            <w:r>
              <w:rPr>
                <w:rFonts w:ascii="Arial" w:cs="Arial" w:eastAsia="Arial" w:hAnsi="Arial"/>
                <w:sz w:val="16"/>
                <w:szCs w:val="16"/>
                <w:color w:val="auto"/>
              </w:rPr>
              <w:t>investments</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2.12</w:t>
            </w:r>
          </w:p>
        </w:tc>
      </w:tr>
      <w:tr>
        <w:trPr>
          <w:trHeight w:val="148"/>
        </w:trPr>
        <w:tc>
          <w:tcPr>
            <w:tcW w:w="3440" w:type="dxa"/>
            <w:vAlign w:val="bottom"/>
            <w:gridSpan w:val="2"/>
          </w:tcPr>
          <w:p>
            <w:pPr>
              <w:spacing w:after="0" w:line="148" w:lineRule="exact"/>
              <w:rPr>
                <w:sz w:val="20"/>
                <w:szCs w:val="20"/>
                <w:color w:val="auto"/>
              </w:rPr>
            </w:pPr>
            <w:r>
              <w:rPr>
                <w:rFonts w:ascii="Arial" w:cs="Arial" w:eastAsia="Arial" w:hAnsi="Arial"/>
                <w:sz w:val="16"/>
                <w:szCs w:val="16"/>
                <w:color w:val="auto"/>
              </w:rPr>
              <w:t>Net unrealized appreciation (depreciation) 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29"/>
        </w:trPr>
        <w:tc>
          <w:tcPr>
            <w:tcW w:w="3440" w:type="dxa"/>
            <w:vAlign w:val="bottom"/>
            <w:gridSpan w:val="2"/>
          </w:tcPr>
          <w:p>
            <w:pPr>
              <w:ind w:left="160"/>
              <w:spacing w:after="0" w:line="229" w:lineRule="exact"/>
              <w:rPr>
                <w:sz w:val="20"/>
                <w:szCs w:val="20"/>
                <w:color w:val="auto"/>
              </w:rPr>
            </w:pPr>
            <w:r>
              <w:rPr>
                <w:rFonts w:ascii="Arial" w:cs="Arial" w:eastAsia="Arial" w:hAnsi="Arial"/>
                <w:sz w:val="16"/>
                <w:szCs w:val="16"/>
                <w:color w:val="auto"/>
              </w:rPr>
              <w:t>Written Call Option</w:t>
            </w:r>
            <w:r>
              <w:rPr>
                <w:rFonts w:ascii="Arial" w:cs="Arial" w:eastAsia="Arial" w:hAnsi="Arial"/>
                <w:sz w:val="25"/>
                <w:szCs w:val="25"/>
                <w:color w:val="auto"/>
                <w:vertAlign w:val="superscript"/>
              </w:rPr>
              <w:t>(2)</w:t>
            </w:r>
          </w:p>
        </w:tc>
        <w:tc>
          <w:tcPr>
            <w:tcW w:w="8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(1.03)</w:t>
            </w:r>
          </w:p>
        </w:tc>
      </w:tr>
      <w:tr>
        <w:trPr>
          <w:trHeight w:val="189"/>
        </w:trPr>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Tax benefit (provision)</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3440" w:type="dxa"/>
            <w:vAlign w:val="bottom"/>
            <w:gridSpan w:val="2"/>
          </w:tcPr>
          <w:p>
            <w:pPr>
              <w:spacing w:after="0" w:line="189" w:lineRule="exact"/>
              <w:rPr>
                <w:sz w:val="20"/>
                <w:szCs w:val="20"/>
                <w:color w:val="auto"/>
              </w:rPr>
            </w:pPr>
            <w:r>
              <w:rPr>
                <w:rFonts w:ascii="Arial" w:cs="Arial" w:eastAsia="Arial" w:hAnsi="Arial"/>
                <w:sz w:val="14"/>
                <w:szCs w:val="14"/>
                <w:color w:val="auto"/>
              </w:rPr>
              <w:t>Net realized gain on extinguishment of debt</w:t>
            </w:r>
            <w:r>
              <w:rPr>
                <w:rFonts w:ascii="Arial" w:cs="Arial" w:eastAsia="Arial" w:hAnsi="Arial"/>
                <w:sz w:val="21"/>
                <w:szCs w:val="21"/>
                <w:color w:val="auto"/>
                <w:vertAlign w:val="superscript"/>
              </w:rPr>
              <w:t>(2)</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75"/>
        </w:trPr>
        <w:tc>
          <w:tcPr>
            <w:tcW w:w="34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Distributions – from net investment income</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(0.24)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(5.01)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(6.00)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(8.52)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(10.80)</w:t>
            </w:r>
          </w:p>
        </w:tc>
      </w:tr>
      <w:tr>
        <w:trPr>
          <w:trHeight w:val="176"/>
        </w:trPr>
        <w:tc>
          <w:tcPr>
            <w:tcW w:w="3440" w:type="dxa"/>
            <w:vAlign w:val="bottom"/>
            <w:gridSpan w:val="2"/>
          </w:tcPr>
          <w:p>
            <w:pPr>
              <w:spacing w:after="0" w:line="175" w:lineRule="exact"/>
              <w:rPr>
                <w:sz w:val="20"/>
                <w:szCs w:val="20"/>
                <w:color w:val="auto"/>
              </w:rPr>
            </w:pPr>
            <w:r>
              <w:rPr>
                <w:rFonts w:ascii="Arial" w:cs="Arial" w:eastAsia="Arial" w:hAnsi="Arial"/>
                <w:sz w:val="16"/>
                <w:szCs w:val="16"/>
                <w:color w:val="auto"/>
              </w:rPr>
              <w:t>Distributions – return of capital</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(1.26)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(0.99)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r>
      <w:tr>
        <w:trPr>
          <w:trHeight w:val="189"/>
        </w:trPr>
        <w:tc>
          <w:tcPr>
            <w:tcW w:w="34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Other</w:t>
            </w:r>
            <w:r>
              <w:rPr>
                <w:rFonts w:ascii="Arial" w:cs="Arial" w:eastAsia="Arial" w:hAnsi="Arial"/>
                <w:sz w:val="21"/>
                <w:szCs w:val="21"/>
                <w:color w:val="auto"/>
                <w:vertAlign w:val="superscript"/>
              </w:rPr>
              <w:t>(3)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(0.14)</w:t>
            </w:r>
          </w:p>
        </w:tc>
      </w:tr>
      <w:tr>
        <w:trPr>
          <w:trHeight w:val="183"/>
        </w:trPr>
        <w:tc>
          <w:tcPr>
            <w:tcW w:w="3440" w:type="dxa"/>
            <w:vAlign w:val="bottom"/>
            <w:tcBorders>
              <w:top w:val="single" w:sz="8" w:color="CCEEFF"/>
              <w:bottom w:val="single" w:sz="8" w:color="CCEEFF"/>
            </w:tcBorders>
            <w:gridSpan w:val="2"/>
          </w:tcPr>
          <w:p>
            <w:pPr>
              <w:spacing w:after="0" w:line="183" w:lineRule="exact"/>
              <w:rPr>
                <w:sz w:val="20"/>
                <w:szCs w:val="20"/>
                <w:color w:val="auto"/>
              </w:rPr>
            </w:pPr>
            <w:r>
              <w:rPr>
                <w:rFonts w:ascii="Arial" w:cs="Arial" w:eastAsia="Arial" w:hAnsi="Arial"/>
                <w:sz w:val="16"/>
                <w:szCs w:val="16"/>
                <w:color w:val="auto"/>
              </w:rPr>
              <w:t>Net asset value at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40.19</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54.84</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71.26</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83.46</w:t>
            </w:r>
          </w:p>
        </w:tc>
        <w:tc>
          <w:tcPr>
            <w:tcW w:w="20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94.75</w:t>
            </w:r>
          </w:p>
        </w:tc>
        <w:tc>
          <w:tcPr>
            <w:tcW w:w="200" w:type="dxa"/>
            <w:vAlign w:val="bottom"/>
            <w:tcBorders>
              <w:top w:val="single" w:sz="8" w:color="CCEEFF"/>
              <w:bottom w:val="single" w:sz="8" w:color="CCEEFF"/>
            </w:tcBorders>
          </w:tcPr>
          <w:p>
            <w:pPr>
              <w:spacing w:after="0"/>
              <w:rPr>
                <w:sz w:val="15"/>
                <w:szCs w:val="15"/>
                <w:color w:val="auto"/>
              </w:rPr>
            </w:pPr>
          </w:p>
        </w:tc>
      </w:tr>
      <w:tr>
        <w:trPr>
          <w:trHeight w:val="169"/>
        </w:trPr>
        <w:tc>
          <w:tcPr>
            <w:tcW w:w="34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Net assets at end of year</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108,947</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148,113</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190,644</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221,887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250,582</w:t>
            </w:r>
          </w:p>
        </w:tc>
        <w:tc>
          <w:tcPr>
            <w:tcW w:w="200" w:type="dxa"/>
            <w:vAlign w:val="bottom"/>
            <w:shd w:val="clear" w:color="auto" w:fill="CCEEFF"/>
          </w:tcPr>
          <w:p>
            <w:pPr>
              <w:spacing w:after="0"/>
              <w:rPr>
                <w:sz w:val="14"/>
                <w:szCs w:val="14"/>
                <w:color w:val="auto"/>
              </w:rPr>
            </w:pPr>
          </w:p>
        </w:tc>
      </w:tr>
      <w:tr>
        <w:trPr>
          <w:trHeight w:val="176"/>
        </w:trPr>
        <w:tc>
          <w:tcPr>
            <w:tcW w:w="3440" w:type="dxa"/>
            <w:vAlign w:val="bottom"/>
            <w:gridSpan w:val="2"/>
          </w:tcPr>
          <w:p>
            <w:pPr>
              <w:spacing w:after="0" w:line="175" w:lineRule="exact"/>
              <w:rPr>
                <w:sz w:val="20"/>
                <w:szCs w:val="20"/>
                <w:color w:val="auto"/>
              </w:rPr>
            </w:pPr>
            <w:r>
              <w:rPr>
                <w:rFonts w:ascii="Arial" w:cs="Arial" w:eastAsia="Arial" w:hAnsi="Arial"/>
                <w:sz w:val="16"/>
                <w:szCs w:val="16"/>
                <w:color w:val="auto"/>
              </w:rPr>
              <w:t>Shares outstanding at end of year</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w w:val="87"/>
              </w:rPr>
              <w:t>2,711,068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w w:val="89"/>
              </w:rPr>
              <w:t>2,700,628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w w:val="89"/>
              </w:rPr>
              <w:t>2,675,258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w w:val="89"/>
              </w:rPr>
              <w:t>2,658,539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w w:val="89"/>
              </w:rPr>
              <w:t>2,644,674</w:t>
            </w:r>
          </w:p>
        </w:tc>
      </w:tr>
      <w:tr>
        <w:trPr>
          <w:trHeight w:val="176"/>
        </w:trPr>
        <w:tc>
          <w:tcPr>
            <w:tcW w:w="34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Per share market value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14.41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52.38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43.02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43.68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77.58</w:t>
            </w:r>
          </w:p>
        </w:tc>
      </w:tr>
      <w:tr>
        <w:trPr>
          <w:trHeight w:val="189"/>
        </w:trPr>
        <w:tc>
          <w:tcPr>
            <w:tcW w:w="3440" w:type="dxa"/>
            <w:vAlign w:val="bottom"/>
            <w:gridSpan w:val="2"/>
          </w:tcPr>
          <w:p>
            <w:pPr>
              <w:spacing w:after="0" w:line="189" w:lineRule="exact"/>
              <w:rPr>
                <w:sz w:val="20"/>
                <w:szCs w:val="20"/>
                <w:color w:val="auto"/>
              </w:rPr>
            </w:pPr>
            <w:r>
              <w:rPr>
                <w:rFonts w:ascii="Arial" w:cs="Arial" w:eastAsia="Arial" w:hAnsi="Arial"/>
                <w:sz w:val="14"/>
                <w:szCs w:val="14"/>
                <w:color w:val="auto"/>
              </w:rPr>
              <w:t>Total return based on market value</w:t>
            </w:r>
            <w:r>
              <w:rPr>
                <w:rFonts w:ascii="Arial" w:cs="Arial" w:eastAsia="Arial" w:hAnsi="Arial"/>
                <w:sz w:val="21"/>
                <w:szCs w:val="21"/>
                <w:color w:val="auto"/>
                <w:vertAlign w:val="superscript"/>
              </w:rPr>
              <w:t>(4)</w:t>
            </w:r>
          </w:p>
        </w:tc>
        <w:tc>
          <w:tcPr>
            <w:tcW w:w="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(71.10)%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37.75%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(35.68)%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24.07%</w:t>
            </w:r>
          </w:p>
        </w:tc>
      </w:tr>
      <w:tr>
        <w:trPr>
          <w:trHeight w:val="310"/>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Ratio/Supplemental data:</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66"/>
        </w:trPr>
        <w:tc>
          <w:tcPr>
            <w:tcW w:w="3440" w:type="dxa"/>
            <w:vAlign w:val="bottom"/>
            <w:gridSpan w:val="2"/>
          </w:tcPr>
          <w:p>
            <w:pPr>
              <w:spacing w:after="0" w:line="166" w:lineRule="exact"/>
              <w:rPr>
                <w:sz w:val="20"/>
                <w:szCs w:val="20"/>
                <w:color w:val="auto"/>
              </w:rPr>
            </w:pPr>
            <w:r>
              <w:rPr>
                <w:rFonts w:ascii="Arial" w:cs="Arial" w:eastAsia="Arial" w:hAnsi="Arial"/>
                <w:sz w:val="16"/>
                <w:szCs w:val="16"/>
                <w:color w:val="auto"/>
              </w:rPr>
              <w:t>Ratio of net investment income to average net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9"/>
        </w:trPr>
        <w:tc>
          <w:tcPr>
            <w:tcW w:w="3440" w:type="dxa"/>
            <w:vAlign w:val="bottom"/>
            <w:gridSpan w:val="2"/>
          </w:tcPr>
          <w:p>
            <w:pPr>
              <w:ind w:left="160"/>
              <w:spacing w:after="0"/>
              <w:rPr>
                <w:sz w:val="20"/>
                <w:szCs w:val="20"/>
                <w:color w:val="auto"/>
              </w:rPr>
            </w:pPr>
            <w:r>
              <w:rPr>
                <w:rFonts w:ascii="Arial" w:cs="Arial" w:eastAsia="Arial" w:hAnsi="Arial"/>
                <w:sz w:val="16"/>
                <w:szCs w:val="16"/>
                <w:color w:val="auto"/>
              </w:rPr>
              <w:t>assets</w:t>
            </w: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7.85%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7.60%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11.32%</w:t>
            </w:r>
          </w:p>
        </w:tc>
      </w:tr>
      <w:tr>
        <w:trPr>
          <w:trHeight w:val="148"/>
        </w:trPr>
        <w:tc>
          <w:tcPr>
            <w:tcW w:w="34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Ratio of incentive fee, net of incentive fee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230"/>
        </w:trPr>
        <w:tc>
          <w:tcPr>
            <w:tcW w:w="3440" w:type="dxa"/>
            <w:vAlign w:val="bottom"/>
            <w:gridSpan w:val="2"/>
            <w:shd w:val="clear" w:color="auto" w:fill="CCEEFF"/>
          </w:tcPr>
          <w:p>
            <w:pPr>
              <w:ind w:left="160"/>
              <w:spacing w:after="0" w:line="229" w:lineRule="exact"/>
              <w:rPr>
                <w:sz w:val="20"/>
                <w:szCs w:val="20"/>
                <w:color w:val="auto"/>
              </w:rPr>
            </w:pPr>
            <w:r>
              <w:rPr>
                <w:rFonts w:ascii="Arial" w:cs="Arial" w:eastAsia="Arial" w:hAnsi="Arial"/>
                <w:sz w:val="16"/>
                <w:szCs w:val="16"/>
                <w:color w:val="auto"/>
              </w:rPr>
              <w:t>waiver, to average net assets</w:t>
            </w:r>
            <w:r>
              <w:rPr>
                <w:rFonts w:ascii="Arial" w:cs="Arial" w:eastAsia="Arial" w:hAnsi="Arial"/>
                <w:sz w:val="25"/>
                <w:szCs w:val="25"/>
                <w:color w:val="auto"/>
                <w:vertAlign w:val="superscript"/>
              </w:rPr>
              <w:t>(5)</w:t>
            </w: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2.01%</w:t>
            </w:r>
          </w:p>
        </w:tc>
      </w:tr>
      <w:tr>
        <w:trPr>
          <w:trHeight w:val="166"/>
        </w:trPr>
        <w:tc>
          <w:tcPr>
            <w:tcW w:w="3440" w:type="dxa"/>
            <w:vAlign w:val="bottom"/>
            <w:gridSpan w:val="2"/>
          </w:tcPr>
          <w:p>
            <w:pPr>
              <w:spacing w:after="0" w:line="166" w:lineRule="exact"/>
              <w:rPr>
                <w:sz w:val="20"/>
                <w:szCs w:val="20"/>
                <w:color w:val="auto"/>
              </w:rPr>
            </w:pPr>
            <w:r>
              <w:rPr>
                <w:rFonts w:ascii="Arial" w:cs="Arial" w:eastAsia="Arial" w:hAnsi="Arial"/>
                <w:sz w:val="16"/>
                <w:szCs w:val="16"/>
                <w:color w:val="auto"/>
              </w:rPr>
              <w:t>Ratio of interest and financing expenses to</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9"/>
        </w:trPr>
        <w:tc>
          <w:tcPr>
            <w:tcW w:w="3440" w:type="dxa"/>
            <w:vAlign w:val="bottom"/>
            <w:gridSpan w:val="2"/>
          </w:tcPr>
          <w:p>
            <w:pPr>
              <w:ind w:left="160"/>
              <w:spacing w:after="0"/>
              <w:rPr>
                <w:sz w:val="20"/>
                <w:szCs w:val="20"/>
                <w:color w:val="auto"/>
              </w:rPr>
            </w:pPr>
            <w:r>
              <w:rPr>
                <w:rFonts w:ascii="Arial" w:cs="Arial" w:eastAsia="Arial" w:hAnsi="Arial"/>
                <w:sz w:val="16"/>
                <w:szCs w:val="16"/>
                <w:color w:val="auto"/>
              </w:rPr>
              <w:t>average net assets</w:t>
            </w: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13.23%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10.30%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7.68%</w:t>
            </w:r>
          </w:p>
        </w:tc>
      </w:tr>
      <w:tr>
        <w:trPr>
          <w:trHeight w:val="166"/>
        </w:trPr>
        <w:tc>
          <w:tcPr>
            <w:tcW w:w="344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Ratio of tax (benefit) provision to average net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99"/>
        </w:trPr>
        <w:tc>
          <w:tcPr>
            <w:tcW w:w="3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assets</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(0.91)%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66"/>
        </w:trPr>
        <w:tc>
          <w:tcPr>
            <w:tcW w:w="3440" w:type="dxa"/>
            <w:vAlign w:val="bottom"/>
            <w:gridSpan w:val="2"/>
          </w:tcPr>
          <w:p>
            <w:pPr>
              <w:spacing w:after="0" w:line="166" w:lineRule="exact"/>
              <w:rPr>
                <w:sz w:val="20"/>
                <w:szCs w:val="20"/>
                <w:color w:val="auto"/>
              </w:rPr>
            </w:pPr>
            <w:r>
              <w:rPr>
                <w:rFonts w:ascii="Arial" w:cs="Arial" w:eastAsia="Arial" w:hAnsi="Arial"/>
                <w:sz w:val="16"/>
                <w:szCs w:val="16"/>
                <w:color w:val="auto"/>
              </w:rPr>
              <w:t>Ratio of other operating expenses to average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9"/>
        </w:trPr>
        <w:tc>
          <w:tcPr>
            <w:tcW w:w="3440" w:type="dxa"/>
            <w:vAlign w:val="bottom"/>
            <w:gridSpan w:val="2"/>
          </w:tcPr>
          <w:p>
            <w:pPr>
              <w:ind w:left="160"/>
              <w:spacing w:after="0"/>
              <w:rPr>
                <w:sz w:val="20"/>
                <w:szCs w:val="20"/>
                <w:color w:val="auto"/>
              </w:rPr>
            </w:pPr>
            <w:r>
              <w:rPr>
                <w:rFonts w:ascii="Arial" w:cs="Arial" w:eastAsia="Arial" w:hAnsi="Arial"/>
                <w:sz w:val="16"/>
                <w:szCs w:val="16"/>
                <w:color w:val="auto"/>
              </w:rPr>
              <w:t>net assets</w:t>
            </w: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9.82%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7.62%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5.61%</w:t>
            </w:r>
          </w:p>
        </w:tc>
      </w:tr>
      <w:tr>
        <w:trPr>
          <w:trHeight w:val="166"/>
        </w:trPr>
        <w:tc>
          <w:tcPr>
            <w:tcW w:w="344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Ratio of total expenses including tax</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58"/>
        </w:trPr>
        <w:tc>
          <w:tcPr>
            <w:tcW w:w="344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6"/>
                <w:szCs w:val="16"/>
                <w:color w:val="auto"/>
              </w:rPr>
              <w:t>provision, net of fee waivers to average net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230"/>
        </w:trPr>
        <w:tc>
          <w:tcPr>
            <w:tcW w:w="3440" w:type="dxa"/>
            <w:vAlign w:val="bottom"/>
            <w:gridSpan w:val="2"/>
            <w:shd w:val="clear" w:color="auto" w:fill="CCEEFF"/>
          </w:tcPr>
          <w:p>
            <w:pPr>
              <w:ind w:left="160"/>
              <w:spacing w:after="0" w:line="229" w:lineRule="exact"/>
              <w:rPr>
                <w:sz w:val="20"/>
                <w:szCs w:val="20"/>
                <w:color w:val="auto"/>
              </w:rPr>
            </w:pPr>
            <w:r>
              <w:rPr>
                <w:rFonts w:ascii="Arial" w:cs="Arial" w:eastAsia="Arial" w:hAnsi="Arial"/>
                <w:sz w:val="16"/>
                <w:szCs w:val="16"/>
                <w:color w:val="auto"/>
              </w:rPr>
              <w:t>assets</w:t>
            </w:r>
            <w:r>
              <w:rPr>
                <w:rFonts w:ascii="Arial" w:cs="Arial" w:eastAsia="Arial" w:hAnsi="Arial"/>
                <w:sz w:val="25"/>
                <w:szCs w:val="25"/>
                <w:color w:val="auto"/>
                <w:vertAlign w:val="superscript"/>
              </w:rPr>
              <w:t>(5)</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15.30%</w:t>
            </w:r>
          </w:p>
        </w:tc>
      </w:tr>
      <w:tr>
        <w:trPr>
          <w:trHeight w:val="189"/>
        </w:trPr>
        <w:tc>
          <w:tcPr>
            <w:tcW w:w="3440" w:type="dxa"/>
            <w:vAlign w:val="bottom"/>
            <w:gridSpan w:val="2"/>
          </w:tcPr>
          <w:p>
            <w:pPr>
              <w:spacing w:after="0" w:line="189" w:lineRule="exact"/>
              <w:rPr>
                <w:sz w:val="20"/>
                <w:szCs w:val="20"/>
                <w:color w:val="auto"/>
              </w:rPr>
            </w:pPr>
            <w:r>
              <w:rPr>
                <w:rFonts w:ascii="Arial" w:cs="Arial" w:eastAsia="Arial" w:hAnsi="Arial"/>
                <w:sz w:val="14"/>
                <w:szCs w:val="14"/>
                <w:color w:val="auto"/>
              </w:rPr>
              <w:t>Portfolio turnover rate</w:t>
            </w:r>
            <w:r>
              <w:rPr>
                <w:rFonts w:ascii="Arial" w:cs="Arial" w:eastAsia="Arial" w:hAnsi="Arial"/>
                <w:sz w:val="21"/>
                <w:szCs w:val="21"/>
                <w:color w:val="auto"/>
                <w:vertAlign w:val="superscript"/>
              </w:rPr>
              <w:t>(6)</w:t>
            </w: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19.18%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22.69%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16.34%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21.33%</w:t>
            </w:r>
          </w:p>
        </w:tc>
      </w:tr>
      <w:tr>
        <w:trPr>
          <w:trHeight w:val="189"/>
        </w:trPr>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Average debt outstanding</w:t>
            </w:r>
            <w:r>
              <w:rPr>
                <w:rFonts w:ascii="Arial" w:cs="Arial" w:eastAsia="Arial" w:hAnsi="Arial"/>
                <w:sz w:val="21"/>
                <w:szCs w:val="21"/>
                <w:color w:val="auto"/>
                <w:vertAlign w:val="superscript"/>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256,673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290,073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302,420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325,314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356,758</w:t>
            </w:r>
          </w:p>
        </w:tc>
      </w:tr>
      <w:tr>
        <w:trPr>
          <w:trHeight w:val="176"/>
        </w:trPr>
        <w:tc>
          <w:tcPr>
            <w:tcW w:w="3440" w:type="dxa"/>
            <w:vAlign w:val="bottom"/>
            <w:gridSpan w:val="2"/>
          </w:tcPr>
          <w:p>
            <w:pPr>
              <w:spacing w:after="0" w:line="175" w:lineRule="exact"/>
              <w:rPr>
                <w:sz w:val="20"/>
                <w:szCs w:val="20"/>
                <w:color w:val="auto"/>
              </w:rPr>
            </w:pPr>
            <w:r>
              <w:rPr>
                <w:rFonts w:ascii="Arial" w:cs="Arial" w:eastAsia="Arial" w:hAnsi="Arial"/>
                <w:sz w:val="16"/>
                <w:szCs w:val="16"/>
                <w:color w:val="auto"/>
              </w:rPr>
              <w:t>Average debt outstanding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94.68</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107.41</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113.04</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122.37</w:t>
            </w: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134.90</w:t>
            </w:r>
          </w:p>
        </w:tc>
      </w:tr>
      <w:tr>
        <w:trPr>
          <w:trHeight w:val="310"/>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Debt Outstanding:</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75"/>
        </w:trPr>
        <w:tc>
          <w:tcPr>
            <w:tcW w:w="3440" w:type="dxa"/>
            <w:vAlign w:val="bottom"/>
            <w:gridSpan w:val="2"/>
          </w:tcPr>
          <w:p>
            <w:pPr>
              <w:spacing w:after="0" w:line="175" w:lineRule="exact"/>
              <w:rPr>
                <w:sz w:val="20"/>
                <w:szCs w:val="20"/>
                <w:color w:val="auto"/>
              </w:rPr>
            </w:pPr>
            <w:r>
              <w:rPr>
                <w:rFonts w:ascii="Arial" w:cs="Arial" w:eastAsia="Arial" w:hAnsi="Arial"/>
                <w:sz w:val="16"/>
                <w:szCs w:val="16"/>
                <w:color w:val="auto"/>
              </w:rPr>
              <w:t>KeyBank Credit Facility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ING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44,000</w:t>
            </w:r>
          </w:p>
        </w:tc>
      </w:tr>
      <w:tr>
        <w:trPr>
          <w:trHeight w:val="189"/>
        </w:trPr>
        <w:tc>
          <w:tcPr>
            <w:tcW w:w="3440" w:type="dxa"/>
            <w:vAlign w:val="bottom"/>
            <w:gridSpan w:val="2"/>
          </w:tcPr>
          <w:p>
            <w:pPr>
              <w:spacing w:after="0"/>
              <w:rPr>
                <w:sz w:val="20"/>
                <w:szCs w:val="20"/>
                <w:color w:val="auto"/>
              </w:rPr>
            </w:pPr>
            <w:r>
              <w:rPr>
                <w:rFonts w:ascii="Arial" w:cs="Arial" w:eastAsia="Arial" w:hAnsi="Arial"/>
                <w:sz w:val="16"/>
                <w:szCs w:val="16"/>
                <w:color w:val="auto"/>
              </w:rPr>
              <w:t>SBA-guaranteed debentures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91,000</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150,000</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165,700</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170,700</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170,700</w:t>
            </w: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2021 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113,438</w:t>
            </w:r>
          </w:p>
        </w:tc>
      </w:tr>
      <w:tr>
        <w:trPr>
          <w:trHeight w:val="189"/>
        </w:trPr>
        <w:tc>
          <w:tcPr>
            <w:tcW w:w="3440" w:type="dxa"/>
            <w:vAlign w:val="bottom"/>
            <w:gridSpan w:val="2"/>
          </w:tcPr>
          <w:p>
            <w:pPr>
              <w:spacing w:after="0"/>
              <w:rPr>
                <w:sz w:val="20"/>
                <w:szCs w:val="20"/>
                <w:color w:val="auto"/>
              </w:rPr>
            </w:pPr>
            <w:r>
              <w:rPr>
                <w:rFonts w:ascii="Arial" w:cs="Arial" w:eastAsia="Arial" w:hAnsi="Arial"/>
                <w:sz w:val="16"/>
                <w:szCs w:val="16"/>
                <w:color w:val="auto"/>
              </w:rPr>
              <w:t>2022 Notes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72,833</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75,000</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75,000</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75,000</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2022 Convertible 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52,088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52,088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52,088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52,088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338"/>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Asset coverage per unit</w:t>
            </w:r>
            <w:r>
              <w:rPr>
                <w:rFonts w:ascii="Arial" w:cs="Arial" w:eastAsia="Arial" w:hAnsi="Arial"/>
                <w:sz w:val="25"/>
                <w:szCs w:val="25"/>
                <w:b w:val="1"/>
                <w:bCs w:val="1"/>
                <w:color w:val="auto"/>
                <w:vertAlign w:val="superscript"/>
              </w:rPr>
              <w:t>(8)</w:t>
            </w: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KeyBank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r>
      <w:tr>
        <w:trPr>
          <w:trHeight w:val="189"/>
        </w:trPr>
        <w:tc>
          <w:tcPr>
            <w:tcW w:w="3440" w:type="dxa"/>
            <w:vAlign w:val="bottom"/>
            <w:gridSpan w:val="2"/>
          </w:tcPr>
          <w:p>
            <w:pPr>
              <w:spacing w:after="0"/>
              <w:rPr>
                <w:sz w:val="20"/>
                <w:szCs w:val="20"/>
                <w:color w:val="auto"/>
              </w:rPr>
            </w:pPr>
            <w:r>
              <w:rPr>
                <w:rFonts w:ascii="Arial" w:cs="Arial" w:eastAsia="Arial" w:hAnsi="Arial"/>
                <w:sz w:val="16"/>
                <w:szCs w:val="16"/>
                <w:color w:val="auto"/>
              </w:rPr>
              <w:t>ING Credit Facility</w:t>
            </w:r>
          </w:p>
        </w:tc>
        <w:tc>
          <w:tcPr>
            <w:tcW w:w="80" w:type="dxa"/>
            <w:vAlign w:val="bottom"/>
          </w:tcPr>
          <w:p>
            <w:pPr>
              <w:spacing w:after="0"/>
              <w:rPr>
                <w:sz w:val="16"/>
                <w:szCs w:val="16"/>
                <w:color w:val="auto"/>
              </w:rPr>
            </w:pPr>
          </w:p>
        </w:tc>
        <w:tc>
          <w:tcPr>
            <w:tcW w:w="880" w:type="dxa"/>
            <w:vAlign w:val="bottom"/>
            <w:gridSpan w:val="3"/>
          </w:tcPr>
          <w:p>
            <w:pPr>
              <w:ind w:left="360"/>
              <w:spacing w:after="0"/>
              <w:rPr>
                <w:sz w:val="20"/>
                <w:szCs w:val="20"/>
                <w:color w:val="auto"/>
              </w:rPr>
            </w:pPr>
            <w:r>
              <w:rPr>
                <w:rFonts w:ascii="Arial" w:cs="Arial" w:eastAsia="Arial" w:hAnsi="Arial"/>
                <w:sz w:val="16"/>
                <w:szCs w:val="16"/>
                <w:color w:val="auto"/>
              </w:rPr>
              <w:t>N/A</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2,165</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2,391</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2,630</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2,592</w:t>
            </w: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SBA-guaranteed debentures</w:t>
            </w: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r>
      <w:tr>
        <w:trPr>
          <w:trHeight w:val="189"/>
        </w:trPr>
        <w:tc>
          <w:tcPr>
            <w:tcW w:w="3440" w:type="dxa"/>
            <w:vAlign w:val="bottom"/>
            <w:gridSpan w:val="2"/>
          </w:tcPr>
          <w:p>
            <w:pPr>
              <w:spacing w:after="0"/>
              <w:rPr>
                <w:sz w:val="20"/>
                <w:szCs w:val="20"/>
                <w:color w:val="auto"/>
              </w:rPr>
            </w:pPr>
            <w:r>
              <w:rPr>
                <w:rFonts w:ascii="Arial" w:cs="Arial" w:eastAsia="Arial" w:hAnsi="Arial"/>
                <w:sz w:val="16"/>
                <w:szCs w:val="16"/>
                <w:color w:val="auto"/>
              </w:rPr>
              <w:t>2021 Notes</w:t>
            </w:r>
          </w:p>
        </w:tc>
        <w:tc>
          <w:tcPr>
            <w:tcW w:w="80" w:type="dxa"/>
            <w:vAlign w:val="bottom"/>
          </w:tcPr>
          <w:p>
            <w:pPr>
              <w:spacing w:after="0"/>
              <w:rPr>
                <w:sz w:val="16"/>
                <w:szCs w:val="16"/>
                <w:color w:val="auto"/>
              </w:rPr>
            </w:pPr>
          </w:p>
        </w:tc>
        <w:tc>
          <w:tcPr>
            <w:tcW w:w="880" w:type="dxa"/>
            <w:vAlign w:val="bottom"/>
            <w:gridSpan w:val="3"/>
          </w:tcPr>
          <w:p>
            <w:pPr>
              <w:ind w:left="36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6"/>
                <w:szCs w:val="16"/>
                <w:color w:val="auto"/>
              </w:rPr>
            </w:pPr>
          </w:p>
        </w:tc>
        <w:tc>
          <w:tcPr>
            <w:tcW w:w="900" w:type="dxa"/>
            <w:vAlign w:val="bottom"/>
            <w:gridSpan w:val="3"/>
          </w:tcPr>
          <w:p>
            <w:pPr>
              <w:ind w:left="38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6"/>
                <w:szCs w:val="16"/>
                <w:color w:val="auto"/>
              </w:rPr>
            </w:pPr>
          </w:p>
        </w:tc>
        <w:tc>
          <w:tcPr>
            <w:tcW w:w="900" w:type="dxa"/>
            <w:vAlign w:val="bottom"/>
            <w:gridSpan w:val="3"/>
          </w:tcPr>
          <w:p>
            <w:pPr>
              <w:ind w:left="38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6"/>
                <w:szCs w:val="16"/>
                <w:color w:val="auto"/>
              </w:rPr>
            </w:pPr>
          </w:p>
        </w:tc>
        <w:tc>
          <w:tcPr>
            <w:tcW w:w="880" w:type="dxa"/>
            <w:vAlign w:val="bottom"/>
            <w:gridSpan w:val="3"/>
          </w:tcPr>
          <w:p>
            <w:pPr>
              <w:ind w:left="380"/>
              <w:spacing w:after="0"/>
              <w:rPr>
                <w:sz w:val="20"/>
                <w:szCs w:val="20"/>
                <w:color w:val="auto"/>
              </w:rPr>
            </w:pPr>
            <w:r>
              <w:rPr>
                <w:rFonts w:ascii="Arial" w:cs="Arial" w:eastAsia="Arial" w:hAnsi="Arial"/>
                <w:sz w:val="16"/>
                <w:szCs w:val="16"/>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2,592</w:t>
            </w: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2022 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2,165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2,391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2,630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color w:val="auto"/>
              </w:rPr>
              <w:t>2022 Convertible Notes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1,872</w:t>
            </w: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2,165</w:t>
            </w: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2,391</w:t>
            </w: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2,630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-4384675</wp:posOffset>
            </wp:positionV>
            <wp:extent cx="13716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-4384675</wp:posOffset>
            </wp:positionV>
            <wp:extent cx="14605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-4384675</wp:posOffset>
            </wp:positionV>
            <wp:extent cx="14541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-4384675</wp:posOffset>
            </wp:positionV>
            <wp:extent cx="14605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-4384675</wp:posOffset>
            </wp:positionV>
            <wp:extent cx="278574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-6055995</wp:posOffset>
            </wp:positionV>
            <wp:extent cx="13716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-6055995</wp:posOffset>
            </wp:positionV>
            <wp:extent cx="13716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-6055995</wp:posOffset>
            </wp:positionV>
            <wp:extent cx="13716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-6055995</wp:posOffset>
            </wp:positionV>
            <wp:extent cx="13716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-6055995</wp:posOffset>
            </wp:positionV>
            <wp:extent cx="27774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189"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87"/>
              </w:rPr>
              <w:t>For the years ended December 31,</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6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3"/>
              </w:rPr>
              <w:t>2019</w:t>
            </w: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196"/>
        </w:trPr>
        <w:tc>
          <w:tcPr>
            <w:tcW w:w="3440" w:type="dxa"/>
            <w:vAlign w:val="bottom"/>
            <w:gridSpan w:val="2"/>
            <w:shd w:val="clear" w:color="auto" w:fill="CCEEFF"/>
          </w:tcPr>
          <w:p>
            <w:pPr>
              <w:spacing w:after="0" w:line="195" w:lineRule="exact"/>
              <w:rPr>
                <w:sz w:val="20"/>
                <w:szCs w:val="20"/>
                <w:color w:val="auto"/>
              </w:rPr>
            </w:pPr>
            <w:r>
              <w:rPr>
                <w:rFonts w:ascii="Arial" w:cs="Arial" w:eastAsia="Arial" w:hAnsi="Arial"/>
                <w:sz w:val="15"/>
                <w:szCs w:val="15"/>
                <w:b w:val="1"/>
                <w:bCs w:val="1"/>
                <w:color w:val="auto"/>
              </w:rPr>
              <w:t>Involuntary liquidation preference per unit</w:t>
            </w:r>
            <w:r>
              <w:rPr>
                <w:rFonts w:ascii="Arial" w:cs="Arial" w:eastAsia="Arial" w:hAnsi="Arial"/>
                <w:sz w:val="22"/>
                <w:szCs w:val="22"/>
                <w:b w:val="1"/>
                <w:bCs w:val="1"/>
                <w:color w:val="auto"/>
                <w:vertAlign w:val="superscript"/>
              </w:rPr>
              <w:t>(9)</w:t>
            </w:r>
            <w:r>
              <w:rPr>
                <w:rFonts w:ascii="Arial" w:cs="Arial" w:eastAsia="Arial" w:hAnsi="Arial"/>
                <w:sz w:val="15"/>
                <w:szCs w:val="15"/>
                <w:b w:val="1"/>
                <w:bCs w:val="1"/>
                <w:color w:val="auto"/>
              </w:rPr>
              <w:t>:</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89"/>
        </w:trPr>
        <w:tc>
          <w:tcPr>
            <w:tcW w:w="3440" w:type="dxa"/>
            <w:vAlign w:val="bottom"/>
            <w:gridSpan w:val="2"/>
          </w:tcPr>
          <w:p>
            <w:pPr>
              <w:spacing w:after="0"/>
              <w:rPr>
                <w:sz w:val="20"/>
                <w:szCs w:val="20"/>
                <w:color w:val="auto"/>
              </w:rPr>
            </w:pPr>
            <w:r>
              <w:rPr>
                <w:rFonts w:ascii="Arial" w:cs="Arial" w:eastAsia="Arial" w:hAnsi="Arial"/>
                <w:sz w:val="16"/>
                <w:szCs w:val="16"/>
                <w:color w:val="auto"/>
              </w:rPr>
              <w:t>KeyBank Credit Facility</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ING Credit Facility</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189"/>
        </w:trPr>
        <w:tc>
          <w:tcPr>
            <w:tcW w:w="3440" w:type="dxa"/>
            <w:vAlign w:val="bottom"/>
            <w:gridSpan w:val="2"/>
          </w:tcPr>
          <w:p>
            <w:pPr>
              <w:spacing w:after="0"/>
              <w:rPr>
                <w:sz w:val="20"/>
                <w:szCs w:val="20"/>
                <w:color w:val="auto"/>
              </w:rPr>
            </w:pPr>
            <w:r>
              <w:rPr>
                <w:rFonts w:ascii="Arial" w:cs="Arial" w:eastAsia="Arial" w:hAnsi="Arial"/>
                <w:sz w:val="16"/>
                <w:szCs w:val="16"/>
                <w:color w:val="auto"/>
              </w:rPr>
              <w:t>SBA-guaranteed debentures</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2021 Notes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189"/>
        </w:trPr>
        <w:tc>
          <w:tcPr>
            <w:tcW w:w="3440" w:type="dxa"/>
            <w:vAlign w:val="bottom"/>
            <w:gridSpan w:val="2"/>
          </w:tcPr>
          <w:p>
            <w:pPr>
              <w:spacing w:after="0"/>
              <w:rPr>
                <w:sz w:val="20"/>
                <w:szCs w:val="20"/>
                <w:color w:val="auto"/>
              </w:rPr>
            </w:pPr>
            <w:r>
              <w:rPr>
                <w:rFonts w:ascii="Arial" w:cs="Arial" w:eastAsia="Arial" w:hAnsi="Arial"/>
                <w:sz w:val="16"/>
                <w:szCs w:val="16"/>
                <w:color w:val="auto"/>
              </w:rPr>
              <w:t>2022 Notes</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r>
      <w:tr>
        <w:trPr>
          <w:trHeight w:val="189"/>
        </w:trPr>
        <w:tc>
          <w:tcPr>
            <w:tcW w:w="360" w:type="dxa"/>
            <w:vAlign w:val="bottom"/>
            <w:shd w:val="clear" w:color="auto" w:fill="CCEEFF"/>
          </w:tcPr>
          <w:p>
            <w:pPr>
              <w:spacing w:after="0"/>
              <w:rPr>
                <w:sz w:val="20"/>
                <w:szCs w:val="20"/>
                <w:color w:val="auto"/>
              </w:rPr>
            </w:pPr>
            <w:r>
              <w:rPr>
                <w:rFonts w:ascii="Arial" w:cs="Arial" w:eastAsia="Arial" w:hAnsi="Arial"/>
                <w:sz w:val="16"/>
                <w:szCs w:val="16"/>
                <w:color w:val="auto"/>
                <w:w w:val="95"/>
              </w:rPr>
              <w:t>2022</w:t>
            </w: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310"/>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Average market value per unit</w:t>
            </w:r>
            <w:r>
              <w:rPr>
                <w:rFonts w:ascii="Arial" w:cs="Arial" w:eastAsia="Arial" w:hAnsi="Arial"/>
                <w:sz w:val="25"/>
                <w:szCs w:val="25"/>
                <w:b w:val="1"/>
                <w:bCs w:val="1"/>
                <w:color w:val="auto"/>
                <w:vertAlign w:val="superscript"/>
              </w:rPr>
              <w:t>(10)</w:t>
            </w:r>
            <w:r>
              <w:rPr>
                <w:rFonts w:ascii="Arial" w:cs="Arial" w:eastAsia="Arial" w:hAnsi="Arial"/>
                <w:sz w:val="16"/>
                <w:szCs w:val="16"/>
                <w:b w:val="1"/>
                <w:bCs w:val="1"/>
                <w:color w:val="auto"/>
              </w:rPr>
              <w: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KeyBank Credit Facility</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N/A</w:t>
            </w:r>
          </w:p>
        </w:tc>
      </w:tr>
      <w:tr>
        <w:trPr>
          <w:trHeight w:val="189"/>
        </w:trPr>
        <w:tc>
          <w:tcPr>
            <w:tcW w:w="3440" w:type="dxa"/>
            <w:vAlign w:val="bottom"/>
            <w:gridSpan w:val="2"/>
          </w:tcPr>
          <w:p>
            <w:pPr>
              <w:spacing w:after="0"/>
              <w:rPr>
                <w:sz w:val="20"/>
                <w:szCs w:val="20"/>
                <w:color w:val="auto"/>
              </w:rPr>
            </w:pPr>
            <w:r>
              <w:rPr>
                <w:rFonts w:ascii="Arial" w:cs="Arial" w:eastAsia="Arial" w:hAnsi="Arial"/>
                <w:sz w:val="16"/>
                <w:szCs w:val="16"/>
                <w:color w:val="auto"/>
              </w:rPr>
              <w:t>ING Credit Facility</w:t>
            </w:r>
          </w:p>
        </w:tc>
        <w:tc>
          <w:tcPr>
            <w:tcW w:w="94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N/A</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960" w:type="dxa"/>
            <w:vAlign w:val="bottom"/>
            <w:gridSpan w:val="2"/>
          </w:tcPr>
          <w:p>
            <w:pPr>
              <w:ind w:left="320"/>
              <w:spacing w:after="0"/>
              <w:rPr>
                <w:sz w:val="20"/>
                <w:szCs w:val="20"/>
                <w:color w:val="auto"/>
              </w:rPr>
            </w:pPr>
            <w:r>
              <w:rPr>
                <w:rFonts w:ascii="Arial" w:cs="Arial" w:eastAsia="Arial" w:hAnsi="Arial"/>
                <w:sz w:val="16"/>
                <w:szCs w:val="16"/>
                <w:color w:val="auto"/>
              </w:rPr>
              <w:t>N/A</w:t>
            </w:r>
          </w:p>
        </w:tc>
        <w:tc>
          <w:tcPr>
            <w:tcW w:w="980" w:type="dxa"/>
            <w:vAlign w:val="bottom"/>
            <w:gridSpan w:val="2"/>
          </w:tcPr>
          <w:p>
            <w:pPr>
              <w:ind w:left="340"/>
              <w:spacing w:after="0"/>
              <w:rPr>
                <w:sz w:val="20"/>
                <w:szCs w:val="20"/>
                <w:color w:val="auto"/>
              </w:rPr>
            </w:pPr>
            <w:r>
              <w:rPr>
                <w:rFonts w:ascii="Arial" w:cs="Arial" w:eastAsia="Arial" w:hAnsi="Arial"/>
                <w:sz w:val="16"/>
                <w:szCs w:val="16"/>
                <w:color w:val="auto"/>
              </w:rPr>
              <w:t>N/A</w:t>
            </w:r>
          </w:p>
        </w:tc>
      </w:tr>
      <w:tr>
        <w:trPr>
          <w:trHeight w:val="189"/>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SBA-guaranteed debentures</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N/A</w:t>
            </w:r>
          </w:p>
        </w:tc>
      </w:tr>
      <w:tr>
        <w:trPr>
          <w:trHeight w:val="189"/>
        </w:trPr>
        <w:tc>
          <w:tcPr>
            <w:tcW w:w="360" w:type="dxa"/>
            <w:vAlign w:val="bottom"/>
          </w:tcPr>
          <w:p>
            <w:pPr>
              <w:spacing w:after="0"/>
              <w:rPr>
                <w:sz w:val="20"/>
                <w:szCs w:val="20"/>
                <w:color w:val="auto"/>
              </w:rPr>
            </w:pPr>
            <w:r>
              <w:rPr>
                <w:rFonts w:ascii="Arial" w:cs="Arial" w:eastAsia="Arial" w:hAnsi="Arial"/>
                <w:sz w:val="16"/>
                <w:szCs w:val="16"/>
                <w:color w:val="auto"/>
                <w:w w:val="95"/>
              </w:rPr>
              <w:t>2021</w:t>
            </w:r>
          </w:p>
        </w:tc>
        <w:tc>
          <w:tcPr>
            <w:tcW w:w="3080" w:type="dxa"/>
            <w:vAlign w:val="bottom"/>
          </w:tcPr>
          <w:p>
            <w:pPr>
              <w:ind w:left="20"/>
              <w:spacing w:after="0"/>
              <w:rPr>
                <w:sz w:val="20"/>
                <w:szCs w:val="20"/>
                <w:color w:val="auto"/>
              </w:rPr>
            </w:pPr>
            <w:r>
              <w:rPr>
                <w:rFonts w:ascii="Arial" w:cs="Arial" w:eastAsia="Arial" w:hAnsi="Arial"/>
                <w:sz w:val="16"/>
                <w:szCs w:val="16"/>
                <w:color w:val="auto"/>
              </w:rPr>
              <w:t>Notes</w:t>
            </w:r>
          </w:p>
        </w:tc>
        <w:tc>
          <w:tcPr>
            <w:tcW w:w="94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N/A</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960" w:type="dxa"/>
            <w:vAlign w:val="bottom"/>
            <w:gridSpan w:val="2"/>
          </w:tcPr>
          <w:p>
            <w:pPr>
              <w:ind w:left="320"/>
              <w:spacing w:after="0"/>
              <w:rPr>
                <w:sz w:val="20"/>
                <w:szCs w:val="20"/>
                <w:color w:val="auto"/>
              </w:rPr>
            </w:pPr>
            <w:r>
              <w:rPr>
                <w:rFonts w:ascii="Arial" w:cs="Arial" w:eastAsia="Arial" w:hAnsi="Arial"/>
                <w:sz w:val="16"/>
                <w:szCs w:val="16"/>
                <w:color w:val="auto"/>
              </w:rPr>
              <w:t>N/A</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$1,006</w:t>
            </w:r>
          </w:p>
        </w:tc>
        <w:tc>
          <w:tcPr>
            <w:tcW w:w="200" w:type="dxa"/>
            <w:vAlign w:val="bottom"/>
          </w:tcPr>
          <w:p>
            <w:pPr>
              <w:spacing w:after="0"/>
              <w:rPr>
                <w:sz w:val="16"/>
                <w:szCs w:val="16"/>
                <w:color w:val="auto"/>
              </w:rPr>
            </w:pPr>
          </w:p>
        </w:tc>
      </w:tr>
      <w:tr>
        <w:trPr>
          <w:trHeight w:val="189"/>
        </w:trPr>
        <w:tc>
          <w:tcPr>
            <w:tcW w:w="360" w:type="dxa"/>
            <w:vAlign w:val="bottom"/>
            <w:shd w:val="clear" w:color="auto" w:fill="CCEEFF"/>
          </w:tcPr>
          <w:p>
            <w:pPr>
              <w:spacing w:after="0"/>
              <w:rPr>
                <w:sz w:val="20"/>
                <w:szCs w:val="20"/>
                <w:color w:val="auto"/>
              </w:rPr>
            </w:pPr>
            <w:r>
              <w:rPr>
                <w:rFonts w:ascii="Arial" w:cs="Arial" w:eastAsia="Arial" w:hAnsi="Arial"/>
                <w:sz w:val="16"/>
                <w:szCs w:val="16"/>
                <w:color w:val="auto"/>
                <w:w w:val="95"/>
              </w:rPr>
              <w:t>2022</w:t>
            </w: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$ 867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4"/>
              </w:rPr>
              <w:t>1,000</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$ 996</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$1,014</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N/A</w:t>
            </w:r>
          </w:p>
        </w:tc>
      </w:tr>
      <w:tr>
        <w:trPr>
          <w:trHeight w:val="210"/>
        </w:trPr>
        <w:tc>
          <w:tcPr>
            <w:tcW w:w="360" w:type="dxa"/>
            <w:vAlign w:val="bottom"/>
          </w:tcPr>
          <w:p>
            <w:pPr>
              <w:spacing w:after="0"/>
              <w:rPr>
                <w:sz w:val="20"/>
                <w:szCs w:val="20"/>
                <w:color w:val="auto"/>
              </w:rPr>
            </w:pPr>
            <w:r>
              <w:rPr>
                <w:rFonts w:ascii="Arial" w:cs="Arial" w:eastAsia="Arial" w:hAnsi="Arial"/>
                <w:sz w:val="16"/>
                <w:szCs w:val="16"/>
                <w:color w:val="auto"/>
                <w:w w:val="95"/>
              </w:rPr>
              <w:t>2022</w:t>
            </w:r>
          </w:p>
        </w:tc>
        <w:tc>
          <w:tcPr>
            <w:tcW w:w="308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$ 856</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80"/>
              <w:spacing w:after="0"/>
              <w:rPr>
                <w:sz w:val="20"/>
                <w:szCs w:val="20"/>
                <w:color w:val="auto"/>
              </w:rPr>
            </w:pPr>
            <w:r>
              <w:rPr>
                <w:rFonts w:ascii="Arial" w:cs="Arial" w:eastAsia="Arial" w:hAnsi="Arial"/>
                <w:sz w:val="16"/>
                <w:szCs w:val="16"/>
                <w:color w:val="auto"/>
              </w:rPr>
              <w:t>994</w:t>
            </w:r>
          </w:p>
        </w:tc>
        <w:tc>
          <w:tcPr>
            <w:tcW w:w="220" w:type="dxa"/>
            <w:vAlign w:val="bottom"/>
          </w:tcPr>
          <w:p>
            <w:pPr>
              <w:spacing w:after="0"/>
              <w:rPr>
                <w:sz w:val="18"/>
                <w:szCs w:val="18"/>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$ 984</w:t>
            </w:r>
          </w:p>
        </w:tc>
        <w:tc>
          <w:tcPr>
            <w:tcW w:w="22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$1,001</w:t>
            </w:r>
          </w:p>
        </w:tc>
        <w:tc>
          <w:tcPr>
            <w:tcW w:w="22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-1787525</wp:posOffset>
            </wp:positionV>
            <wp:extent cx="13716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-1787525</wp:posOffset>
            </wp:positionV>
            <wp:extent cx="13716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-1787525</wp:posOffset>
            </wp:positionV>
            <wp:extent cx="13716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-1787525</wp:posOffset>
            </wp:positionV>
            <wp:extent cx="13716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-1787525</wp:posOffset>
            </wp:positionV>
            <wp:extent cx="27774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132080</wp:posOffset>
            </wp:positionV>
            <wp:extent cx="123444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6" w:lineRule="exact"/>
        <w:rPr>
          <w:sz w:val="20"/>
          <w:szCs w:val="20"/>
          <w:color w:val="auto"/>
        </w:rPr>
      </w:pPr>
    </w:p>
    <w:p>
      <w:pPr>
        <w:ind w:left="1620" w:right="419" w:hanging="360"/>
        <w:spacing w:after="0" w:line="27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and per share data have been adjusted for the periods shown to reflect the one-for-six reverse stock split effected on August 21, 2020 on a retroactive basis, as described in Note 1.</w:t>
      </w:r>
    </w:p>
    <w:p>
      <w:pPr>
        <w:spacing w:after="0" w:line="48"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of the Company’s common stock outstanding during the period.</w:t>
      </w:r>
    </w:p>
    <w:p>
      <w:pPr>
        <w:spacing w:after="0" w:line="35" w:lineRule="exact"/>
        <w:rPr>
          <w:rFonts w:ascii="Arial" w:cs="Arial" w:eastAsia="Arial" w:hAnsi="Arial"/>
          <w:sz w:val="18"/>
          <w:szCs w:val="18"/>
          <w:color w:val="auto"/>
        </w:rPr>
      </w:pPr>
    </w:p>
    <w:p>
      <w:pPr>
        <w:jc w:val="both"/>
        <w:ind w:left="1620" w:right="419" w:hanging="360"/>
        <w:spacing w:after="0" w:line="279"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 Also includes the impact of shares of the Company’s common stock issued under the Company’s DRIP.</w:t>
      </w:r>
    </w:p>
    <w:p>
      <w:pPr>
        <w:spacing w:after="0" w:line="36" w:lineRule="exact"/>
        <w:rPr>
          <w:rFonts w:ascii="Arial" w:cs="Arial" w:eastAsia="Arial" w:hAnsi="Arial"/>
          <w:sz w:val="17"/>
          <w:szCs w:val="17"/>
          <w:color w:val="auto"/>
        </w:rPr>
      </w:pPr>
    </w:p>
    <w:p>
      <w:pPr>
        <w:jc w:val="both"/>
        <w:ind w:left="1620" w:right="419" w:hanging="360"/>
        <w:spacing w:after="0" w:line="25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w:t>
      </w:r>
    </w:p>
    <w:p>
      <w:pPr>
        <w:spacing w:after="0" w:line="66"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ratio of waived incentive fees to average net assets was 0.00%, 0.17%, 0.00%, 0.40%, and 0.65% for the years ended December 31, 2020, 2019, 2018, 2017 and 2016, respectively.</w:t>
      </w:r>
    </w:p>
    <w:p>
      <w:pPr>
        <w:spacing w:after="0" w:line="35"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103" w:lineRule="exact"/>
        <w:rPr>
          <w:rFonts w:ascii="Arial" w:cs="Arial" w:eastAsia="Arial" w:hAnsi="Arial"/>
          <w:sz w:val="18"/>
          <w:szCs w:val="18"/>
          <w:color w:val="auto"/>
        </w:rPr>
      </w:pPr>
    </w:p>
    <w:p>
      <w:pPr>
        <w:jc w:val="both"/>
        <w:ind w:left="1620" w:right="419" w:hanging="360"/>
        <w:spacing w:after="0" w:line="272"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pursuant to the exemptive relief granted by the SEC in June 2014 that permits us to exclude such debentures from the definition of senior securities in the 200% asset coverage ratio (150% after November 1, 2019) we are required to maintain under the 1940 Act. Asset coverage per unit is expressed in terms of dollar amounts per $1,000 of indebtedness.</w:t>
      </w:r>
    </w:p>
    <w:p>
      <w:pPr>
        <w:spacing w:after="0" w:line="42" w:lineRule="exact"/>
        <w:rPr>
          <w:rFonts w:ascii="Arial" w:cs="Arial" w:eastAsia="Arial" w:hAnsi="Arial"/>
          <w:sz w:val="17"/>
          <w:szCs w:val="17"/>
          <w:color w:val="auto"/>
        </w:rPr>
      </w:pPr>
    </w:p>
    <w:p>
      <w:pPr>
        <w:jc w:val="both"/>
        <w:ind w:left="1620" w:right="419" w:hanging="360"/>
        <w:spacing w:after="0" w:line="263"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w:t>
      </w:r>
    </w:p>
    <w:p>
      <w:pPr>
        <w:spacing w:after="0" w:line="48" w:lineRule="exact"/>
        <w:rPr>
          <w:rFonts w:ascii="Arial" w:cs="Arial" w:eastAsia="Arial" w:hAnsi="Arial"/>
          <w:sz w:val="18"/>
          <w:szCs w:val="18"/>
          <w:color w:val="auto"/>
        </w:rPr>
      </w:pPr>
    </w:p>
    <w:p>
      <w:pPr>
        <w:jc w:val="both"/>
        <w:ind w:left="1620" w:right="419" w:hanging="360"/>
        <w:spacing w:after="0" w:line="279"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applicable except for the 2021 Notes, the 2022 Notes and the 2022 Convertible Notes which are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10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CAPITALA FINANCE CORP.</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Selected Quarterly Financial Data (Unaudited)</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3"/>
              </w:rPr>
              <w:t>For the quarter ended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r>
      <w:tr>
        <w:trPr>
          <w:trHeight w:val="26"/>
        </w:trPr>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4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8"/>
              </w:rPr>
              <w:t>$5,679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6,694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6,999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60" w:type="dxa"/>
            <w:vAlign w:val="bottom"/>
          </w:tcPr>
          <w:p>
            <w:pPr>
              <w:spacing w:after="0"/>
              <w:rPr>
                <w:sz w:val="21"/>
                <w:szCs w:val="21"/>
                <w:color w:val="auto"/>
              </w:rPr>
            </w:pPr>
          </w:p>
        </w:tc>
      </w:tr>
      <w:tr>
        <w:trPr>
          <w:trHeight w:val="257"/>
        </w:trPr>
        <w:tc>
          <w:tcPr>
            <w:tcW w:w="4420" w:type="dxa"/>
            <w:vAlign w:val="bottom"/>
            <w:gridSpan w:val="2"/>
          </w:tcPr>
          <w:p>
            <w:pPr>
              <w:spacing w:after="0"/>
              <w:rPr>
                <w:sz w:val="20"/>
                <w:szCs w:val="20"/>
                <w:color w:val="auto"/>
              </w:rPr>
            </w:pPr>
            <w:r>
              <w:rPr>
                <w:rFonts w:ascii="Arial" w:cs="Arial" w:eastAsia="Arial" w:hAnsi="Arial"/>
                <w:sz w:val="18"/>
                <w:szCs w:val="18"/>
                <w:color w:val="auto"/>
              </w:rPr>
              <w:t>Net investment (loss) income</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(609)</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3,355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3,100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0"/>
              </w:rPr>
              <w:t>$(42,440)</w:t>
            </w:r>
          </w:p>
        </w:tc>
        <w:tc>
          <w:tcPr>
            <w:tcW w:w="60" w:type="dxa"/>
            <w:vAlign w:val="bottom"/>
          </w:tcPr>
          <w:p>
            <w:pPr>
              <w:spacing w:after="0"/>
              <w:rPr>
                <w:sz w:val="21"/>
                <w:szCs w:val="21"/>
                <w:color w:val="auto"/>
              </w:rPr>
            </w:pPr>
          </w:p>
        </w:tc>
      </w:tr>
      <w:tr>
        <w:trPr>
          <w:trHeight w:val="270"/>
        </w:trPr>
        <w:tc>
          <w:tcPr>
            <w:tcW w:w="4420" w:type="dxa"/>
            <w:vAlign w:val="bottom"/>
            <w:gridSpan w:val="2"/>
          </w:tcPr>
          <w:p>
            <w:pPr>
              <w:spacing w:after="0" w:line="270" w:lineRule="exact"/>
              <w:rPr>
                <w:sz w:val="20"/>
                <w:szCs w:val="20"/>
                <w:color w:val="auto"/>
              </w:rPr>
            </w:pPr>
            <w:r>
              <w:rPr>
                <w:rFonts w:ascii="Arial" w:cs="Arial" w:eastAsia="Arial" w:hAnsi="Arial"/>
                <w:sz w:val="18"/>
                <w:szCs w:val="18"/>
                <w:color w:val="auto"/>
              </w:rPr>
              <w:t>Net investment (loss) income per share</w:t>
            </w:r>
            <w:r>
              <w:rPr>
                <w:rFonts w:ascii="Arial" w:cs="Arial" w:eastAsia="Arial" w:hAnsi="Arial"/>
                <w:sz w:val="26"/>
                <w:szCs w:val="26"/>
                <w:color w:val="auto"/>
                <w:vertAlign w:val="superscript"/>
              </w:rPr>
              <w:t>(1)</w:t>
            </w:r>
          </w:p>
        </w:tc>
        <w:tc>
          <w:tcPr>
            <w:tcW w:w="1060" w:type="dxa"/>
            <w:vAlign w:val="bottom"/>
            <w:gridSpan w:val="5"/>
          </w:tcPr>
          <w:p>
            <w:pPr>
              <w:ind w:left="380"/>
              <w:spacing w:after="0"/>
              <w:rPr>
                <w:sz w:val="20"/>
                <w:szCs w:val="20"/>
                <w:color w:val="auto"/>
              </w:rPr>
            </w:pPr>
            <w:r>
              <w:rPr>
                <w:rFonts w:ascii="Arial" w:cs="Arial" w:eastAsia="Arial" w:hAnsi="Arial"/>
                <w:sz w:val="18"/>
                <w:szCs w:val="18"/>
                <w:color w:val="auto"/>
              </w:rPr>
              <w:t>$ (0.02)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(0.22)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192"/>
        </w:trPr>
        <w:tc>
          <w:tcPr>
            <w:tcW w:w="44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Net increase (decrease) in net assets resulting from</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94"/>
        </w:trPr>
        <w:tc>
          <w:tcPr>
            <w:tcW w:w="442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operations per share</w:t>
            </w:r>
            <w:r>
              <w:rPr>
                <w:rFonts w:ascii="Arial" w:cs="Arial" w:eastAsia="Arial" w:hAnsi="Arial"/>
                <w:sz w:val="26"/>
                <w:szCs w:val="26"/>
                <w:color w:val="auto"/>
                <w:vertAlign w:val="superscript"/>
              </w:rPr>
              <w:t>(1)</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(15.70)</w:t>
            </w:r>
          </w:p>
        </w:tc>
        <w:tc>
          <w:tcPr>
            <w:tcW w:w="60" w:type="dxa"/>
            <w:vAlign w:val="bottom"/>
          </w:tcPr>
          <w:p>
            <w:pPr>
              <w:spacing w:after="0"/>
              <w:rPr>
                <w:sz w:val="24"/>
                <w:szCs w:val="24"/>
                <w:color w:val="auto"/>
              </w:rPr>
            </w:pPr>
          </w:p>
        </w:tc>
      </w:tr>
      <w:tr>
        <w:trPr>
          <w:trHeight w:val="355"/>
        </w:trPr>
        <w:tc>
          <w:tcPr>
            <w:tcW w:w="4420" w:type="dxa"/>
            <w:vAlign w:val="bottom"/>
            <w:gridSpan w:val="2"/>
          </w:tcPr>
          <w:p>
            <w:pPr>
              <w:spacing w:after="0"/>
              <w:rPr>
                <w:sz w:val="20"/>
                <w:szCs w:val="20"/>
                <w:color w:val="auto"/>
              </w:rPr>
            </w:pPr>
            <w:r>
              <w:rPr>
                <w:rFonts w:ascii="Arial" w:cs="Arial" w:eastAsia="Arial" w:hAnsi="Arial"/>
                <w:sz w:val="18"/>
                <w:szCs w:val="18"/>
                <w:color w:val="auto"/>
              </w:rPr>
              <w:t>Net asset value per share at end of period</w:t>
            </w:r>
            <w:r>
              <w:rPr>
                <w:rFonts w:ascii="Arial" w:cs="Arial" w:eastAsia="Arial" w:hAnsi="Arial"/>
                <w:sz w:val="26"/>
                <w:szCs w:val="26"/>
                <w:color w:val="auto"/>
                <w:vertAlign w:val="superscript"/>
              </w:rPr>
              <w:t>(1)</w:t>
            </w:r>
          </w:p>
        </w:tc>
        <w:tc>
          <w:tcPr>
            <w:tcW w:w="940" w:type="dxa"/>
            <w:vAlign w:val="bottom"/>
            <w:gridSpan w:val="4"/>
          </w:tcPr>
          <w:p>
            <w:pPr>
              <w:ind w:left="380"/>
              <w:spacing w:after="0"/>
              <w:rPr>
                <w:sz w:val="20"/>
                <w:szCs w:val="20"/>
                <w:color w:val="auto"/>
              </w:rPr>
            </w:pPr>
            <w:r>
              <w:rPr>
                <w:rFonts w:ascii="Arial" w:cs="Arial" w:eastAsia="Arial" w:hAnsi="Arial"/>
                <w:sz w:val="18"/>
                <w:szCs w:val="18"/>
                <w:color w:val="auto"/>
                <w:w w:val="98"/>
              </w:rPr>
              <w:t>$40.19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39.99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38.75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37.61</w:t>
            </w:r>
          </w:p>
        </w:tc>
      </w:tr>
      <w:tr>
        <w:trPr>
          <w:trHeight w:val="294"/>
        </w:trPr>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10"/>
          </w:tcPr>
          <w:p>
            <w:pPr>
              <w:spacing w:after="0"/>
              <w:rPr>
                <w:sz w:val="20"/>
                <w:szCs w:val="20"/>
                <w:color w:val="auto"/>
              </w:rPr>
            </w:pPr>
            <w:r>
              <w:rPr>
                <w:rFonts w:ascii="Arial" w:cs="Arial" w:eastAsia="Arial" w:hAnsi="Arial"/>
                <w:sz w:val="14"/>
                <w:szCs w:val="14"/>
                <w:b w:val="1"/>
                <w:bCs w:val="1"/>
                <w:color w:val="auto"/>
              </w:rPr>
              <w:t>For the quarter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8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940" w:type="dxa"/>
            <w:vAlign w:val="bottom"/>
            <w:gridSpan w:val="4"/>
          </w:tcPr>
          <w:p>
            <w:pPr>
              <w:ind w:left="3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r>
      <w:tr>
        <w:trPr>
          <w:trHeight w:val="26"/>
        </w:trPr>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40" w:type="dxa"/>
            <w:vAlign w:val="bottom"/>
            <w:gridSpan w:val="4"/>
            <w:shd w:val="clear" w:color="auto" w:fill="CCEEFF"/>
          </w:tcPr>
          <w:p>
            <w:pPr>
              <w:jc w:val="right"/>
              <w:ind w:right="94"/>
              <w:spacing w:after="0"/>
              <w:rPr>
                <w:sz w:val="20"/>
                <w:szCs w:val="20"/>
                <w:color w:val="auto"/>
              </w:rPr>
            </w:pPr>
            <w:r>
              <w:rPr>
                <w:rFonts w:ascii="Arial" w:cs="Arial" w:eastAsia="Arial" w:hAnsi="Arial"/>
                <w:sz w:val="18"/>
                <w:szCs w:val="18"/>
                <w:color w:val="auto"/>
              </w:rPr>
              <w:t>$9,634</w:t>
            </w:r>
          </w:p>
        </w:tc>
        <w:tc>
          <w:tcPr>
            <w:tcW w:w="120" w:type="dxa"/>
            <w:vAlign w:val="bottom"/>
            <w:shd w:val="clear" w:color="auto" w:fill="CCEEFF"/>
          </w:tcPr>
          <w:p>
            <w:pPr>
              <w:spacing w:after="0"/>
              <w:rPr>
                <w:sz w:val="21"/>
                <w:szCs w:val="21"/>
                <w:color w:val="auto"/>
              </w:rPr>
            </w:pPr>
          </w:p>
        </w:tc>
        <w:tc>
          <w:tcPr>
            <w:tcW w:w="98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$10,126</w:t>
            </w:r>
          </w:p>
        </w:tc>
        <w:tc>
          <w:tcPr>
            <w:tcW w:w="120" w:type="dxa"/>
            <w:vAlign w:val="bottom"/>
            <w:shd w:val="clear" w:color="auto" w:fill="CCEEFF"/>
          </w:tcPr>
          <w:p>
            <w:pPr>
              <w:spacing w:after="0"/>
              <w:rPr>
                <w:sz w:val="21"/>
                <w:szCs w:val="21"/>
                <w:color w:val="auto"/>
              </w:rPr>
            </w:pPr>
          </w:p>
        </w:tc>
        <w:tc>
          <w:tcPr>
            <w:tcW w:w="9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$ 11,590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$12,684</w:t>
            </w:r>
          </w:p>
        </w:tc>
        <w:tc>
          <w:tcPr>
            <w:tcW w:w="60" w:type="dxa"/>
            <w:vAlign w:val="bottom"/>
          </w:tcPr>
          <w:p>
            <w:pPr>
              <w:spacing w:after="0"/>
              <w:rPr>
                <w:sz w:val="21"/>
                <w:szCs w:val="21"/>
                <w:color w:val="auto"/>
              </w:rPr>
            </w:pPr>
          </w:p>
        </w:tc>
      </w:tr>
      <w:tr>
        <w:trPr>
          <w:trHeight w:val="257"/>
        </w:trPr>
        <w:tc>
          <w:tcPr>
            <w:tcW w:w="44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4"/>
          </w:tcPr>
          <w:p>
            <w:pPr>
              <w:jc w:val="right"/>
              <w:ind w:right="94"/>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22"/>
                <w:szCs w:val="22"/>
                <w:color w:val="auto"/>
              </w:rPr>
            </w:pP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w w:val="97"/>
              </w:rPr>
              <w:t>2,984</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4,022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4,135</w:t>
            </w:r>
          </w:p>
        </w:tc>
        <w:tc>
          <w:tcPr>
            <w:tcW w:w="60" w:type="dxa"/>
            <w:vAlign w:val="bottom"/>
          </w:tcPr>
          <w:p>
            <w:pPr>
              <w:spacing w:after="0"/>
              <w:rPr>
                <w:sz w:val="22"/>
                <w:szCs w:val="22"/>
                <w:color w:val="auto"/>
              </w:rPr>
            </w:pPr>
          </w:p>
        </w:tc>
      </w:tr>
      <w:tr>
        <w:trPr>
          <w:trHeight w:val="229"/>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4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(69)</w:t>
            </w:r>
          </w:p>
        </w:tc>
        <w:tc>
          <w:tcPr>
            <w:tcW w:w="120" w:type="dxa"/>
            <w:vAlign w:val="bottom"/>
            <w:shd w:val="clear" w:color="auto" w:fill="CCEEFF"/>
          </w:tcPr>
          <w:p>
            <w:pPr>
              <w:spacing w:after="0"/>
              <w:rPr>
                <w:sz w:val="21"/>
                <w:szCs w:val="21"/>
                <w:color w:val="auto"/>
              </w:rPr>
            </w:pP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7"/>
              </w:rPr>
              <w:t>1,717</w:t>
            </w:r>
          </w:p>
        </w:tc>
        <w:tc>
          <w:tcPr>
            <w:tcW w:w="120" w:type="dxa"/>
            <w:vAlign w:val="bottom"/>
            <w:shd w:val="clear" w:color="auto" w:fill="CCEEFF"/>
          </w:tcPr>
          <w:p>
            <w:pPr>
              <w:spacing w:after="0"/>
              <w:rPr>
                <w:sz w:val="21"/>
                <w:szCs w:val="21"/>
                <w:color w:val="auto"/>
              </w:rPr>
            </w:pPr>
          </w:p>
        </w:tc>
        <w:tc>
          <w:tcPr>
            <w:tcW w:w="9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$(29,144)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r>
      <w:tr>
        <w:trPr>
          <w:trHeight w:val="270"/>
        </w:trPr>
        <w:tc>
          <w:tcPr>
            <w:tcW w:w="4420" w:type="dxa"/>
            <w:vAlign w:val="bottom"/>
            <w:gridSpan w:val="2"/>
          </w:tcPr>
          <w:p>
            <w:pPr>
              <w:spacing w:after="0" w:line="270"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6"/>
                <w:szCs w:val="26"/>
                <w:color w:val="auto"/>
                <w:vertAlign w:val="superscript"/>
              </w:rPr>
              <w:t>(1)</w:t>
            </w:r>
          </w:p>
        </w:tc>
        <w:tc>
          <w:tcPr>
            <w:tcW w:w="940" w:type="dxa"/>
            <w:vAlign w:val="bottom"/>
            <w:gridSpan w:val="4"/>
          </w:tcPr>
          <w:p>
            <w:pPr>
              <w:jc w:val="right"/>
              <w:ind w:right="94"/>
              <w:spacing w:after="0"/>
              <w:rPr>
                <w:sz w:val="20"/>
                <w:szCs w:val="20"/>
                <w:color w:val="auto"/>
              </w:rPr>
            </w:pPr>
            <w:r>
              <w:rPr>
                <w:rFonts w:ascii="Arial" w:cs="Arial" w:eastAsia="Arial" w:hAnsi="Arial"/>
                <w:sz w:val="18"/>
                <w:szCs w:val="18"/>
                <w:color w:val="auto"/>
              </w:rPr>
              <w:t>$ 0.71</w:t>
            </w:r>
          </w:p>
        </w:tc>
        <w:tc>
          <w:tcPr>
            <w:tcW w:w="120" w:type="dxa"/>
            <w:vAlign w:val="bottom"/>
          </w:tcPr>
          <w:p>
            <w:pPr>
              <w:spacing w:after="0"/>
              <w:rPr>
                <w:sz w:val="23"/>
                <w:szCs w:val="23"/>
                <w:color w:val="auto"/>
              </w:rPr>
            </w:pP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1.11</w:t>
            </w:r>
          </w:p>
        </w:tc>
        <w:tc>
          <w:tcPr>
            <w:tcW w:w="1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1.50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3"/>
                <w:szCs w:val="23"/>
                <w:color w:val="auto"/>
              </w:rPr>
            </w:pPr>
          </w:p>
        </w:tc>
      </w:tr>
      <w:tr>
        <w:trPr>
          <w:trHeight w:val="205"/>
        </w:trPr>
        <w:tc>
          <w:tcPr>
            <w:tcW w:w="44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Net (decrease) increase in net assets resulting from</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81"/>
        </w:trPr>
        <w:tc>
          <w:tcPr>
            <w:tcW w:w="442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operations per share</w:t>
            </w:r>
            <w:r>
              <w:rPr>
                <w:rFonts w:ascii="Arial" w:cs="Arial" w:eastAsia="Arial" w:hAnsi="Arial"/>
                <w:sz w:val="26"/>
                <w:szCs w:val="26"/>
                <w:color w:val="auto"/>
                <w:vertAlign w:val="superscript"/>
              </w:rPr>
              <w:t>(1)</w:t>
            </w:r>
          </w:p>
        </w:tc>
        <w:tc>
          <w:tcPr>
            <w:tcW w:w="940" w:type="dxa"/>
            <w:vAlign w:val="bottom"/>
            <w:gridSpan w:val="4"/>
            <w:shd w:val="clear" w:color="auto" w:fill="CCEEFF"/>
          </w:tcPr>
          <w:p>
            <w:pPr>
              <w:jc w:val="right"/>
              <w:ind w:right="34"/>
              <w:spacing w:after="0"/>
              <w:rPr>
                <w:sz w:val="20"/>
                <w:szCs w:val="20"/>
                <w:color w:val="auto"/>
              </w:rPr>
            </w:pPr>
            <w:r>
              <w:rPr>
                <w:rFonts w:ascii="Arial" w:cs="Arial" w:eastAsia="Arial" w:hAnsi="Arial"/>
                <w:sz w:val="18"/>
                <w:szCs w:val="18"/>
                <w:color w:val="auto"/>
              </w:rPr>
              <w:t>$ (0.03)</w:t>
            </w:r>
          </w:p>
        </w:tc>
        <w:tc>
          <w:tcPr>
            <w:tcW w:w="120" w:type="dxa"/>
            <w:vAlign w:val="bottom"/>
            <w:shd w:val="clear" w:color="auto" w:fill="CCEEFF"/>
          </w:tcPr>
          <w:p>
            <w:pPr>
              <w:spacing w:after="0"/>
              <w:rPr>
                <w:sz w:val="24"/>
                <w:szCs w:val="24"/>
                <w:color w:val="auto"/>
              </w:rPr>
            </w:pP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5"/>
              </w:rPr>
              <w:t>0.64</w:t>
            </w:r>
          </w:p>
        </w:tc>
        <w:tc>
          <w:tcPr>
            <w:tcW w:w="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(10.86)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4"/>
                <w:szCs w:val="24"/>
                <w:color w:val="auto"/>
              </w:rPr>
            </w:pPr>
          </w:p>
        </w:tc>
      </w:tr>
      <w:tr>
        <w:trPr>
          <w:trHeight w:val="369"/>
        </w:trPr>
        <w:tc>
          <w:tcPr>
            <w:tcW w:w="4420" w:type="dxa"/>
            <w:vAlign w:val="bottom"/>
            <w:gridSpan w:val="2"/>
          </w:tcPr>
          <w:p>
            <w:pPr>
              <w:spacing w:after="0"/>
              <w:rPr>
                <w:sz w:val="20"/>
                <w:szCs w:val="20"/>
                <w:color w:val="auto"/>
              </w:rPr>
            </w:pPr>
            <w:r>
              <w:rPr>
                <w:rFonts w:ascii="Arial" w:cs="Arial" w:eastAsia="Arial" w:hAnsi="Arial"/>
                <w:sz w:val="18"/>
                <w:szCs w:val="18"/>
                <w:color w:val="auto"/>
              </w:rPr>
              <w:t>Net asset value per share at end of period</w:t>
            </w:r>
            <w:r>
              <w:rPr>
                <w:rFonts w:ascii="Arial" w:cs="Arial" w:eastAsia="Arial" w:hAnsi="Arial"/>
                <w:sz w:val="26"/>
                <w:szCs w:val="26"/>
                <w:color w:val="auto"/>
                <w:vertAlign w:val="superscript"/>
              </w:rPr>
              <w:t>(1)</w:t>
            </w:r>
          </w:p>
        </w:tc>
        <w:tc>
          <w:tcPr>
            <w:tcW w:w="940" w:type="dxa"/>
            <w:vAlign w:val="bottom"/>
            <w:gridSpan w:val="4"/>
          </w:tcPr>
          <w:p>
            <w:pPr>
              <w:jc w:val="right"/>
              <w:ind w:right="94"/>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24"/>
                <w:szCs w:val="24"/>
                <w:color w:val="auto"/>
              </w:rPr>
            </w:pP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w w:val="97"/>
              </w:rPr>
              <w:t>56.39</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57.27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69.66</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-3148330</wp:posOffset>
            </wp:positionV>
            <wp:extent cx="13716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-3148330</wp:posOffset>
            </wp:positionV>
            <wp:extent cx="13716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-3148330</wp:posOffset>
            </wp:positionV>
            <wp:extent cx="13716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-3148330</wp:posOffset>
            </wp:positionV>
            <wp:extent cx="13716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-1348105</wp:posOffset>
            </wp:positionV>
            <wp:extent cx="13716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-1348105</wp:posOffset>
            </wp:positionV>
            <wp:extent cx="13716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-1348105</wp:posOffset>
            </wp:positionV>
            <wp:extent cx="13716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-1348105</wp:posOffset>
            </wp:positionV>
            <wp:extent cx="13716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83185</wp:posOffset>
            </wp:positionV>
            <wp:extent cx="123444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8" w:lineRule="exact"/>
        <w:rPr>
          <w:sz w:val="20"/>
          <w:szCs w:val="20"/>
          <w:color w:val="auto"/>
        </w:rPr>
      </w:pPr>
    </w:p>
    <w:p>
      <w:pPr>
        <w:ind w:left="1620" w:right="419" w:hanging="360"/>
        <w:spacing w:after="0" w:line="277" w:lineRule="auto"/>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and amount per share have been adjusted for the periods shown to reflect the one-for-six reverse stock split effected on August 21, 2020 on a retroactive basis, as described in Note 1.</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58"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On January 28, 2021, the Company’s first lien debt investment in Burgaflex Holdings, LLC was repaid at par.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Borrowings</w:t>
      </w:r>
    </w:p>
    <w:p>
      <w:pPr>
        <w:spacing w:after="0" w:line="14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On February 24, 2021, the Company repaid $20.0 million in outstanding SBA-guaranteed debentures, $6.0 million that was scheduled to mature on March 1, 2021 and $14.0 million that was scheduled to mature on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8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8"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As of December 31, 2020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 Report of Management on Internal Control Over Financial Reporting</w:t>
      </w:r>
    </w:p>
    <w:p>
      <w:pPr>
        <w:spacing w:after="0" w:line="158"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and for performing an assessment of the effectiveness of internal control over financial reporting. Internal control over financial reporting is a process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(i) pertain to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Management performed an assessment of the effectiveness of the Company’s internal control over financial reporting as of December 31, 2020 based upon the criteria in the 2013 Internal Control — Integrated Framework issued by the Committee of Sponsoring Organizations of the Treadway Commission. Based on management’s assessment, management determined that the Company’s internal control over financial reporting was effective as of December 31, 2020.</w:t>
      </w:r>
    </w:p>
    <w:p>
      <w:pPr>
        <w:spacing w:after="0" w:line="120"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As a non-accelerated filer, the Company is not currently required to obtain an audit of the effectiveness of internal control over financial reporting from its independent registered public accounting firm as of December 31,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15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Management has not identified any change in the Company’s internal control over financing reporting that occurred during the fourth quarter of 2020 that has materially affected, or is reasonably likely to materially affect, the Company’s internal control over financial reporting.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Certain information with respect to each of the current directors is set forth below, including their names, ages, a brief description of their recent business experience, including present occupations and employment, certain directorships that each person holds, the year in which each person became a director of Capitala Finance Corp. (“Capitala Finance,” the “Company,” “we,” “us” or “our”), and a discussion of their particular experience, qualifications, attributes or skills that lead us to conclude that such individual should serve as a director of the Company, in light of the Company’s business and structure. There were no legal proceedings of the type described in Item 401(f) of Regulation S-K in the past 10 years against any of the directors or officers of the Company and none are currently pending. There is no arrangement or understanding between any of the Company’s directors or officers pursuant to which they were selected as directors or officers and the Company or any other person or entity.</w:t>
      </w:r>
    </w:p>
    <w:p>
      <w:pPr>
        <w:spacing w:after="0" w:line="113"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i w:val="1"/>
          <w:iCs w:val="1"/>
          <w:color w:val="auto"/>
        </w:rPr>
        <w:t>Mr. Alala is an “interested person” of the Company as defined in the Investment Company Act of 1940, as amended (the “1940 Act”) due to his position as chief executive officer and president of the Company and as the managing partner and chief investment officer of Capitala Investment Advisors, LLC (“Capitala Investment Advisors” or the “Investment Advisor”). Mr. Broyhill is an “interested person” of the Company as defined in the 1940 Act due to his indirect controlling interest in Capitala Investment Advisors. Mr. Carroll, Mr. Chapman, and Dr. Moyer are not “interested persons” of the Company as defined in the 1940 Act.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Name, Address and Age</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99441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Interested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Directorships</w:t>
            </w: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Held by Director</w:t>
            </w: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Terms of Office</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or Nominee for</w:t>
            </w:r>
          </w:p>
        </w:tc>
      </w:tr>
      <w:tr>
        <w:trPr>
          <w:trHeight w:val="162"/>
        </w:trPr>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Position(s) Held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and Length of</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Principal Occupation(s)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 During</w:t>
            </w:r>
          </w:p>
        </w:tc>
      </w:tr>
      <w:tr>
        <w:trPr>
          <w:trHeight w:val="186"/>
        </w:trPr>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with Company</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Time Served</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During Past 5 Years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Past 5 Years</w:t>
            </w:r>
          </w:p>
        </w:tc>
      </w:tr>
      <w:tr>
        <w:trPr>
          <w:trHeight w:val="25"/>
        </w:trPr>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sectPr>
          <w:pgSz w:w="11900" w:h="16838" w:orient="portrait"/>
          <w:cols w:equalWidth="0" w:num="2">
            <w:col w:w="2800" w:space="100"/>
            <w:col w:w="697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4"/>
          <w:szCs w:val="14"/>
          <w:color w:val="auto"/>
        </w:rPr>
        <w:t>Joseph B. Alala, III, 50</w:t>
      </w:r>
    </w:p>
    <w:p>
      <w:pPr>
        <w:spacing w:after="0" w:line="20" w:lineRule="exact"/>
        <w:rPr>
          <w:sz w:val="20"/>
          <w:szCs w:val="20"/>
          <w:color w:val="auto"/>
        </w:rPr>
      </w:pPr>
      <w:r>
        <w:rPr>
          <w:sz w:val="20"/>
          <w:szCs w:val="20"/>
          <w:color w:val="auto"/>
        </w:rPr>
        <w:br w:type="column"/>
      </w:r>
    </w:p>
    <w:p>
      <w:pPr>
        <w:spacing w:after="0" w:line="214" w:lineRule="auto"/>
        <w:rPr>
          <w:sz w:val="20"/>
          <w:szCs w:val="20"/>
          <w:color w:val="auto"/>
        </w:rPr>
      </w:pPr>
      <w:r>
        <w:rPr>
          <w:rFonts w:ascii="Arial" w:cs="Arial" w:eastAsia="Arial" w:hAnsi="Arial"/>
          <w:sz w:val="15"/>
          <w:szCs w:val="15"/>
          <w:color w:val="auto"/>
        </w:rPr>
        <w:t>Chief Executive Officer, Class III Director since President, and Chairman 2013; Term expires</w:t>
      </w:r>
    </w:p>
    <w:p>
      <w:pPr>
        <w:spacing w:after="0"/>
        <w:tabs>
          <w:tab w:leader="none" w:pos="1640" w:val="left"/>
        </w:tabs>
        <w:rPr>
          <w:sz w:val="20"/>
          <w:szCs w:val="20"/>
          <w:color w:val="auto"/>
        </w:rPr>
      </w:pPr>
      <w:r>
        <w:rPr>
          <w:rFonts w:ascii="Arial" w:cs="Arial" w:eastAsia="Arial" w:hAnsi="Arial"/>
          <w:sz w:val="15"/>
          <w:szCs w:val="15"/>
          <w:color w:val="auto"/>
        </w:rPr>
        <w:t>of the Board of</w:t>
      </w:r>
      <w:r>
        <w:rPr>
          <w:sz w:val="20"/>
          <w:szCs w:val="20"/>
          <w:color w:val="auto"/>
        </w:rPr>
        <w:tab/>
      </w:r>
      <w:r>
        <w:rPr>
          <w:rFonts w:ascii="Arial" w:cs="Arial" w:eastAsia="Arial" w:hAnsi="Arial"/>
          <w:sz w:val="13"/>
          <w:szCs w:val="13"/>
          <w:color w:val="auto"/>
        </w:rPr>
        <w:t>2022.</w:t>
      </w:r>
    </w:p>
    <w:p>
      <w:pPr>
        <w:spacing w:after="0"/>
        <w:rPr>
          <w:sz w:val="20"/>
          <w:szCs w:val="20"/>
          <w:color w:val="auto"/>
        </w:rPr>
      </w:pPr>
      <w:r>
        <w:rPr>
          <w:rFonts w:ascii="Arial" w:cs="Arial" w:eastAsia="Arial" w:hAnsi="Arial"/>
          <w:sz w:val="15"/>
          <w:szCs w:val="15"/>
          <w:color w:val="auto"/>
        </w:rPr>
        <w:t>Directors.</w:t>
      </w:r>
    </w:p>
    <w:p>
      <w:pPr>
        <w:spacing w:after="0" w:line="20" w:lineRule="exact"/>
        <w:rPr>
          <w:sz w:val="20"/>
          <w:szCs w:val="20"/>
          <w:color w:val="auto"/>
        </w:rPr>
      </w:pPr>
      <w:r>
        <w:rPr>
          <w:sz w:val="20"/>
          <w:szCs w:val="20"/>
          <w:color w:val="auto"/>
        </w:rPr>
        <w:br w:type="column"/>
      </w:r>
    </w:p>
    <w:p>
      <w:pPr>
        <w:ind w:right="579"/>
        <w:spacing w:after="0" w:line="230" w:lineRule="auto"/>
        <w:rPr>
          <w:sz w:val="20"/>
          <w:szCs w:val="20"/>
          <w:color w:val="auto"/>
        </w:rPr>
      </w:pPr>
      <w:r>
        <w:rPr>
          <w:rFonts w:ascii="Arial" w:cs="Arial" w:eastAsia="Arial" w:hAnsi="Arial"/>
          <w:sz w:val="14"/>
          <w:szCs w:val="14"/>
          <w:color w:val="auto"/>
        </w:rPr>
        <w:t>Chief Executive Officer, Member of Board of President, and Chairman Governors of the Small</w:t>
      </w:r>
    </w:p>
    <w:p>
      <w:pPr>
        <w:spacing w:after="0" w:line="222" w:lineRule="auto"/>
        <w:tabs>
          <w:tab w:leader="none" w:pos="1620" w:val="left"/>
        </w:tabs>
        <w:rPr>
          <w:sz w:val="20"/>
          <w:szCs w:val="20"/>
          <w:color w:val="auto"/>
        </w:rPr>
      </w:pPr>
      <w:r>
        <w:rPr>
          <w:rFonts w:ascii="Arial" w:cs="Arial" w:eastAsia="Arial" w:hAnsi="Arial"/>
          <w:sz w:val="15"/>
          <w:szCs w:val="15"/>
          <w:color w:val="auto"/>
        </w:rPr>
        <w:t>of the Board of</w:t>
      </w:r>
      <w:r>
        <w:rPr>
          <w:sz w:val="20"/>
          <w:szCs w:val="20"/>
          <w:color w:val="auto"/>
        </w:rPr>
        <w:tab/>
      </w:r>
      <w:r>
        <w:rPr>
          <w:rFonts w:ascii="Arial" w:cs="Arial" w:eastAsia="Arial" w:hAnsi="Arial"/>
          <w:sz w:val="14"/>
          <w:szCs w:val="14"/>
          <w:color w:val="auto"/>
        </w:rPr>
        <w:t>Business Investor</w:t>
      </w:r>
    </w:p>
    <w:p>
      <w:pPr>
        <w:spacing w:after="0" w:line="221" w:lineRule="auto"/>
        <w:tabs>
          <w:tab w:leader="none" w:pos="1620" w:val="left"/>
        </w:tabs>
        <w:rPr>
          <w:sz w:val="20"/>
          <w:szCs w:val="20"/>
          <w:color w:val="auto"/>
        </w:rPr>
      </w:pPr>
      <w:r>
        <w:rPr>
          <w:rFonts w:ascii="Arial" w:cs="Arial" w:eastAsia="Arial" w:hAnsi="Arial"/>
          <w:sz w:val="15"/>
          <w:szCs w:val="15"/>
          <w:color w:val="auto"/>
        </w:rPr>
        <w:t>Directors of Capitala</w:t>
      </w:r>
      <w:r>
        <w:rPr>
          <w:sz w:val="20"/>
          <w:szCs w:val="20"/>
          <w:color w:val="auto"/>
        </w:rPr>
        <w:tab/>
      </w:r>
      <w:r>
        <w:rPr>
          <w:rFonts w:ascii="Arial" w:cs="Arial" w:eastAsia="Arial" w:hAnsi="Arial"/>
          <w:sz w:val="14"/>
          <w:szCs w:val="14"/>
          <w:color w:val="auto"/>
        </w:rPr>
        <w:t>Alliance; Serves on</w:t>
      </w:r>
    </w:p>
    <w:p>
      <w:pPr>
        <w:spacing w:after="0" w:line="221" w:lineRule="auto"/>
        <w:tabs>
          <w:tab w:leader="none" w:pos="1620" w:val="left"/>
        </w:tabs>
        <w:rPr>
          <w:sz w:val="20"/>
          <w:szCs w:val="20"/>
          <w:color w:val="auto"/>
        </w:rPr>
      </w:pPr>
      <w:r>
        <w:rPr>
          <w:rFonts w:ascii="Arial" w:cs="Arial" w:eastAsia="Arial" w:hAnsi="Arial"/>
          <w:sz w:val="15"/>
          <w:szCs w:val="15"/>
          <w:color w:val="auto"/>
        </w:rPr>
        <w:t>Finance; and Managing</w:t>
      </w:r>
      <w:r>
        <w:rPr>
          <w:sz w:val="20"/>
          <w:szCs w:val="20"/>
          <w:color w:val="auto"/>
        </w:rPr>
        <w:tab/>
      </w:r>
      <w:r>
        <w:rPr>
          <w:rFonts w:ascii="Arial" w:cs="Arial" w:eastAsia="Arial" w:hAnsi="Arial"/>
          <w:sz w:val="14"/>
          <w:szCs w:val="14"/>
          <w:color w:val="auto"/>
        </w:rPr>
        <w:t>Board of Visitors of the</w:t>
      </w:r>
    </w:p>
    <w:p>
      <w:pPr>
        <w:spacing w:after="0" w:line="222" w:lineRule="auto"/>
        <w:tabs>
          <w:tab w:leader="none" w:pos="1620" w:val="left"/>
        </w:tabs>
        <w:rPr>
          <w:sz w:val="20"/>
          <w:szCs w:val="20"/>
          <w:color w:val="auto"/>
        </w:rPr>
      </w:pPr>
      <w:r>
        <w:rPr>
          <w:rFonts w:ascii="Arial" w:cs="Arial" w:eastAsia="Arial" w:hAnsi="Arial"/>
          <w:sz w:val="15"/>
          <w:szCs w:val="15"/>
          <w:color w:val="auto"/>
        </w:rPr>
        <w:t>Partner and Chief</w:t>
      </w:r>
      <w:r>
        <w:rPr>
          <w:sz w:val="20"/>
          <w:szCs w:val="20"/>
          <w:color w:val="auto"/>
        </w:rPr>
        <w:tab/>
      </w:r>
      <w:r>
        <w:rPr>
          <w:rFonts w:ascii="Arial" w:cs="Arial" w:eastAsia="Arial" w:hAnsi="Arial"/>
          <w:sz w:val="14"/>
          <w:szCs w:val="14"/>
          <w:color w:val="auto"/>
        </w:rPr>
        <w:t>Wake Forest School of</w:t>
      </w:r>
    </w:p>
    <w:p>
      <w:pPr>
        <w:spacing w:after="0" w:line="221" w:lineRule="auto"/>
        <w:tabs>
          <w:tab w:leader="none" w:pos="1620" w:val="left"/>
        </w:tabs>
        <w:rPr>
          <w:sz w:val="20"/>
          <w:szCs w:val="20"/>
          <w:color w:val="auto"/>
        </w:rPr>
      </w:pPr>
      <w:r>
        <w:rPr>
          <w:rFonts w:ascii="Arial" w:cs="Arial" w:eastAsia="Arial" w:hAnsi="Arial"/>
          <w:sz w:val="15"/>
          <w:szCs w:val="15"/>
          <w:color w:val="auto"/>
        </w:rPr>
        <w:t>Investment Officer of</w:t>
      </w:r>
      <w:r>
        <w:rPr>
          <w:sz w:val="20"/>
          <w:szCs w:val="20"/>
          <w:color w:val="auto"/>
        </w:rPr>
        <w:tab/>
      </w:r>
      <w:r>
        <w:rPr>
          <w:rFonts w:ascii="Arial" w:cs="Arial" w:eastAsia="Arial" w:hAnsi="Arial"/>
          <w:sz w:val="14"/>
          <w:szCs w:val="14"/>
          <w:color w:val="auto"/>
        </w:rPr>
        <w:t>Law; Serves on the</w:t>
      </w:r>
    </w:p>
    <w:p>
      <w:pPr>
        <w:spacing w:after="0" w:line="221" w:lineRule="auto"/>
        <w:tabs>
          <w:tab w:leader="none" w:pos="1620" w:val="left"/>
        </w:tabs>
        <w:rPr>
          <w:sz w:val="20"/>
          <w:szCs w:val="20"/>
          <w:color w:val="auto"/>
        </w:rPr>
      </w:pPr>
      <w:r>
        <w:rPr>
          <w:rFonts w:ascii="Arial" w:cs="Arial" w:eastAsia="Arial" w:hAnsi="Arial"/>
          <w:sz w:val="15"/>
          <w:szCs w:val="15"/>
          <w:color w:val="auto"/>
        </w:rPr>
        <w:t>Capitala Investment</w:t>
      </w:r>
      <w:r>
        <w:rPr>
          <w:sz w:val="20"/>
          <w:szCs w:val="20"/>
          <w:color w:val="auto"/>
        </w:rPr>
        <w:tab/>
      </w:r>
      <w:r>
        <w:rPr>
          <w:rFonts w:ascii="Arial" w:cs="Arial" w:eastAsia="Arial" w:hAnsi="Arial"/>
          <w:sz w:val="14"/>
          <w:szCs w:val="14"/>
          <w:color w:val="auto"/>
        </w:rPr>
        <w:t>boards of directors of</w:t>
      </w:r>
    </w:p>
    <w:p>
      <w:pPr>
        <w:spacing w:after="0" w:line="206" w:lineRule="auto"/>
        <w:tabs>
          <w:tab w:leader="none" w:pos="1620" w:val="left"/>
        </w:tabs>
        <w:rPr>
          <w:sz w:val="20"/>
          <w:szCs w:val="20"/>
          <w:color w:val="auto"/>
        </w:rPr>
      </w:pPr>
      <w:r>
        <w:rPr>
          <w:rFonts w:ascii="Arial" w:cs="Arial" w:eastAsia="Arial" w:hAnsi="Arial"/>
          <w:sz w:val="15"/>
          <w:szCs w:val="15"/>
          <w:color w:val="auto"/>
        </w:rPr>
        <w:t>Advisors.</w:t>
      </w:r>
      <w:r>
        <w:rPr>
          <w:sz w:val="20"/>
          <w:szCs w:val="20"/>
          <w:color w:val="auto"/>
        </w:rPr>
        <w:tab/>
      </w:r>
      <w:r>
        <w:rPr>
          <w:rFonts w:ascii="Arial" w:cs="Arial" w:eastAsia="Arial" w:hAnsi="Arial"/>
          <w:sz w:val="15"/>
          <w:szCs w:val="15"/>
          <w:color w:val="auto"/>
        </w:rPr>
        <w:t>some of our portfolio</w:t>
      </w:r>
    </w:p>
    <w:p>
      <w:pPr>
        <w:ind w:left="1640"/>
        <w:spacing w:after="0"/>
        <w:rPr>
          <w:sz w:val="20"/>
          <w:szCs w:val="20"/>
          <w:color w:val="auto"/>
        </w:rPr>
      </w:pPr>
      <w:r>
        <w:rPr>
          <w:rFonts w:ascii="Arial" w:cs="Arial" w:eastAsia="Arial" w:hAnsi="Arial"/>
          <w:sz w:val="13"/>
          <w:szCs w:val="13"/>
          <w:color w:val="auto"/>
        </w:rPr>
        <w:t>companies; and Member</w:t>
      </w:r>
    </w:p>
    <w:p>
      <w:pPr>
        <w:ind w:left="1640"/>
        <w:spacing w:after="0" w:line="206" w:lineRule="auto"/>
        <w:rPr>
          <w:sz w:val="20"/>
          <w:szCs w:val="20"/>
          <w:color w:val="auto"/>
        </w:rPr>
      </w:pPr>
      <w:r>
        <w:rPr>
          <w:rFonts w:ascii="Arial" w:cs="Arial" w:eastAsia="Arial" w:hAnsi="Arial"/>
          <w:sz w:val="15"/>
          <w:szCs w:val="15"/>
          <w:color w:val="auto"/>
        </w:rPr>
        <w:t>of Princeton</w:t>
      </w:r>
    </w:p>
    <w:p>
      <w:pPr>
        <w:ind w:left="1640"/>
        <w:spacing w:after="0" w:line="207" w:lineRule="auto"/>
        <w:rPr>
          <w:sz w:val="20"/>
          <w:szCs w:val="20"/>
          <w:color w:val="auto"/>
        </w:rPr>
      </w:pPr>
      <w:r>
        <w:rPr>
          <w:rFonts w:ascii="Arial" w:cs="Arial" w:eastAsia="Arial" w:hAnsi="Arial"/>
          <w:sz w:val="15"/>
          <w:szCs w:val="15"/>
          <w:color w:val="auto"/>
        </w:rPr>
        <w:t>University’s Track &amp;</w:t>
      </w:r>
    </w:p>
    <w:p>
      <w:pPr>
        <w:ind w:left="1640"/>
        <w:spacing w:after="0"/>
        <w:rPr>
          <w:sz w:val="20"/>
          <w:szCs w:val="20"/>
          <w:color w:val="auto"/>
        </w:rPr>
      </w:pPr>
      <w:r>
        <w:rPr>
          <w:rFonts w:ascii="Arial" w:cs="Arial" w:eastAsia="Arial" w:hAnsi="Arial"/>
          <w:sz w:val="15"/>
          <w:szCs w:val="15"/>
          <w:color w:val="auto"/>
        </w:rPr>
        <w:t>Field’s Trustee Board.</w:t>
      </w:r>
    </w:p>
    <w:p>
      <w:pPr>
        <w:spacing w:after="0" w:line="149" w:lineRule="exact"/>
        <w:rPr>
          <w:sz w:val="20"/>
          <w:szCs w:val="20"/>
          <w:color w:val="auto"/>
        </w:rPr>
      </w:pPr>
    </w:p>
    <w:p>
      <w:pPr>
        <w:sectPr>
          <w:pgSz w:w="11900" w:h="16838" w:orient="portrait"/>
          <w:cols w:equalWidth="0" w:num="3">
            <w:col w:w="2720" w:space="180"/>
            <w:col w:w="3120" w:space="180"/>
            <w:col w:w="3679"/>
          </w:cols>
          <w:pgMar w:left="580" w:top="132" w:right="1440" w:bottom="1440" w:gutter="0" w:footer="0" w:header="0"/>
          <w:type w:val="continuous"/>
        </w:sectPr>
      </w:pPr>
    </w:p>
    <w:p>
      <w:pPr>
        <w:jc w:val="both"/>
        <w:ind w:left="1260" w:right="419" w:firstLine="360"/>
        <w:spacing w:after="0" w:line="243" w:lineRule="auto"/>
        <w:rPr>
          <w:sz w:val="20"/>
          <w:szCs w:val="20"/>
          <w:color w:val="auto"/>
        </w:rPr>
      </w:pPr>
      <w:r>
        <w:rPr>
          <w:rFonts w:ascii="Arial" w:cs="Arial" w:eastAsia="Arial" w:hAnsi="Arial"/>
          <w:sz w:val="18"/>
          <w:szCs w:val="18"/>
          <w:color w:val="auto"/>
        </w:rPr>
        <w:t>Mr. Alala’s intimate knowledge of the business and operations of the Company and our portfolio, extensive familiarity with the financial industry and the investment management process in particular, and experience as a director of other organizations not only gives our board of directors’ (the “Board”) valuable insight but also positions him well to serve as the Chairman of our Board.</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Directorships</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Held by Director</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Terms of Office</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or Nominee for</w:t>
            </w:r>
          </w:p>
        </w:tc>
        <w:tc>
          <w:tcPr>
            <w:tcW w:w="0" w:type="dxa"/>
            <w:vAlign w:val="bottom"/>
          </w:tcPr>
          <w:p>
            <w:pPr>
              <w:spacing w:after="0"/>
              <w:rPr>
                <w:sz w:val="1"/>
                <w:szCs w:val="1"/>
                <w:color w:val="auto"/>
              </w:rPr>
            </w:pPr>
          </w:p>
        </w:tc>
      </w:tr>
      <w:tr>
        <w:trPr>
          <w:trHeight w:val="162"/>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6"/>
              </w:rPr>
              <w:t>Name, Address and Age</w:t>
            </w:r>
            <w:r>
              <w:rPr>
                <w:rFonts w:ascii="Arial" w:cs="Arial" w:eastAsia="Arial" w:hAnsi="Arial"/>
                <w:sz w:val="21"/>
                <w:szCs w:val="21"/>
                <w:b w:val="1"/>
                <w:bCs w:val="1"/>
                <w:color w:val="auto"/>
                <w:w w:val="86"/>
                <w:vertAlign w:val="superscript"/>
              </w:rPr>
              <w:t>(1)</w:t>
            </w:r>
          </w:p>
        </w:tc>
        <w:tc>
          <w:tcPr>
            <w:tcW w:w="80" w:type="dxa"/>
            <w:vAlign w:val="bottom"/>
            <w:vMerge w:val="restart"/>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Position(s) Held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and Length of</w:t>
            </w: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Principal Occupation(s)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 During</w:t>
            </w:r>
          </w:p>
        </w:tc>
        <w:tc>
          <w:tcPr>
            <w:tcW w:w="0" w:type="dxa"/>
            <w:vAlign w:val="bottom"/>
          </w:tcPr>
          <w:p>
            <w:pPr>
              <w:spacing w:after="0"/>
              <w:rPr>
                <w:sz w:val="1"/>
                <w:szCs w:val="1"/>
                <w:color w:val="auto"/>
              </w:rPr>
            </w:pPr>
          </w:p>
        </w:tc>
      </w:tr>
      <w:tr>
        <w:trPr>
          <w:trHeight w:val="212"/>
        </w:trPr>
        <w:tc>
          <w:tcPr>
            <w:tcW w:w="15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with Company</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Time Served</w:t>
            </w:r>
          </w:p>
        </w:tc>
        <w:tc>
          <w:tcPr>
            <w:tcW w:w="80" w:type="dxa"/>
            <w:vAlign w:val="bottom"/>
          </w:tcPr>
          <w:p>
            <w:pPr>
              <w:spacing w:after="0"/>
              <w:rPr>
                <w:sz w:val="18"/>
                <w:szCs w:val="18"/>
                <w:color w:val="auto"/>
              </w:rPr>
            </w:pPr>
          </w:p>
        </w:tc>
        <w:tc>
          <w:tcPr>
            <w:tcW w:w="15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During Past 5 Years</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Past 5 Years</w:t>
            </w:r>
          </w:p>
        </w:tc>
        <w:tc>
          <w:tcPr>
            <w:tcW w:w="0" w:type="dxa"/>
            <w:vAlign w:val="bottom"/>
          </w:tcPr>
          <w:p>
            <w:pPr>
              <w:spacing w:after="0"/>
              <w:rPr>
                <w:sz w:val="1"/>
                <w:szCs w:val="1"/>
                <w:color w:val="auto"/>
              </w:rPr>
            </w:pPr>
          </w:p>
        </w:tc>
      </w:tr>
      <w:tr>
        <w:trPr>
          <w:trHeight w:val="215"/>
        </w:trPr>
        <w:tc>
          <w:tcPr>
            <w:tcW w:w="1640" w:type="dxa"/>
            <w:vAlign w:val="bottom"/>
            <w:gridSpan w:val="2"/>
          </w:tcPr>
          <w:p>
            <w:pPr>
              <w:spacing w:after="0"/>
              <w:rPr>
                <w:sz w:val="20"/>
                <w:szCs w:val="20"/>
                <w:color w:val="auto"/>
              </w:rPr>
            </w:pPr>
            <w:r>
              <w:rPr>
                <w:rFonts w:ascii="Arial" w:cs="Arial" w:eastAsia="Arial" w:hAnsi="Arial"/>
                <w:sz w:val="15"/>
                <w:szCs w:val="15"/>
                <w:b w:val="1"/>
                <w:bCs w:val="1"/>
                <w:color w:val="auto"/>
              </w:rPr>
              <w:t>Interested Director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640" w:type="dxa"/>
            <w:vAlign w:val="bottom"/>
            <w:gridSpan w:val="2"/>
          </w:tcPr>
          <w:p>
            <w:pPr>
              <w:spacing w:after="0"/>
              <w:rPr>
                <w:sz w:val="20"/>
                <w:szCs w:val="20"/>
                <w:color w:val="auto"/>
              </w:rPr>
            </w:pPr>
            <w:r>
              <w:rPr>
                <w:rFonts w:ascii="Arial" w:cs="Arial" w:eastAsia="Arial" w:hAnsi="Arial"/>
                <w:sz w:val="15"/>
                <w:szCs w:val="15"/>
                <w:color w:val="auto"/>
              </w:rPr>
              <w:t>M. Hunt Broyhill, 56</w:t>
            </w:r>
          </w:p>
        </w:tc>
        <w:tc>
          <w:tcPr>
            <w:tcW w:w="16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640" w:type="dxa"/>
            <w:vAlign w:val="bottom"/>
            <w:gridSpan w:val="2"/>
          </w:tcPr>
          <w:p>
            <w:pPr>
              <w:spacing w:after="0"/>
              <w:rPr>
                <w:sz w:val="20"/>
                <w:szCs w:val="20"/>
                <w:color w:val="auto"/>
              </w:rPr>
            </w:pPr>
            <w:r>
              <w:rPr>
                <w:rFonts w:ascii="Arial" w:cs="Arial" w:eastAsia="Arial" w:hAnsi="Arial"/>
                <w:sz w:val="15"/>
                <w:szCs w:val="15"/>
                <w:color w:val="auto"/>
              </w:rPr>
              <w:t>Class II Director since</w:t>
            </w:r>
          </w:p>
        </w:tc>
        <w:tc>
          <w:tcPr>
            <w:tcW w:w="1640" w:type="dxa"/>
            <w:vAlign w:val="bottom"/>
            <w:gridSpan w:val="2"/>
          </w:tcPr>
          <w:p>
            <w:pPr>
              <w:spacing w:after="0"/>
              <w:rPr>
                <w:sz w:val="20"/>
                <w:szCs w:val="20"/>
                <w:color w:val="auto"/>
              </w:rPr>
            </w:pPr>
            <w:r>
              <w:rPr>
                <w:rFonts w:ascii="Arial" w:cs="Arial" w:eastAsia="Arial" w:hAnsi="Arial"/>
                <w:sz w:val="15"/>
                <w:szCs w:val="15"/>
                <w:color w:val="auto"/>
              </w:rPr>
              <w:t>Partner of the</w:t>
            </w:r>
          </w:p>
        </w:tc>
        <w:tc>
          <w:tcPr>
            <w:tcW w:w="1580" w:type="dxa"/>
            <w:vAlign w:val="bottom"/>
          </w:tcPr>
          <w:p>
            <w:pPr>
              <w:spacing w:after="0"/>
              <w:rPr>
                <w:sz w:val="20"/>
                <w:szCs w:val="20"/>
                <w:color w:val="auto"/>
              </w:rPr>
            </w:pPr>
            <w:r>
              <w:rPr>
                <w:rFonts w:ascii="Arial" w:cs="Arial" w:eastAsia="Arial" w:hAnsi="Arial"/>
                <w:sz w:val="15"/>
                <w:szCs w:val="15"/>
                <w:color w:val="auto"/>
              </w:rPr>
              <w:t>Chairman of the board</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2013; Term expires</w:t>
            </w: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predecessor to Capitala</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of directors of BMC</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5"/>
                <w:szCs w:val="15"/>
                <w:color w:val="auto"/>
              </w:rPr>
              <w:t>2021.</w:t>
            </w: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Investment Advisors;</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Fund, Inc. and director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Chief Executive Officer</w:t>
            </w:r>
          </w:p>
        </w:tc>
        <w:tc>
          <w:tcPr>
            <w:tcW w:w="1580" w:type="dxa"/>
            <w:vAlign w:val="bottom"/>
          </w:tcPr>
          <w:p>
            <w:pPr>
              <w:jc w:val="center"/>
              <w:spacing w:after="0" w:line="149" w:lineRule="exact"/>
              <w:rPr>
                <w:sz w:val="20"/>
                <w:szCs w:val="20"/>
                <w:color w:val="auto"/>
              </w:rPr>
            </w:pPr>
            <w:r>
              <w:rPr>
                <w:rFonts w:ascii="Arial" w:cs="Arial" w:eastAsia="Arial" w:hAnsi="Arial"/>
                <w:sz w:val="15"/>
                <w:szCs w:val="15"/>
                <w:color w:val="auto"/>
              </w:rPr>
              <w:t>of Broyhill Investments,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of Broyhill Asset</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Inc.</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Management, LLC, a</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private wealth</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management firm;</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President and Chairman</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spacing w:after="0"/>
              <w:rPr>
                <w:sz w:val="20"/>
                <w:szCs w:val="20"/>
                <w:color w:val="auto"/>
              </w:rPr>
            </w:pPr>
            <w:r>
              <w:rPr>
                <w:rFonts w:ascii="Arial" w:cs="Arial" w:eastAsia="Arial" w:hAnsi="Arial"/>
                <w:sz w:val="15"/>
                <w:szCs w:val="15"/>
                <w:color w:val="auto"/>
              </w:rPr>
              <w:t>of the board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jc w:val="center"/>
              <w:ind w:left="148"/>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jc w:val="center"/>
              <w:ind w:left="148"/>
              <w:spacing w:after="0"/>
              <w:rPr>
                <w:sz w:val="20"/>
                <w:szCs w:val="20"/>
                <w:color w:val="auto"/>
              </w:rPr>
            </w:pPr>
            <w:r>
              <w:rPr>
                <w:rFonts w:ascii="Arial" w:cs="Arial" w:eastAsia="Arial" w:hAnsi="Arial"/>
                <w:sz w:val="14"/>
                <w:szCs w:val="14"/>
                <w:b w:val="1"/>
                <w:bCs w:val="1"/>
                <w:color w:val="auto"/>
                <w:w w:val="88"/>
              </w:rPr>
              <w:t>Directorships</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Held by Director</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Terms of Office</w:t>
            </w:r>
          </w:p>
        </w:tc>
        <w:tc>
          <w:tcPr>
            <w:tcW w:w="1880" w:type="dxa"/>
            <w:vAlign w:val="bottom"/>
          </w:tcPr>
          <w:p>
            <w:pPr>
              <w:spacing w:after="0"/>
              <w:rPr>
                <w:sz w:val="14"/>
                <w:szCs w:val="14"/>
                <w:color w:val="auto"/>
              </w:rPr>
            </w:pPr>
          </w:p>
        </w:tc>
        <w:tc>
          <w:tcPr>
            <w:tcW w:w="12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or Nominee for</w:t>
            </w:r>
          </w:p>
        </w:tc>
        <w:tc>
          <w:tcPr>
            <w:tcW w:w="0" w:type="dxa"/>
            <w:vAlign w:val="bottom"/>
          </w:tcPr>
          <w:p>
            <w:pPr>
              <w:spacing w:after="0"/>
              <w:rPr>
                <w:sz w:val="1"/>
                <w:szCs w:val="1"/>
                <w:color w:val="auto"/>
              </w:rPr>
            </w:pPr>
          </w:p>
        </w:tc>
      </w:tr>
      <w:tr>
        <w:trPr>
          <w:trHeight w:val="162"/>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 Address and Age</w:t>
            </w:r>
            <w:r>
              <w:rPr>
                <w:rFonts w:ascii="Arial" w:cs="Arial" w:eastAsia="Arial" w:hAnsi="Arial"/>
                <w:sz w:val="21"/>
                <w:szCs w:val="21"/>
                <w:b w:val="1"/>
                <w:bCs w:val="1"/>
                <w:color w:val="auto"/>
                <w:w w:val="96"/>
                <w:vertAlign w:val="superscript"/>
              </w:rPr>
              <w:t>(1)</w:t>
            </w:r>
          </w:p>
        </w:tc>
        <w:tc>
          <w:tcPr>
            <w:tcW w:w="150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Position(s) Held</w:t>
            </w:r>
          </w:p>
        </w:tc>
        <w:tc>
          <w:tcPr>
            <w:tcW w:w="152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and Length of</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Occupation(s)</w:t>
            </w:r>
          </w:p>
        </w:tc>
        <w:tc>
          <w:tcPr>
            <w:tcW w:w="122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Director During</w:t>
            </w:r>
          </w:p>
        </w:tc>
        <w:tc>
          <w:tcPr>
            <w:tcW w:w="0" w:type="dxa"/>
            <w:vAlign w:val="bottom"/>
          </w:tcPr>
          <w:p>
            <w:pPr>
              <w:spacing w:after="0"/>
              <w:rPr>
                <w:sz w:val="1"/>
                <w:szCs w:val="1"/>
                <w:color w:val="auto"/>
              </w:rPr>
            </w:pPr>
          </w:p>
        </w:tc>
      </w:tr>
      <w:tr>
        <w:trPr>
          <w:trHeight w:val="240"/>
        </w:trPr>
        <w:tc>
          <w:tcPr>
            <w:tcW w:w="1740" w:type="dxa"/>
            <w:vAlign w:val="bottom"/>
            <w:vMerge w:val="continue"/>
          </w:tcPr>
          <w:p>
            <w:pPr>
              <w:spacing w:after="0"/>
              <w:rPr>
                <w:sz w:val="20"/>
                <w:szCs w:val="20"/>
                <w:color w:val="auto"/>
              </w:rPr>
            </w:pP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with Company</w:t>
            </w:r>
          </w:p>
        </w:tc>
        <w:tc>
          <w:tcPr>
            <w:tcW w:w="152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Time Served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During Past 5 Years</w:t>
            </w:r>
          </w:p>
        </w:tc>
        <w:tc>
          <w:tcPr>
            <w:tcW w:w="1220" w:type="dxa"/>
            <w:vAlign w:val="bottom"/>
          </w:tcPr>
          <w:p>
            <w:pPr>
              <w:jc w:val="center"/>
              <w:ind w:left="188"/>
              <w:spacing w:after="0"/>
              <w:rPr>
                <w:sz w:val="20"/>
                <w:szCs w:val="20"/>
                <w:color w:val="auto"/>
              </w:rPr>
            </w:pPr>
            <w:r>
              <w:rPr>
                <w:rFonts w:ascii="Arial" w:cs="Arial" w:eastAsia="Arial" w:hAnsi="Arial"/>
                <w:sz w:val="14"/>
                <w:szCs w:val="14"/>
                <w:b w:val="1"/>
                <w:bCs w:val="1"/>
                <w:color w:val="auto"/>
                <w:w w:val="86"/>
              </w:rPr>
              <w:t>Past 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1777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5"/>
          <w:szCs w:val="15"/>
          <w:color w:val="auto"/>
        </w:rPr>
        <w:t>of directors of BMC</w:t>
      </w:r>
    </w:p>
    <w:p>
      <w:pPr>
        <w:ind w:left="6200"/>
        <w:spacing w:after="0" w:line="206" w:lineRule="auto"/>
        <w:rPr>
          <w:sz w:val="20"/>
          <w:szCs w:val="20"/>
          <w:color w:val="auto"/>
        </w:rPr>
      </w:pPr>
      <w:r>
        <w:rPr>
          <w:rFonts w:ascii="Arial" w:cs="Arial" w:eastAsia="Arial" w:hAnsi="Arial"/>
          <w:sz w:val="15"/>
          <w:szCs w:val="15"/>
          <w:color w:val="auto"/>
        </w:rPr>
        <w:t>Fund, Inc., a registered</w:t>
      </w:r>
    </w:p>
    <w:p>
      <w:pPr>
        <w:ind w:left="6200"/>
        <w:spacing w:after="0" w:line="207" w:lineRule="auto"/>
        <w:rPr>
          <w:sz w:val="20"/>
          <w:szCs w:val="20"/>
          <w:color w:val="auto"/>
        </w:rPr>
      </w:pPr>
      <w:r>
        <w:rPr>
          <w:rFonts w:ascii="Arial" w:cs="Arial" w:eastAsia="Arial" w:hAnsi="Arial"/>
          <w:sz w:val="15"/>
          <w:szCs w:val="15"/>
          <w:color w:val="auto"/>
        </w:rPr>
        <w:t>closed-end management</w:t>
      </w:r>
    </w:p>
    <w:p>
      <w:pPr>
        <w:ind w:left="6200"/>
        <w:spacing w:after="0" w:line="206" w:lineRule="auto"/>
        <w:rPr>
          <w:sz w:val="20"/>
          <w:szCs w:val="20"/>
          <w:color w:val="auto"/>
        </w:rPr>
      </w:pPr>
      <w:r>
        <w:rPr>
          <w:rFonts w:ascii="Arial" w:cs="Arial" w:eastAsia="Arial" w:hAnsi="Arial"/>
          <w:sz w:val="15"/>
          <w:szCs w:val="15"/>
          <w:color w:val="auto"/>
        </w:rPr>
        <w:t>investment company;</w:t>
      </w:r>
    </w:p>
    <w:p>
      <w:pPr>
        <w:ind w:left="6200"/>
        <w:spacing w:after="0" w:line="207" w:lineRule="auto"/>
        <w:rPr>
          <w:sz w:val="20"/>
          <w:szCs w:val="20"/>
          <w:color w:val="auto"/>
        </w:rPr>
      </w:pPr>
      <w:r>
        <w:rPr>
          <w:rFonts w:ascii="Arial" w:cs="Arial" w:eastAsia="Arial" w:hAnsi="Arial"/>
          <w:sz w:val="15"/>
          <w:szCs w:val="15"/>
          <w:color w:val="auto"/>
        </w:rPr>
        <w:t>President and director</w:t>
      </w:r>
    </w:p>
    <w:p>
      <w:pPr>
        <w:ind w:left="6200"/>
        <w:spacing w:after="0" w:line="207" w:lineRule="auto"/>
        <w:rPr>
          <w:sz w:val="20"/>
          <w:szCs w:val="20"/>
          <w:color w:val="auto"/>
        </w:rPr>
      </w:pPr>
      <w:r>
        <w:rPr>
          <w:rFonts w:ascii="Arial" w:cs="Arial" w:eastAsia="Arial" w:hAnsi="Arial"/>
          <w:sz w:val="15"/>
          <w:szCs w:val="15"/>
          <w:color w:val="auto"/>
        </w:rPr>
        <w:t>of Broyhill Investments,</w:t>
      </w:r>
    </w:p>
    <w:p>
      <w:pPr>
        <w:ind w:left="6200"/>
        <w:spacing w:after="0" w:line="206" w:lineRule="auto"/>
        <w:rPr>
          <w:sz w:val="20"/>
          <w:szCs w:val="20"/>
          <w:color w:val="auto"/>
        </w:rPr>
      </w:pPr>
      <w:r>
        <w:rPr>
          <w:rFonts w:ascii="Arial" w:cs="Arial" w:eastAsia="Arial" w:hAnsi="Arial"/>
          <w:sz w:val="15"/>
          <w:szCs w:val="15"/>
          <w:color w:val="auto"/>
        </w:rPr>
        <w:t>Inc., a private</w:t>
      </w:r>
    </w:p>
    <w:p>
      <w:pPr>
        <w:ind w:left="6200"/>
        <w:spacing w:after="0" w:line="207" w:lineRule="auto"/>
        <w:rPr>
          <w:sz w:val="20"/>
          <w:szCs w:val="20"/>
          <w:color w:val="auto"/>
        </w:rPr>
      </w:pPr>
      <w:r>
        <w:rPr>
          <w:rFonts w:ascii="Arial" w:cs="Arial" w:eastAsia="Arial" w:hAnsi="Arial"/>
          <w:sz w:val="15"/>
          <w:szCs w:val="15"/>
          <w:color w:val="auto"/>
        </w:rPr>
        <w:t>investment company;</w:t>
      </w:r>
    </w:p>
    <w:p>
      <w:pPr>
        <w:ind w:left="6200"/>
        <w:spacing w:after="0" w:line="207" w:lineRule="auto"/>
        <w:rPr>
          <w:sz w:val="20"/>
          <w:szCs w:val="20"/>
          <w:color w:val="auto"/>
        </w:rPr>
      </w:pPr>
      <w:r>
        <w:rPr>
          <w:rFonts w:ascii="Arial" w:cs="Arial" w:eastAsia="Arial" w:hAnsi="Arial"/>
          <w:sz w:val="15"/>
          <w:szCs w:val="15"/>
          <w:color w:val="auto"/>
        </w:rPr>
        <w:t>and also holds several</w:t>
      </w:r>
    </w:p>
    <w:p>
      <w:pPr>
        <w:ind w:left="6200"/>
        <w:spacing w:after="0" w:line="206" w:lineRule="auto"/>
        <w:rPr>
          <w:sz w:val="20"/>
          <w:szCs w:val="20"/>
          <w:color w:val="auto"/>
        </w:rPr>
      </w:pPr>
      <w:r>
        <w:rPr>
          <w:rFonts w:ascii="Arial" w:cs="Arial" w:eastAsia="Arial" w:hAnsi="Arial"/>
          <w:sz w:val="15"/>
          <w:szCs w:val="15"/>
          <w:color w:val="auto"/>
        </w:rPr>
        <w:t>senior positions within</w:t>
      </w:r>
    </w:p>
    <w:p>
      <w:pPr>
        <w:ind w:left="6200"/>
        <w:spacing w:after="0" w:line="207" w:lineRule="auto"/>
        <w:rPr>
          <w:sz w:val="20"/>
          <w:szCs w:val="20"/>
          <w:color w:val="auto"/>
        </w:rPr>
      </w:pPr>
      <w:r>
        <w:rPr>
          <w:rFonts w:ascii="Arial" w:cs="Arial" w:eastAsia="Arial" w:hAnsi="Arial"/>
          <w:sz w:val="15"/>
          <w:szCs w:val="15"/>
          <w:color w:val="auto"/>
        </w:rPr>
        <w:t>the Broyhill family</w:t>
      </w:r>
    </w:p>
    <w:p>
      <w:pPr>
        <w:ind w:left="6200"/>
        <w:spacing w:after="0"/>
        <w:rPr>
          <w:sz w:val="20"/>
          <w:szCs w:val="20"/>
          <w:color w:val="auto"/>
        </w:rPr>
      </w:pPr>
      <w:r>
        <w:rPr>
          <w:rFonts w:ascii="Arial" w:cs="Arial" w:eastAsia="Arial" w:hAnsi="Arial"/>
          <w:sz w:val="15"/>
          <w:szCs w:val="15"/>
          <w:color w:val="auto"/>
        </w:rPr>
        <w:t>offices.</w:t>
      </w:r>
    </w:p>
    <w:p>
      <w:pPr>
        <w:spacing w:after="0" w:line="31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Mr. Broyhill’s history with us, familiarity with our investment platform, and extensive knowledge of the financial services industry and the investment valuation process in particular qualify him to serve on our Board.</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Directorships</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Held by Director</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Terms of Office</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or Nominee for</w:t>
            </w:r>
          </w:p>
        </w:tc>
        <w:tc>
          <w:tcPr>
            <w:tcW w:w="0" w:type="dxa"/>
            <w:vAlign w:val="bottom"/>
          </w:tcPr>
          <w:p>
            <w:pPr>
              <w:spacing w:after="0"/>
              <w:rPr>
                <w:sz w:val="1"/>
                <w:szCs w:val="1"/>
                <w:color w:val="auto"/>
              </w:rPr>
            </w:pPr>
          </w:p>
        </w:tc>
      </w:tr>
      <w:tr>
        <w:trPr>
          <w:trHeight w:val="162"/>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6"/>
              </w:rPr>
              <w:t>Name, Address and Age</w:t>
            </w:r>
            <w:r>
              <w:rPr>
                <w:rFonts w:ascii="Arial" w:cs="Arial" w:eastAsia="Arial" w:hAnsi="Arial"/>
                <w:sz w:val="21"/>
                <w:szCs w:val="21"/>
                <w:b w:val="1"/>
                <w:bCs w:val="1"/>
                <w:color w:val="auto"/>
                <w:w w:val="86"/>
                <w:vertAlign w:val="superscript"/>
              </w:rPr>
              <w:t>(1)</w:t>
            </w:r>
          </w:p>
        </w:tc>
        <w:tc>
          <w:tcPr>
            <w:tcW w:w="80" w:type="dxa"/>
            <w:vAlign w:val="bottom"/>
            <w:vMerge w:val="restart"/>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Position(s) Held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and Length of</w:t>
            </w: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Principal Occupation(s)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 During</w:t>
            </w:r>
          </w:p>
        </w:tc>
        <w:tc>
          <w:tcPr>
            <w:tcW w:w="0" w:type="dxa"/>
            <w:vAlign w:val="bottom"/>
          </w:tcPr>
          <w:p>
            <w:pPr>
              <w:spacing w:after="0"/>
              <w:rPr>
                <w:sz w:val="1"/>
                <w:szCs w:val="1"/>
                <w:color w:val="auto"/>
              </w:rPr>
            </w:pPr>
          </w:p>
        </w:tc>
      </w:tr>
      <w:tr>
        <w:trPr>
          <w:trHeight w:val="212"/>
        </w:trPr>
        <w:tc>
          <w:tcPr>
            <w:tcW w:w="15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with Company</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Time Served</w:t>
            </w:r>
          </w:p>
        </w:tc>
        <w:tc>
          <w:tcPr>
            <w:tcW w:w="80" w:type="dxa"/>
            <w:vAlign w:val="bottom"/>
          </w:tcPr>
          <w:p>
            <w:pPr>
              <w:spacing w:after="0"/>
              <w:rPr>
                <w:sz w:val="18"/>
                <w:szCs w:val="18"/>
                <w:color w:val="auto"/>
              </w:rPr>
            </w:pPr>
          </w:p>
        </w:tc>
        <w:tc>
          <w:tcPr>
            <w:tcW w:w="15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During Past 5 Years</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Past 5 Years</w:t>
            </w:r>
          </w:p>
        </w:tc>
        <w:tc>
          <w:tcPr>
            <w:tcW w:w="0" w:type="dxa"/>
            <w:vAlign w:val="bottom"/>
          </w:tcPr>
          <w:p>
            <w:pPr>
              <w:spacing w:after="0"/>
              <w:rPr>
                <w:sz w:val="1"/>
                <w:szCs w:val="1"/>
                <w:color w:val="auto"/>
              </w:rPr>
            </w:pPr>
          </w:p>
        </w:tc>
      </w:tr>
      <w:tr>
        <w:trPr>
          <w:trHeight w:val="215"/>
        </w:trPr>
        <w:tc>
          <w:tcPr>
            <w:tcW w:w="1640" w:type="dxa"/>
            <w:vAlign w:val="bottom"/>
            <w:gridSpan w:val="2"/>
          </w:tcPr>
          <w:p>
            <w:pPr>
              <w:spacing w:after="0"/>
              <w:rPr>
                <w:sz w:val="20"/>
                <w:szCs w:val="20"/>
                <w:color w:val="auto"/>
              </w:rPr>
            </w:pPr>
            <w:r>
              <w:rPr>
                <w:rFonts w:ascii="Arial" w:cs="Arial" w:eastAsia="Arial" w:hAnsi="Arial"/>
                <w:sz w:val="15"/>
                <w:szCs w:val="15"/>
                <w:b w:val="1"/>
                <w:bCs w:val="1"/>
                <w:color w:val="auto"/>
              </w:rPr>
              <w:t>Independent Director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640" w:type="dxa"/>
            <w:vAlign w:val="bottom"/>
            <w:gridSpan w:val="2"/>
          </w:tcPr>
          <w:p>
            <w:pPr>
              <w:spacing w:after="0"/>
              <w:rPr>
                <w:sz w:val="20"/>
                <w:szCs w:val="20"/>
                <w:color w:val="auto"/>
              </w:rPr>
            </w:pPr>
            <w:r>
              <w:rPr>
                <w:rFonts w:ascii="Arial" w:cs="Arial" w:eastAsia="Arial" w:hAnsi="Arial"/>
                <w:sz w:val="15"/>
                <w:szCs w:val="15"/>
                <w:color w:val="auto"/>
              </w:rPr>
              <w:t>R. Charles Moyer, 75</w:t>
            </w:r>
          </w:p>
        </w:tc>
        <w:tc>
          <w:tcPr>
            <w:tcW w:w="16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640" w:type="dxa"/>
            <w:vAlign w:val="bottom"/>
            <w:gridSpan w:val="2"/>
          </w:tcPr>
          <w:p>
            <w:pPr>
              <w:spacing w:after="0"/>
              <w:rPr>
                <w:sz w:val="20"/>
                <w:szCs w:val="20"/>
                <w:color w:val="auto"/>
              </w:rPr>
            </w:pPr>
            <w:r>
              <w:rPr>
                <w:rFonts w:ascii="Arial" w:cs="Arial" w:eastAsia="Arial" w:hAnsi="Arial"/>
                <w:sz w:val="15"/>
                <w:szCs w:val="15"/>
                <w:color w:val="auto"/>
              </w:rPr>
              <w:t>Class I Director since</w:t>
            </w:r>
          </w:p>
        </w:tc>
        <w:tc>
          <w:tcPr>
            <w:tcW w:w="1640" w:type="dxa"/>
            <w:vAlign w:val="bottom"/>
            <w:gridSpan w:val="2"/>
          </w:tcPr>
          <w:p>
            <w:pPr>
              <w:spacing w:after="0"/>
              <w:rPr>
                <w:sz w:val="20"/>
                <w:szCs w:val="20"/>
                <w:color w:val="auto"/>
              </w:rPr>
            </w:pPr>
            <w:r>
              <w:rPr>
                <w:rFonts w:ascii="Arial" w:cs="Arial" w:eastAsia="Arial" w:hAnsi="Arial"/>
                <w:sz w:val="15"/>
                <w:szCs w:val="15"/>
                <w:color w:val="auto"/>
              </w:rPr>
              <w:t>Professor of Finance at</w:t>
            </w:r>
          </w:p>
        </w:tc>
        <w:tc>
          <w:tcPr>
            <w:tcW w:w="1580" w:type="dxa"/>
            <w:vAlign w:val="bottom"/>
          </w:tcPr>
          <w:p>
            <w:pPr>
              <w:spacing w:after="0"/>
              <w:rPr>
                <w:sz w:val="20"/>
                <w:szCs w:val="20"/>
                <w:color w:val="auto"/>
              </w:rPr>
            </w:pPr>
            <w:r>
              <w:rPr>
                <w:rFonts w:ascii="Arial" w:cs="Arial" w:eastAsia="Arial" w:hAnsi="Arial"/>
                <w:sz w:val="15"/>
                <w:szCs w:val="15"/>
                <w:color w:val="auto"/>
              </w:rPr>
              <w:t>Director of Summit</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2013; Term expires</w:t>
            </w: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the University of</w:t>
            </w:r>
          </w:p>
        </w:tc>
        <w:tc>
          <w:tcPr>
            <w:tcW w:w="1580" w:type="dxa"/>
            <w:vAlign w:val="bottom"/>
          </w:tcPr>
          <w:p>
            <w:pPr>
              <w:spacing w:after="0" w:line="149" w:lineRule="exact"/>
              <w:rPr>
                <w:sz w:val="20"/>
                <w:szCs w:val="20"/>
                <w:color w:val="auto"/>
              </w:rPr>
            </w:pPr>
            <w:r>
              <w:rPr>
                <w:rFonts w:ascii="Arial" w:cs="Arial" w:eastAsia="Arial" w:hAnsi="Arial"/>
                <w:sz w:val="15"/>
                <w:szCs w:val="15"/>
                <w:color w:val="auto"/>
                <w:w w:val="99"/>
              </w:rPr>
              <w:t>Biosciences Inc.; Board</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5"/>
                <w:szCs w:val="15"/>
                <w:color w:val="auto"/>
              </w:rPr>
              <w:t>2023.</w:t>
            </w: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Louisville; Dean</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member of the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Emeritus of the</w:t>
            </w:r>
          </w:p>
        </w:tc>
        <w:tc>
          <w:tcPr>
            <w:tcW w:w="1580" w:type="dxa"/>
            <w:vAlign w:val="bottom"/>
          </w:tcPr>
          <w:p>
            <w:pPr>
              <w:spacing w:after="0" w:line="149" w:lineRule="exact"/>
              <w:rPr>
                <w:sz w:val="20"/>
                <w:szCs w:val="20"/>
                <w:color w:val="auto"/>
              </w:rPr>
            </w:pPr>
            <w:r>
              <w:rPr>
                <w:rFonts w:ascii="Arial" w:cs="Arial" w:eastAsia="Arial" w:hAnsi="Arial"/>
                <w:sz w:val="15"/>
                <w:szCs w:val="15"/>
                <w:color w:val="auto"/>
                <w:w w:val="98"/>
              </w:rPr>
              <w:t>Kentucky Center for the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Babcock Graduate</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Arts Foundation;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School of Management,</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Director of the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20" w:type="dxa"/>
            <w:vAlign w:val="bottom"/>
            <w:gridSpan w:val="3"/>
          </w:tcPr>
          <w:p>
            <w:pPr>
              <w:spacing w:after="0" w:line="149" w:lineRule="exact"/>
              <w:rPr>
                <w:sz w:val="20"/>
                <w:szCs w:val="20"/>
                <w:color w:val="auto"/>
              </w:rPr>
            </w:pPr>
            <w:r>
              <w:rPr>
                <w:rFonts w:ascii="Arial" w:cs="Arial" w:eastAsia="Arial" w:hAnsi="Arial"/>
                <w:sz w:val="15"/>
                <w:szCs w:val="15"/>
                <w:color w:val="auto"/>
              </w:rPr>
              <w:t>Wake Forest University.  Enterprise Angels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Community Fund I;</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line="161" w:lineRule="exact"/>
              <w:rPr>
                <w:sz w:val="20"/>
                <w:szCs w:val="20"/>
                <w:color w:val="auto"/>
              </w:rPr>
            </w:pPr>
            <w:r>
              <w:rPr>
                <w:rFonts w:ascii="Arial" w:cs="Arial" w:eastAsia="Arial" w:hAnsi="Arial"/>
                <w:sz w:val="15"/>
                <w:szCs w:val="15"/>
                <w:color w:val="auto"/>
              </w:rPr>
              <w:t>Former Director of</w:t>
            </w:r>
          </w:p>
        </w:tc>
        <w:tc>
          <w:tcPr>
            <w:tcW w:w="0" w:type="dxa"/>
            <w:vAlign w:val="bottom"/>
          </w:tcPr>
          <w:p>
            <w:pPr>
              <w:spacing w:after="0"/>
              <w:rPr>
                <w:sz w:val="1"/>
                <w:szCs w:val="1"/>
                <w:color w:val="auto"/>
              </w:rPr>
            </w:pPr>
          </w:p>
        </w:tc>
      </w:tr>
    </w:tbl>
    <w:p>
      <w:pPr>
        <w:ind w:left="7840"/>
        <w:spacing w:after="0" w:line="206" w:lineRule="auto"/>
        <w:rPr>
          <w:sz w:val="20"/>
          <w:szCs w:val="20"/>
          <w:color w:val="auto"/>
        </w:rPr>
      </w:pPr>
      <w:r>
        <w:rPr>
          <w:rFonts w:ascii="Arial" w:cs="Arial" w:eastAsia="Arial" w:hAnsi="Arial"/>
          <w:sz w:val="15"/>
          <w:szCs w:val="15"/>
          <w:color w:val="auto"/>
        </w:rPr>
        <w:t>Kentucky Seed Capital</w:t>
      </w:r>
    </w:p>
    <w:p>
      <w:pPr>
        <w:ind w:left="7840"/>
        <w:spacing w:after="0" w:line="207" w:lineRule="auto"/>
        <w:rPr>
          <w:sz w:val="20"/>
          <w:szCs w:val="20"/>
          <w:color w:val="auto"/>
        </w:rPr>
      </w:pPr>
      <w:r>
        <w:rPr>
          <w:rFonts w:ascii="Arial" w:cs="Arial" w:eastAsia="Arial" w:hAnsi="Arial"/>
          <w:sz w:val="15"/>
          <w:szCs w:val="15"/>
          <w:color w:val="auto"/>
        </w:rPr>
        <w:t>Fund; and Former</w:t>
      </w:r>
    </w:p>
    <w:p>
      <w:pPr>
        <w:ind w:left="7840"/>
        <w:spacing w:after="0" w:line="206" w:lineRule="auto"/>
        <w:rPr>
          <w:sz w:val="20"/>
          <w:szCs w:val="20"/>
          <w:color w:val="auto"/>
        </w:rPr>
      </w:pPr>
      <w:r>
        <w:rPr>
          <w:rFonts w:ascii="Arial" w:cs="Arial" w:eastAsia="Arial" w:hAnsi="Arial"/>
          <w:sz w:val="15"/>
          <w:szCs w:val="15"/>
          <w:color w:val="auto"/>
        </w:rPr>
        <w:t>Director of King</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5"/>
          <w:szCs w:val="15"/>
          <w:color w:val="auto"/>
        </w:rPr>
        <w:t>Pharmaceuticals Inc.</w:t>
      </w:r>
    </w:p>
    <w:p>
      <w:pPr>
        <w:spacing w:after="0" w:line="165"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Dr. Moyer’s extensive knowledge of risk management, corporate finance and corporate governance, as well as his tenure on the board of directors of King Pharmaceuticals Inc., qualifies him to serve on our Board.</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Directorships</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Held by Director</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Terms of Office</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or Nominee for</w:t>
            </w:r>
          </w:p>
        </w:tc>
        <w:tc>
          <w:tcPr>
            <w:tcW w:w="0" w:type="dxa"/>
            <w:vAlign w:val="bottom"/>
          </w:tcPr>
          <w:p>
            <w:pPr>
              <w:spacing w:after="0"/>
              <w:rPr>
                <w:sz w:val="1"/>
                <w:szCs w:val="1"/>
                <w:color w:val="auto"/>
              </w:rPr>
            </w:pPr>
          </w:p>
        </w:tc>
      </w:tr>
      <w:tr>
        <w:trPr>
          <w:trHeight w:val="162"/>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6"/>
              </w:rPr>
              <w:t>Name, Address and Age</w:t>
            </w:r>
            <w:r>
              <w:rPr>
                <w:rFonts w:ascii="Arial" w:cs="Arial" w:eastAsia="Arial" w:hAnsi="Arial"/>
                <w:sz w:val="21"/>
                <w:szCs w:val="21"/>
                <w:b w:val="1"/>
                <w:bCs w:val="1"/>
                <w:color w:val="auto"/>
                <w:w w:val="86"/>
                <w:vertAlign w:val="superscript"/>
              </w:rPr>
              <w:t>(1)</w:t>
            </w:r>
          </w:p>
        </w:tc>
        <w:tc>
          <w:tcPr>
            <w:tcW w:w="80" w:type="dxa"/>
            <w:vAlign w:val="bottom"/>
            <w:vMerge w:val="restart"/>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Position(s) Held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and Length of</w:t>
            </w: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Principal Occupation(s)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 During</w:t>
            </w: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with Company</w:t>
            </w:r>
          </w:p>
        </w:tc>
        <w:tc>
          <w:tcPr>
            <w:tcW w:w="8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Time Served</w:t>
            </w:r>
          </w:p>
        </w:tc>
        <w:tc>
          <w:tcPr>
            <w:tcW w:w="80" w:type="dxa"/>
            <w:vAlign w:val="bottom"/>
          </w:tcPr>
          <w:p>
            <w:pPr>
              <w:spacing w:after="0"/>
              <w:rPr>
                <w:sz w:val="17"/>
                <w:szCs w:val="17"/>
                <w:color w:val="auto"/>
              </w:rPr>
            </w:pPr>
          </w:p>
        </w:tc>
        <w:tc>
          <w:tcPr>
            <w:tcW w:w="15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During Past 5 Years</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Past 5 Years</w:t>
            </w:r>
          </w:p>
        </w:tc>
        <w:tc>
          <w:tcPr>
            <w:tcW w:w="0" w:type="dxa"/>
            <w:vAlign w:val="bottom"/>
          </w:tcPr>
          <w:p>
            <w:pPr>
              <w:spacing w:after="0"/>
              <w:rPr>
                <w:sz w:val="1"/>
                <w:szCs w:val="1"/>
                <w:color w:val="auto"/>
              </w:rPr>
            </w:pPr>
          </w:p>
        </w:tc>
      </w:tr>
      <w:tr>
        <w:trPr>
          <w:trHeight w:val="201"/>
        </w:trPr>
        <w:tc>
          <w:tcPr>
            <w:tcW w:w="1640" w:type="dxa"/>
            <w:vAlign w:val="bottom"/>
            <w:gridSpan w:val="2"/>
          </w:tcPr>
          <w:p>
            <w:pPr>
              <w:spacing w:after="0"/>
              <w:rPr>
                <w:sz w:val="20"/>
                <w:szCs w:val="20"/>
                <w:color w:val="auto"/>
              </w:rPr>
            </w:pPr>
            <w:r>
              <w:rPr>
                <w:rFonts w:ascii="Arial" w:cs="Arial" w:eastAsia="Arial" w:hAnsi="Arial"/>
                <w:sz w:val="15"/>
                <w:szCs w:val="15"/>
                <w:b w:val="1"/>
                <w:bCs w:val="1"/>
                <w:color w:val="auto"/>
              </w:rPr>
              <w:t>Independent Director</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Larry W. Carroll, 69</w:t>
            </w:r>
          </w:p>
        </w:tc>
        <w:tc>
          <w:tcPr>
            <w:tcW w:w="1660" w:type="dxa"/>
            <w:vAlign w:val="bottom"/>
            <w:gridSpan w:val="2"/>
          </w:tcPr>
          <w:p>
            <w:pPr>
              <w:spacing w:after="0" w:line="157" w:lineRule="exact"/>
              <w:rPr>
                <w:sz w:val="20"/>
                <w:szCs w:val="20"/>
                <w:color w:val="auto"/>
              </w:rPr>
            </w:pPr>
            <w:r>
              <w:rPr>
                <w:rFonts w:ascii="Arial" w:cs="Arial" w:eastAsia="Arial" w:hAnsi="Arial"/>
                <w:sz w:val="15"/>
                <w:szCs w:val="15"/>
                <w:color w:val="auto"/>
              </w:rPr>
              <w:t>Director</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Class II Director since</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President of Carroll</w:t>
            </w:r>
          </w:p>
        </w:tc>
        <w:tc>
          <w:tcPr>
            <w:tcW w:w="1580" w:type="dxa"/>
            <w:vAlign w:val="bottom"/>
          </w:tcPr>
          <w:p>
            <w:pPr>
              <w:spacing w:after="0" w:line="157" w:lineRule="exact"/>
              <w:rPr>
                <w:sz w:val="20"/>
                <w:szCs w:val="20"/>
                <w:color w:val="auto"/>
              </w:rPr>
            </w:pPr>
            <w:r>
              <w:rPr>
                <w:rFonts w:ascii="Arial" w:cs="Arial" w:eastAsia="Arial" w:hAnsi="Arial"/>
                <w:sz w:val="15"/>
                <w:szCs w:val="15"/>
                <w:color w:val="auto"/>
                <w:w w:val="99"/>
              </w:rPr>
              <w:t>Former Director of Park</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2013; Term expires</w:t>
            </w: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Finance Associates,</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Sterling Corporation</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5"/>
                <w:szCs w:val="15"/>
                <w:color w:val="auto"/>
              </w:rPr>
              <w:t>2021.</w:t>
            </w: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Inc., a financial</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and its wholly owned</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planning and</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subsidiary, Park</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w w:val="98"/>
              </w:rPr>
              <w:t>investment management</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Sterling Bank; Director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firm.</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of Carroll Financial</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Associates, Inc.;</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Former Director of the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5"/>
                <w:szCs w:val="15"/>
                <w:color w:val="auto"/>
                <w:w w:val="96"/>
              </w:rPr>
              <w:t>Board of Trustees of the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Cultural and Heritage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Foundation; Board of</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5"/>
                <w:szCs w:val="15"/>
                <w:color w:val="auto"/>
                <w:w w:val="97"/>
              </w:rPr>
              <w:t>Trustees of Austin Peay</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5"/>
                <w:szCs w:val="15"/>
                <w:color w:val="auto"/>
              </w:rPr>
              <w:t>State University</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Mr. Carroll’s expertise in the financial services industry and capital markets, as well as his experience serving on the board of directors of other financial services companies, provides our Boardwith the valuable insight of an experienced financial manager.</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Directorships</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Held by Director</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Terms of Office</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or Nominee for</w:t>
            </w:r>
          </w:p>
        </w:tc>
        <w:tc>
          <w:tcPr>
            <w:tcW w:w="0" w:type="dxa"/>
            <w:vAlign w:val="bottom"/>
          </w:tcPr>
          <w:p>
            <w:pPr>
              <w:spacing w:after="0"/>
              <w:rPr>
                <w:sz w:val="1"/>
                <w:szCs w:val="1"/>
                <w:color w:val="auto"/>
              </w:rPr>
            </w:pPr>
          </w:p>
        </w:tc>
      </w:tr>
      <w:tr>
        <w:trPr>
          <w:trHeight w:val="162"/>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6"/>
              </w:rPr>
              <w:t>Name, Address and Age</w:t>
            </w:r>
            <w:r>
              <w:rPr>
                <w:rFonts w:ascii="Arial" w:cs="Arial" w:eastAsia="Arial" w:hAnsi="Arial"/>
                <w:sz w:val="21"/>
                <w:szCs w:val="21"/>
                <w:b w:val="1"/>
                <w:bCs w:val="1"/>
                <w:color w:val="auto"/>
                <w:w w:val="86"/>
                <w:vertAlign w:val="superscript"/>
              </w:rPr>
              <w:t>(1)</w:t>
            </w:r>
          </w:p>
        </w:tc>
        <w:tc>
          <w:tcPr>
            <w:tcW w:w="80" w:type="dxa"/>
            <w:vAlign w:val="bottom"/>
            <w:vMerge w:val="restart"/>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Position(s) Held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and Length of</w:t>
            </w: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Principal Occupation(s)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 During</w:t>
            </w:r>
          </w:p>
        </w:tc>
        <w:tc>
          <w:tcPr>
            <w:tcW w:w="0" w:type="dxa"/>
            <w:vAlign w:val="bottom"/>
          </w:tcPr>
          <w:p>
            <w:pPr>
              <w:spacing w:after="0"/>
              <w:rPr>
                <w:sz w:val="1"/>
                <w:szCs w:val="1"/>
                <w:color w:val="auto"/>
              </w:rPr>
            </w:pPr>
          </w:p>
        </w:tc>
      </w:tr>
      <w:tr>
        <w:trPr>
          <w:trHeight w:val="212"/>
        </w:trPr>
        <w:tc>
          <w:tcPr>
            <w:tcW w:w="15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with Company</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Time Served</w:t>
            </w:r>
          </w:p>
        </w:tc>
        <w:tc>
          <w:tcPr>
            <w:tcW w:w="80" w:type="dxa"/>
            <w:vAlign w:val="bottom"/>
          </w:tcPr>
          <w:p>
            <w:pPr>
              <w:spacing w:after="0"/>
              <w:rPr>
                <w:sz w:val="18"/>
                <w:szCs w:val="18"/>
                <w:color w:val="auto"/>
              </w:rPr>
            </w:pPr>
          </w:p>
        </w:tc>
        <w:tc>
          <w:tcPr>
            <w:tcW w:w="15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During Past 5 Years</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Past 5 Years</w:t>
            </w:r>
          </w:p>
        </w:tc>
        <w:tc>
          <w:tcPr>
            <w:tcW w:w="0" w:type="dxa"/>
            <w:vAlign w:val="bottom"/>
          </w:tcPr>
          <w:p>
            <w:pPr>
              <w:spacing w:after="0"/>
              <w:rPr>
                <w:sz w:val="1"/>
                <w:szCs w:val="1"/>
                <w:color w:val="auto"/>
              </w:rPr>
            </w:pPr>
          </w:p>
        </w:tc>
      </w:tr>
      <w:tr>
        <w:trPr>
          <w:trHeight w:val="215"/>
        </w:trPr>
        <w:tc>
          <w:tcPr>
            <w:tcW w:w="1640" w:type="dxa"/>
            <w:vAlign w:val="bottom"/>
            <w:gridSpan w:val="2"/>
          </w:tcPr>
          <w:p>
            <w:pPr>
              <w:spacing w:after="0"/>
              <w:rPr>
                <w:sz w:val="20"/>
                <w:szCs w:val="20"/>
                <w:color w:val="auto"/>
              </w:rPr>
            </w:pPr>
            <w:r>
              <w:rPr>
                <w:rFonts w:ascii="Arial" w:cs="Arial" w:eastAsia="Arial" w:hAnsi="Arial"/>
                <w:sz w:val="15"/>
                <w:szCs w:val="15"/>
                <w:b w:val="1"/>
                <w:bCs w:val="1"/>
                <w:color w:val="auto"/>
              </w:rPr>
              <w:t>Independent Director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640" w:type="dxa"/>
            <w:vAlign w:val="bottom"/>
            <w:gridSpan w:val="2"/>
          </w:tcPr>
          <w:p>
            <w:pPr>
              <w:spacing w:after="0"/>
              <w:rPr>
                <w:sz w:val="20"/>
                <w:szCs w:val="20"/>
                <w:color w:val="auto"/>
              </w:rPr>
            </w:pPr>
            <w:r>
              <w:rPr>
                <w:rFonts w:ascii="Arial" w:cs="Arial" w:eastAsia="Arial" w:hAnsi="Arial"/>
                <w:sz w:val="15"/>
                <w:szCs w:val="15"/>
                <w:color w:val="auto"/>
              </w:rPr>
              <w:t>H. Paul Chapman, 69</w:t>
            </w:r>
          </w:p>
        </w:tc>
        <w:tc>
          <w:tcPr>
            <w:tcW w:w="16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640" w:type="dxa"/>
            <w:vAlign w:val="bottom"/>
            <w:gridSpan w:val="2"/>
          </w:tcPr>
          <w:p>
            <w:pPr>
              <w:jc w:val="center"/>
              <w:ind w:right="160"/>
              <w:spacing w:after="0"/>
              <w:rPr>
                <w:sz w:val="20"/>
                <w:szCs w:val="20"/>
                <w:color w:val="auto"/>
              </w:rPr>
            </w:pPr>
            <w:r>
              <w:rPr>
                <w:rFonts w:ascii="Arial" w:cs="Arial" w:eastAsia="Arial" w:hAnsi="Arial"/>
                <w:sz w:val="15"/>
                <w:szCs w:val="15"/>
                <w:color w:val="auto"/>
                <w:w w:val="98"/>
              </w:rPr>
              <w:t>Class III Director since</w:t>
            </w:r>
          </w:p>
        </w:tc>
        <w:tc>
          <w:tcPr>
            <w:tcW w:w="1640" w:type="dxa"/>
            <w:vAlign w:val="bottom"/>
            <w:gridSpan w:val="2"/>
          </w:tcPr>
          <w:p>
            <w:pPr>
              <w:spacing w:after="0"/>
              <w:rPr>
                <w:sz w:val="20"/>
                <w:szCs w:val="20"/>
                <w:color w:val="auto"/>
              </w:rPr>
            </w:pPr>
            <w:r>
              <w:rPr>
                <w:rFonts w:ascii="Arial" w:cs="Arial" w:eastAsia="Arial" w:hAnsi="Arial"/>
                <w:sz w:val="15"/>
                <w:szCs w:val="15"/>
                <w:color w:val="auto"/>
              </w:rPr>
              <w:t>Partner at KPMG LLP,</w:t>
            </w:r>
          </w:p>
        </w:tc>
        <w:tc>
          <w:tcPr>
            <w:tcW w:w="1580" w:type="dxa"/>
            <w:vAlign w:val="bottom"/>
          </w:tcPr>
          <w:p>
            <w:pPr>
              <w:spacing w:after="0"/>
              <w:rPr>
                <w:sz w:val="20"/>
                <w:szCs w:val="20"/>
                <w:color w:val="auto"/>
              </w:rPr>
            </w:pPr>
            <w:r>
              <w:rPr>
                <w:rFonts w:ascii="Arial" w:cs="Arial" w:eastAsia="Arial" w:hAnsi="Arial"/>
                <w:sz w:val="15"/>
                <w:szCs w:val="15"/>
                <w:color w:val="auto"/>
              </w:rPr>
              <w:t>Has served on the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2013; Term expires</w:t>
            </w: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an accounting firm</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boards of directors of a</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5"/>
                <w:szCs w:val="15"/>
                <w:color w:val="auto"/>
              </w:rPr>
              <w:t>2022.</w:t>
            </w: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(1974 – 2013);</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variety of charitable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Professor in the Belk</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and community</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College of Business at</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organizations; Director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University of North</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of National Association</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Carolina at Charlotte</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of Corporate Directors</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5"/>
                <w:szCs w:val="15"/>
                <w:color w:val="auto"/>
              </w:rPr>
              <w:t>(2013 – Present).</w:t>
            </w: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 Carolina Chapter;</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5"/>
                <w:szCs w:val="15"/>
                <w:color w:val="auto"/>
              </w:rPr>
              <w:t>Director of S&amp;S</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5"/>
                <w:szCs w:val="15"/>
                <w:color w:val="auto"/>
              </w:rPr>
              <w:t>Management LLC.</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260" w:right="419" w:firstLine="360"/>
        <w:spacing w:after="0" w:line="308" w:lineRule="auto"/>
        <w:rPr>
          <w:sz w:val="20"/>
          <w:szCs w:val="20"/>
          <w:color w:val="auto"/>
        </w:rPr>
      </w:pPr>
      <w:r>
        <w:rPr>
          <w:rFonts w:ascii="Arial" w:cs="Arial" w:eastAsia="Arial" w:hAnsi="Arial"/>
          <w:sz w:val="17"/>
          <w:szCs w:val="17"/>
          <w:color w:val="auto"/>
        </w:rPr>
        <w:t>Mr. Chapman’s experience as an auditor, including his extensive knowledge of accounting and financial reporting, as well as his experience as a director of other organizations, qualifies him to serve on our Board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123444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2" w:lineRule="exact"/>
        <w:rPr>
          <w:sz w:val="20"/>
          <w:szCs w:val="20"/>
          <w:color w:val="auto"/>
        </w:rPr>
      </w:pPr>
    </w:p>
    <w:p>
      <w:pPr>
        <w:ind w:left="1620" w:right="419" w:hanging="360"/>
        <w:spacing w:after="0" w:line="277"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business address of the directors is c/o Capitala Finance Corp. 4201 Congress Street, Suite 360, Charlotte, North Carolina 28209.</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about Executive Officers Who Are Not Directors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1"/>
                <w:szCs w:val="21"/>
                <w:b w:val="1"/>
                <w:bCs w:val="1"/>
                <w:color w:val="auto"/>
                <w:vertAlign w:val="superscript"/>
              </w:rPr>
              <w:t>(1)</w:t>
            </w:r>
          </w:p>
        </w:tc>
        <w:tc>
          <w:tcPr>
            <w:tcW w:w="200" w:type="dxa"/>
            <w:vAlign w:val="bottom"/>
            <w:vMerge w:val="restart"/>
          </w:tcPr>
          <w:p>
            <w:pPr>
              <w:spacing w:after="0"/>
              <w:rPr>
                <w:sz w:val="14"/>
                <w:szCs w:val="14"/>
                <w:color w:val="auto"/>
              </w:rPr>
            </w:pPr>
          </w:p>
        </w:tc>
        <w:tc>
          <w:tcPr>
            <w:tcW w:w="2820" w:type="dxa"/>
            <w:vAlign w:val="bottom"/>
            <w:gridSpan w:val="2"/>
          </w:tcPr>
          <w:p>
            <w:pPr>
              <w:ind w:left="820"/>
              <w:spacing w:after="0"/>
              <w:rPr>
                <w:sz w:val="20"/>
                <w:szCs w:val="20"/>
                <w:color w:val="auto"/>
              </w:rPr>
            </w:pPr>
            <w:r>
              <w:rPr>
                <w:rFonts w:ascii="Arial" w:cs="Arial" w:eastAsia="Arial" w:hAnsi="Arial"/>
                <w:sz w:val="14"/>
                <w:szCs w:val="14"/>
                <w:b w:val="1"/>
                <w:bCs w:val="1"/>
                <w:color w:val="auto"/>
              </w:rPr>
              <w:t>Position(s) Held</w:t>
            </w:r>
          </w:p>
        </w:tc>
        <w:tc>
          <w:tcPr>
            <w:tcW w:w="2580" w:type="dxa"/>
            <w:vAlign w:val="bottom"/>
          </w:tcPr>
          <w:p>
            <w:pPr>
              <w:ind w:left="580"/>
              <w:spacing w:after="0"/>
              <w:rPr>
                <w:sz w:val="20"/>
                <w:szCs w:val="20"/>
                <w:color w:val="auto"/>
              </w:rPr>
            </w:pPr>
            <w:r>
              <w:rPr>
                <w:rFonts w:ascii="Arial" w:cs="Arial" w:eastAsia="Arial" w:hAnsi="Arial"/>
                <w:sz w:val="14"/>
                <w:szCs w:val="14"/>
                <w:b w:val="1"/>
                <w:bCs w:val="1"/>
                <w:color w:val="auto"/>
              </w:rPr>
              <w:t>Principal Occupation(s)</w:t>
            </w:r>
          </w:p>
        </w:tc>
        <w:tc>
          <w:tcPr>
            <w:tcW w:w="0" w:type="dxa"/>
            <w:vAlign w:val="bottom"/>
          </w:tcPr>
          <w:p>
            <w:pPr>
              <w:spacing w:after="0"/>
              <w:rPr>
                <w:sz w:val="1"/>
                <w:szCs w:val="1"/>
                <w:color w:val="auto"/>
              </w:rPr>
            </w:pPr>
          </w:p>
        </w:tc>
      </w:tr>
      <w:tr>
        <w:trPr>
          <w:trHeight w:val="212"/>
        </w:trPr>
        <w:tc>
          <w:tcPr>
            <w:tcW w:w="26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with Company</w:t>
            </w:r>
          </w:p>
        </w:tc>
        <w:tc>
          <w:tcPr>
            <w:tcW w:w="220" w:type="dxa"/>
            <w:vAlign w:val="bottom"/>
          </w:tcPr>
          <w:p>
            <w:pPr>
              <w:spacing w:after="0"/>
              <w:rPr>
                <w:sz w:val="18"/>
                <w:szCs w:val="18"/>
                <w:color w:val="auto"/>
              </w:rPr>
            </w:pPr>
          </w:p>
        </w:tc>
        <w:tc>
          <w:tcPr>
            <w:tcW w:w="25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During Past 5 Years</w:t>
            </w:r>
          </w:p>
        </w:tc>
        <w:tc>
          <w:tcPr>
            <w:tcW w:w="0" w:type="dxa"/>
            <w:vAlign w:val="bottom"/>
          </w:tcPr>
          <w:p>
            <w:pPr>
              <w:spacing w:after="0"/>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Stephen A. Arnall, 59</w:t>
            </w:r>
          </w:p>
        </w:tc>
        <w:tc>
          <w:tcPr>
            <w:tcW w:w="2820" w:type="dxa"/>
            <w:vAlign w:val="bottom"/>
            <w:gridSpan w:val="2"/>
          </w:tcPr>
          <w:p>
            <w:pPr>
              <w:spacing w:after="0"/>
              <w:rPr>
                <w:sz w:val="20"/>
                <w:szCs w:val="20"/>
                <w:color w:val="auto"/>
              </w:rPr>
            </w:pPr>
            <w:r>
              <w:rPr>
                <w:rFonts w:ascii="Arial" w:cs="Arial" w:eastAsia="Arial" w:hAnsi="Arial"/>
                <w:sz w:val="18"/>
                <w:szCs w:val="18"/>
                <w:color w:val="auto"/>
              </w:rPr>
              <w:t>Chief Financial Officer and Chief</w:t>
            </w:r>
          </w:p>
        </w:tc>
        <w:tc>
          <w:tcPr>
            <w:tcW w:w="2580" w:type="dxa"/>
            <w:vAlign w:val="bottom"/>
          </w:tcPr>
          <w:p>
            <w:pPr>
              <w:spacing w:after="0"/>
              <w:rPr>
                <w:sz w:val="20"/>
                <w:szCs w:val="20"/>
                <w:color w:val="auto"/>
              </w:rPr>
            </w:pPr>
            <w:r>
              <w:rPr>
                <w:rFonts w:ascii="Arial" w:cs="Arial" w:eastAsia="Arial" w:hAnsi="Arial"/>
                <w:sz w:val="18"/>
                <w:szCs w:val="18"/>
                <w:color w:val="auto"/>
                <w:w w:val="98"/>
              </w:rPr>
              <w:t>Chief Financial Officer and Chief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Operating Officer</w:t>
            </w:r>
          </w:p>
        </w:tc>
        <w:tc>
          <w:tcPr>
            <w:tcW w:w="2580" w:type="dxa"/>
            <w:vAlign w:val="bottom"/>
          </w:tcPr>
          <w:p>
            <w:pPr>
              <w:spacing w:after="0"/>
              <w:rPr>
                <w:sz w:val="20"/>
                <w:szCs w:val="20"/>
                <w:color w:val="auto"/>
              </w:rPr>
            </w:pPr>
            <w:r>
              <w:rPr>
                <w:rFonts w:ascii="Arial" w:cs="Arial" w:eastAsia="Arial" w:hAnsi="Arial"/>
                <w:sz w:val="18"/>
                <w:szCs w:val="18"/>
                <w:color w:val="auto"/>
              </w:rPr>
              <w:t>Operating Officer of Capitala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Finance since May 2013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4"/>
              </w:rPr>
              <w:t>February 2019, respectively. Prior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 joining Capitala Finance,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Mr. Arnall was an executive vice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president and the chief financial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officer of Park Sterling Bank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from 2006 to 2010 and treasurer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of Park Sterling Bank from 2010</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 2013.</w:t>
            </w:r>
          </w:p>
        </w:tc>
        <w:tc>
          <w:tcPr>
            <w:tcW w:w="0" w:type="dxa"/>
            <w:vAlign w:val="bottom"/>
          </w:tcPr>
          <w:p>
            <w:pPr>
              <w:spacing w:after="0"/>
              <w:rPr>
                <w:sz w:val="1"/>
                <w:szCs w:val="1"/>
                <w:color w:val="auto"/>
              </w:rPr>
            </w:pPr>
          </w:p>
        </w:tc>
      </w:tr>
      <w:tr>
        <w:trPr>
          <w:trHeight w:val="242"/>
        </w:trPr>
        <w:tc>
          <w:tcPr>
            <w:tcW w:w="2800" w:type="dxa"/>
            <w:vAlign w:val="bottom"/>
            <w:gridSpan w:val="2"/>
          </w:tcPr>
          <w:p>
            <w:pPr>
              <w:spacing w:after="0"/>
              <w:rPr>
                <w:sz w:val="20"/>
                <w:szCs w:val="20"/>
                <w:color w:val="auto"/>
              </w:rPr>
            </w:pPr>
            <w:r>
              <w:rPr>
                <w:rFonts w:ascii="Arial" w:cs="Arial" w:eastAsia="Arial" w:hAnsi="Arial"/>
                <w:sz w:val="18"/>
                <w:szCs w:val="18"/>
                <w:color w:val="auto"/>
              </w:rPr>
              <w:t>Kevin A. Koonts, 35</w:t>
            </w:r>
          </w:p>
        </w:tc>
        <w:tc>
          <w:tcPr>
            <w:tcW w:w="282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2580" w:type="dxa"/>
            <w:vAlign w:val="bottom"/>
          </w:tcPr>
          <w:p>
            <w:pPr>
              <w:spacing w:after="0"/>
              <w:rPr>
                <w:sz w:val="20"/>
                <w:szCs w:val="20"/>
                <w:color w:val="auto"/>
              </w:rPr>
            </w:pPr>
            <w:r>
              <w:rPr>
                <w:rFonts w:ascii="Arial" w:cs="Arial" w:eastAsia="Arial" w:hAnsi="Arial"/>
                <w:sz w:val="18"/>
                <w:szCs w:val="18"/>
                <w:color w:val="auto"/>
              </w:rPr>
              <w:t>Chief Compliance Officer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Treasurer, Chief Compliance</w:t>
            </w:r>
          </w:p>
        </w:tc>
        <w:tc>
          <w:tcPr>
            <w:tcW w:w="2580" w:type="dxa"/>
            <w:vAlign w:val="bottom"/>
          </w:tcPr>
          <w:p>
            <w:pPr>
              <w:spacing w:after="0"/>
              <w:rPr>
                <w:sz w:val="20"/>
                <w:szCs w:val="20"/>
                <w:color w:val="auto"/>
              </w:rPr>
            </w:pPr>
            <w:r>
              <w:rPr>
                <w:rFonts w:ascii="Arial" w:cs="Arial" w:eastAsia="Arial" w:hAnsi="Arial"/>
                <w:sz w:val="18"/>
                <w:szCs w:val="18"/>
                <w:color w:val="auto"/>
                <w:w w:val="99"/>
              </w:rPr>
              <w:t>Secretary of the Company since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Officer and Secretary</w:t>
            </w:r>
          </w:p>
        </w:tc>
        <w:tc>
          <w:tcPr>
            <w:tcW w:w="2580" w:type="dxa"/>
            <w:vAlign w:val="bottom"/>
          </w:tcPr>
          <w:p>
            <w:pPr>
              <w:spacing w:after="0"/>
              <w:rPr>
                <w:sz w:val="20"/>
                <w:szCs w:val="20"/>
                <w:color w:val="auto"/>
              </w:rPr>
            </w:pPr>
            <w:r>
              <w:rPr>
                <w:rFonts w:ascii="Arial" w:cs="Arial" w:eastAsia="Arial" w:hAnsi="Arial"/>
                <w:sz w:val="18"/>
                <w:szCs w:val="18"/>
                <w:color w:val="auto"/>
              </w:rPr>
              <w:t>October 2019 and Chief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6"/>
              </w:rPr>
              <w:t>Accounting Officer and Treasurer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7"/>
              </w:rPr>
              <w:t>since February 2019. Previously,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Controller of the Company since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2013. Prior to joining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Company, Mr. Koonts served 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an audit manager in Dixon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Hughes Goodman LLP’s financial</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services practice.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419" w:hanging="360"/>
        <w:spacing w:after="0" w:line="27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business address of the executive officers is c/o Capitala Finance Corp. 4201 Congress Street, Suite 360, Charlotte, North Carolina 28209.</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jc w:val="both"/>
        <w:ind w:left="1260" w:right="419" w:firstLine="360"/>
        <w:spacing w:after="0" w:line="236" w:lineRule="auto"/>
        <w:rPr>
          <w:sz w:val="20"/>
          <w:szCs w:val="20"/>
          <w:color w:val="auto"/>
        </w:rPr>
      </w:pPr>
      <w:r>
        <w:rPr>
          <w:rFonts w:ascii="Arial" w:cs="Arial" w:eastAsia="Arial" w:hAnsi="Arial"/>
          <w:sz w:val="18"/>
          <w:szCs w:val="18"/>
          <w:color w:val="auto"/>
        </w:rPr>
        <w:t xml:space="preserve">The Audit Committee operates pursuant to a charter approved by our Board, a copy of which is available at </w:t>
      </w:r>
      <w:r>
        <w:rPr>
          <w:rFonts w:ascii="Arial" w:cs="Arial" w:eastAsia="Arial" w:hAnsi="Arial"/>
          <w:sz w:val="18"/>
          <w:szCs w:val="18"/>
          <w:i w:val="1"/>
          <w:iCs w:val="1"/>
          <w:color w:val="auto"/>
        </w:rPr>
        <w:t>http://investor.capitalagroup.com/.</w:t>
      </w:r>
      <w:r>
        <w:rPr>
          <w:rFonts w:ascii="Arial" w:cs="Arial" w:eastAsia="Arial" w:hAnsi="Arial"/>
          <w:sz w:val="18"/>
          <w:szCs w:val="18"/>
          <w:color w:val="auto"/>
        </w:rPr>
        <w:t xml:space="preserve"> The charter sets forth the responsibilities of the Audit Committee. The Audit Committee’s responsibilities include establishing guidelines and making recommendations to our Board regarding the valuation of our loans and investments, selecting the independent registered public accounting firm for Capitala Finance, reviewing with such independent registered public accounting firm the planning, scope and results of their audit of Capitala Finance’s financial statements, pre-approving the fees for services performed, reviewing with the independent registered public accounting firm the adequacy of internal control systems, reviewing Capitala Finance’s annual financial statements and periodic filings and receiving Capitala Finance’s audit reports and financial statements. The Audit Committee is currently composed of Messrs. Chapman, Carroll and Dr. Moyer, all of whom are not considered an “interested person” of the Company, as defined in Section 2(a)(19) of the 1940 Act (“independent directors”). Mr. Chapman serves as Chairman of the Audit Committee. Our Board has determined that Mr. Chapman is an “audit committee financial expert” as that term is defined under Item 407 of Regulation S-K, as promulgated under the Securities Exchange Act of 1934, as amended (the “Exchange Act”). Mr. Chapman meets the current independence and experience requirements of Rule 10A-3 of the Exchange Act.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 xml:space="preserve">The Company has adopted a code of ethics which applies to, among others, its senior officers, including its Chief Executive Officer and its Chief Financial Officer, as well as every officer, director and employee of the Company. The Company’s code can be accessed via its website at </w:t>
      </w:r>
      <w:r>
        <w:rPr>
          <w:rFonts w:ascii="Arial" w:cs="Arial" w:eastAsia="Arial" w:hAnsi="Arial"/>
          <w:sz w:val="18"/>
          <w:szCs w:val="18"/>
          <w:i w:val="1"/>
          <w:iCs w:val="1"/>
          <w:color w:val="auto"/>
        </w:rPr>
        <w:t xml:space="preserve">http://investor.capitalagroup.com </w:t>
      </w:r>
      <w:r>
        <w:rPr>
          <w:rFonts w:ascii="Arial" w:cs="Arial" w:eastAsia="Arial" w:hAnsi="Arial"/>
          <w:sz w:val="18"/>
          <w:szCs w:val="18"/>
          <w:color w:val="auto"/>
        </w:rPr>
        <w:t>. The Company intends to disclose amendments to or waivers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provision of the code on Form 8-K.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Nomination of Directors</w:t>
      </w:r>
    </w:p>
    <w:p>
      <w:pPr>
        <w:spacing w:after="0" w:line="162"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There have been no material changes to the procedures by which stockholders may recommend nominees to our Board implemented since the filing of our Proxy Statement for our 2020 Annual Meeting of Stockholders.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following table sets forth compensation of the Company’s directors, for the year ended December 31, 2020.</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Fees Earned</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4"/>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or Paid in</w:t>
            </w:r>
          </w:p>
        </w:tc>
        <w:tc>
          <w:tcPr>
            <w:tcW w:w="12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All Other</w:t>
            </w:r>
          </w:p>
        </w:tc>
        <w:tc>
          <w:tcPr>
            <w:tcW w:w="700" w:type="dxa"/>
            <w:vAlign w:val="bottom"/>
          </w:tcPr>
          <w:p>
            <w:pPr>
              <w:spacing w:after="0"/>
              <w:rPr>
                <w:sz w:val="12"/>
                <w:szCs w:val="12"/>
                <w:color w:val="auto"/>
              </w:rPr>
            </w:pPr>
          </w:p>
        </w:tc>
      </w:tr>
      <w:tr>
        <w:trPr>
          <w:trHeight w:val="243"/>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Cash</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Compensation</w:t>
            </w:r>
            <w:r>
              <w:rPr>
                <w:rFonts w:ascii="Arial" w:cs="Arial" w:eastAsia="Arial" w:hAnsi="Arial"/>
                <w:sz w:val="21"/>
                <w:szCs w:val="21"/>
                <w:b w:val="1"/>
                <w:bCs w:val="1"/>
                <w:color w:val="auto"/>
                <w:w w:val="85"/>
                <w:vertAlign w:val="superscript"/>
              </w:rPr>
              <w:t>(2)</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1"/>
                <w:szCs w:val="21"/>
                <w:b w:val="1"/>
                <w:bCs w:val="1"/>
                <w:color w:val="auto"/>
                <w:vertAlign w:val="superscript"/>
              </w:rPr>
              <w:t>(3)</w:t>
            </w:r>
          </w:p>
        </w:tc>
      </w:tr>
      <w:tr>
        <w:trPr>
          <w:trHeight w:val="25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56"/>
        </w:trPr>
        <w:tc>
          <w:tcPr>
            <w:tcW w:w="5300" w:type="dxa"/>
            <w:vAlign w:val="bottom"/>
            <w:gridSpan w:val="2"/>
          </w:tcPr>
          <w:p>
            <w:pPr>
              <w:spacing w:after="0"/>
              <w:rPr>
                <w:sz w:val="20"/>
                <w:szCs w:val="20"/>
                <w:color w:val="auto"/>
              </w:rPr>
            </w:pPr>
            <w:r>
              <w:rPr>
                <w:rFonts w:ascii="Arial" w:cs="Arial" w:eastAsia="Arial" w:hAnsi="Arial"/>
                <w:sz w:val="18"/>
                <w:szCs w:val="18"/>
                <w:color w:val="auto"/>
              </w:rPr>
              <w:t>Joseph B. Alala, III</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Hunt Broyhill</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Charles Moyer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$106,750</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$106,750</w:t>
            </w:r>
          </w:p>
        </w:tc>
      </w:tr>
      <w:tr>
        <w:trPr>
          <w:trHeight w:val="270"/>
        </w:trPr>
        <w:tc>
          <w:tcPr>
            <w:tcW w:w="5300" w:type="dxa"/>
            <w:vAlign w:val="bottom"/>
            <w:gridSpan w:val="2"/>
          </w:tcPr>
          <w:p>
            <w:pPr>
              <w:spacing w:after="0"/>
              <w:rPr>
                <w:sz w:val="20"/>
                <w:szCs w:val="20"/>
                <w:color w:val="auto"/>
              </w:rPr>
            </w:pPr>
            <w:r>
              <w:rPr>
                <w:rFonts w:ascii="Arial" w:cs="Arial" w:eastAsia="Arial" w:hAnsi="Arial"/>
                <w:sz w:val="18"/>
                <w:szCs w:val="18"/>
                <w:color w:val="auto"/>
              </w:rPr>
              <w:t>Larry W. Carroll</w:t>
            </w:r>
          </w:p>
        </w:tc>
        <w:tc>
          <w:tcPr>
            <w:tcW w:w="780" w:type="dxa"/>
            <w:vAlign w:val="bottom"/>
          </w:tcPr>
          <w:p>
            <w:pPr>
              <w:jc w:val="right"/>
              <w:spacing w:after="0"/>
              <w:rPr>
                <w:sz w:val="20"/>
                <w:szCs w:val="20"/>
                <w:color w:val="auto"/>
              </w:rPr>
            </w:pPr>
            <w:r>
              <w:rPr>
                <w:rFonts w:ascii="Arial" w:cs="Arial" w:eastAsia="Arial" w:hAnsi="Arial"/>
                <w:sz w:val="18"/>
                <w:szCs w:val="18"/>
                <w:color w:val="auto"/>
                <w:w w:val="95"/>
              </w:rPr>
              <w:t>$106,750</w:t>
            </w:r>
          </w:p>
        </w:tc>
        <w:tc>
          <w:tcPr>
            <w:tcW w:w="22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$106,750</w:t>
            </w:r>
          </w:p>
        </w:tc>
      </w:tr>
      <w:tr>
        <w:trPr>
          <w:trHeight w:val="27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Paul Chapman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$ 111,000</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-1165225</wp:posOffset>
            </wp:positionV>
            <wp:extent cx="13716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-1165225</wp:posOffset>
            </wp:positionV>
            <wp:extent cx="13716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-1165225</wp:posOffset>
            </wp:positionV>
            <wp:extent cx="13716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a discussion of the independent directors’ compensation, see below.</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do not maintain a stock or option plan, non-equity incentive plan or pension plan for our directors.</w:t>
      </w:r>
    </w:p>
    <w:p>
      <w:pPr>
        <w:spacing w:after="0" w:line="74" w:lineRule="exact"/>
        <w:rPr>
          <w:rFonts w:ascii="Arial" w:cs="Arial" w:eastAsia="Arial" w:hAnsi="Arial"/>
          <w:sz w:val="17"/>
          <w:szCs w:val="17"/>
          <w:color w:val="auto"/>
        </w:rPr>
      </w:pPr>
    </w:p>
    <w:p>
      <w:pPr>
        <w:jc w:val="both"/>
        <w:ind w:left="1620" w:right="419" w:hanging="360"/>
        <w:spacing w:after="0" w:line="263" w:lineRule="auto"/>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Effective April 1, 2020, the Company’s independent directors waived 20% of the fees due to them for the remainder of the fiscal year ended December 31, 2020 due to the impact of the COVID-19 pandemic.</w:t>
      </w:r>
    </w:p>
    <w:p>
      <w:pPr>
        <w:spacing w:after="0" w:line="103"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Our independent directors receive an annual fee of $ 50,000. They also receive $5,000 plus reimbursement of reasonable out-of-pocket expenses incurred in connection with attending each board meeting, and also</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5" w:lineRule="auto"/>
        <w:rPr>
          <w:sz w:val="20"/>
          <w:szCs w:val="20"/>
          <w:color w:val="auto"/>
        </w:rPr>
      </w:pPr>
      <w:r>
        <w:rPr>
          <w:rFonts w:ascii="Arial" w:cs="Arial" w:eastAsia="Arial" w:hAnsi="Arial"/>
          <w:sz w:val="17"/>
          <w:szCs w:val="17"/>
          <w:color w:val="auto"/>
        </w:rPr>
        <w:t>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No compensation is expected to be paid to directors who are “interested persons” of Capitala Finance, as such term is defined in Section 2(a)(19) of the 1940 Act.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Executive Officers</w:t>
      </w:r>
    </w:p>
    <w:p>
      <w:pPr>
        <w:spacing w:after="0" w:line="148"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None of our officers receives direct compensation from Capitala Finance. As a result, we do not engage any compensation consultants. However, Mr. Alala, through his financial interest in Capitala Investment Advisors, will be entitled to a portion of any investment advisory fees paid by Capitala Finance to Capitala Investment Advisors under the investment advisory agreement (the “Investment Advisory Agreement”). Our other executive officers will be paid by our administrator, Capitala Advisors Corp. (the “Administrator”), subject to reimbursement by us of our allocable portion of such compensation for services rendered by such persons to Capitala Finance under the administration agreement (the “Administration Agreement”). To the extent that our Administrator outsources any of its functions, we will reimburse our Administrator for the fees associated with such functions without profit or benefit to our Administrator.</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The Compensation Committee operates pursuant to a charter approved by our Board, a copy of which is available on our website at http://investor.capitalagroup.com/. The charter sets forth the responsibilities of the Compensation Committee. The Compensation Committee is responsible for annually reviewing and recommending for approval to our Board the Investment Advisory Agreement and the Administration Agreement. In addition, although we do not directly compensate our executive officers currently, to the extent that we do so in the future, the Compensation Committee would also be responsible for reviewing and evaluating their compensation and making recommendations to the board of directors regarding their compensation. Lastly, the compensation committee would produce a report on our executive compensation practices and policies for inclusion in our proxy statement if required by applicable proxy rules and regulations and, if applicable, make recommendations to the board of directors on our executive compensation practices and policies. The Compensation Committee has the authority to engage compensation consultants and to delegate their duties and responsibilities to a member or to a subcommittee of the compensation committees. The members of the Compensation Committee are Messrs. Chapman and Carroll and Dr. Moyer, all of whom are independent directors. Mr. Carroll serves as Chairman of the Compensation Committee.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During fiscal year 2020 none of the Company’s executive officers served on the Board (or a compensation committee thereof or other board committee performing equivalent functions) of any entities that had one or more executive officers serve on the Compensation Committee of the Company or on the Board of the Company. No member of the Compensation Committee had any relationship requiring disclosure under any paragraph of Item 404 of Regulation S-K.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Currently, none of our executive officers are compensated by the Company, and as such the Company is not required to produce a report on executive officer compensation for inclusion in our Annual Report on Form 10-K.</w:t>
      </w:r>
    </w:p>
    <w:p>
      <w:pPr>
        <w:spacing w:after="0" w:line="180" w:lineRule="exact"/>
        <w:rPr>
          <w:sz w:val="20"/>
          <w:szCs w:val="20"/>
          <w:color w:val="auto"/>
        </w:rPr>
      </w:pPr>
    </w:p>
    <w:p>
      <w:pPr>
        <w:ind w:left="1260" w:right="47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following table sets forth, as of March 5, 2021, as to each class of equity securities of the Company, beneficially owned by all directors and the nominees, and each of the named executive officers, along with each person known to us to beneficially own 5% or more of the outstanding shares of our common stock, and the directors and executive officers of the Company as a group.</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Beneficial ownership is determined in accordance with the rules of the Securities and Exchange Commission (the “SEC”) and includes voting or investment power with respect to the securities. Ownership information for those persons who beneficially own 5% or more of shares of our common stock is based upon reports filed by such persons with the SEC and other information obtained from such persons, if available.</w:t>
      </w:r>
    </w:p>
    <w:p>
      <w:pPr>
        <w:spacing w:after="0" w:line="10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Unless otherwise indicated, the Company believes that each beneficial owner set forth in the table has sole voting and investment power and has the same address as the Company. Our address is 4201 Congress Street, Suite 360, Charlotte, North Carolina 28209.</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r>
      <w:tr>
        <w:trPr>
          <w:trHeight w:val="144"/>
        </w:trPr>
        <w:tc>
          <w:tcPr>
            <w:tcW w:w="6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7"/>
              </w:rPr>
              <w:t>Beneficially</w:t>
            </w:r>
          </w:p>
        </w:tc>
        <w:tc>
          <w:tcPr>
            <w:tcW w:w="8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84"/>
              </w:rPr>
              <w:t>Percentage of</w:t>
            </w:r>
          </w:p>
        </w:tc>
      </w:tr>
      <w:tr>
        <w:trPr>
          <w:trHeight w:val="243"/>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74"/>
                <w:vertAlign w:val="subscript"/>
              </w:rPr>
              <w:t>Owned</w:t>
            </w:r>
            <w:r>
              <w:rPr>
                <w:rFonts w:ascii="Arial" w:cs="Arial" w:eastAsia="Arial" w:hAnsi="Arial"/>
                <w:sz w:val="11"/>
                <w:szCs w:val="11"/>
                <w:b w:val="1"/>
                <w:bCs w:val="1"/>
                <w:color w:val="auto"/>
                <w:w w:val="74"/>
              </w:rPr>
              <w:t>(1)(6)</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21"/>
                <w:szCs w:val="21"/>
                <w:b w:val="1"/>
                <w:bCs w:val="1"/>
                <w:color w:val="auto"/>
                <w:vertAlign w:val="superscript"/>
              </w:rPr>
              <w:t>(2)</w:t>
            </w:r>
          </w:p>
        </w:tc>
      </w:tr>
      <w:tr>
        <w:trPr>
          <w:trHeight w:val="25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70"/>
        </w:trPr>
        <w:tc>
          <w:tcPr>
            <w:tcW w:w="6420" w:type="dxa"/>
            <w:vAlign w:val="bottom"/>
            <w:gridSpan w:val="2"/>
          </w:tcPr>
          <w:p>
            <w:pPr>
              <w:spacing w:after="0" w:line="270" w:lineRule="exact"/>
              <w:rPr>
                <w:sz w:val="20"/>
                <w:szCs w:val="20"/>
                <w:color w:val="auto"/>
              </w:rPr>
            </w:pPr>
            <w:r>
              <w:rPr>
                <w:rFonts w:ascii="Arial" w:cs="Arial" w:eastAsia="Arial" w:hAnsi="Arial"/>
                <w:sz w:val="18"/>
                <w:szCs w:val="18"/>
                <w:color w:val="auto"/>
              </w:rPr>
              <w:t>Joseph B. Alala, III</w:t>
            </w:r>
            <w:r>
              <w:rPr>
                <w:rFonts w:ascii="Arial" w:cs="Arial" w:eastAsia="Arial" w:hAnsi="Arial"/>
                <w:sz w:val="26"/>
                <w:szCs w:val="26"/>
                <w:color w:val="auto"/>
                <w:vertAlign w:val="superscript"/>
              </w:rPr>
              <w:t>(3)</w:t>
            </w:r>
          </w:p>
        </w:tc>
        <w:tc>
          <w:tcPr>
            <w:tcW w:w="740" w:type="dxa"/>
            <w:vAlign w:val="bottom"/>
          </w:tcPr>
          <w:p>
            <w:pPr>
              <w:jc w:val="right"/>
              <w:spacing w:after="0"/>
              <w:rPr>
                <w:sz w:val="20"/>
                <w:szCs w:val="20"/>
                <w:color w:val="auto"/>
              </w:rPr>
            </w:pPr>
            <w:r>
              <w:rPr>
                <w:rFonts w:ascii="Arial" w:cs="Arial" w:eastAsia="Arial" w:hAnsi="Arial"/>
                <w:sz w:val="18"/>
                <w:szCs w:val="18"/>
                <w:color w:val="auto"/>
              </w:rPr>
              <w:t>92,345</w:t>
            </w:r>
          </w:p>
        </w:tc>
        <w:tc>
          <w:tcPr>
            <w:tcW w:w="220" w:type="dxa"/>
            <w:vAlign w:val="bottom"/>
          </w:tcPr>
          <w:p>
            <w:pPr>
              <w:spacing w:after="0"/>
              <w:rPr>
                <w:sz w:val="23"/>
                <w:szCs w:val="23"/>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3.4%</w:t>
            </w:r>
          </w:p>
        </w:tc>
      </w:tr>
      <w:tr>
        <w:trPr>
          <w:trHeight w:val="270"/>
        </w:trPr>
        <w:tc>
          <w:tcPr>
            <w:tcW w:w="64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M. Hunt Broyhill</w:t>
            </w:r>
            <w:r>
              <w:rPr>
                <w:rFonts w:ascii="Arial" w:cs="Arial" w:eastAsia="Arial" w:hAnsi="Arial"/>
                <w:sz w:val="26"/>
                <w:szCs w:val="26"/>
                <w:color w:val="auto"/>
                <w:vertAlign w:val="superscript"/>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67,078</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w:t>
            </w:r>
          </w:p>
        </w:tc>
      </w:tr>
      <w:tr>
        <w:trPr>
          <w:trHeight w:val="256"/>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Charles Moyer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color w:val="auto"/>
              </w:rPr>
              <w:t>H. Paul Chapman</w:t>
            </w:r>
          </w:p>
        </w:tc>
        <w:tc>
          <w:tcPr>
            <w:tcW w:w="740" w:type="dxa"/>
            <w:vAlign w:val="bottom"/>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Pr>
          <w:p>
            <w:pPr>
              <w:spacing w:after="0"/>
              <w:rPr>
                <w:sz w:val="22"/>
                <w:szCs w:val="22"/>
                <w:color w:val="auto"/>
              </w:rPr>
            </w:pPr>
          </w:p>
        </w:tc>
        <w:tc>
          <w:tcPr>
            <w:tcW w:w="820" w:type="dxa"/>
            <w:vAlign w:val="bottom"/>
          </w:tcPr>
          <w:p>
            <w:pPr>
              <w:jc w:val="right"/>
              <w:ind w:right="214"/>
              <w:spacing w:after="0"/>
              <w:rPr>
                <w:sz w:val="20"/>
                <w:szCs w:val="20"/>
                <w:color w:val="auto"/>
              </w:rPr>
            </w:pPr>
            <w:r>
              <w:rPr>
                <w:rFonts w:ascii="Arial" w:cs="Arial" w:eastAsia="Arial" w:hAnsi="Arial"/>
                <w:sz w:val="18"/>
                <w:szCs w:val="18"/>
                <w:color w:val="auto"/>
              </w:rPr>
              <w:t>*</w:t>
            </w:r>
          </w:p>
        </w:tc>
      </w:tr>
      <w:tr>
        <w:trPr>
          <w:trHeight w:val="270"/>
        </w:trPr>
        <w:tc>
          <w:tcPr>
            <w:tcW w:w="64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Larry W. Carroll</w:t>
            </w:r>
            <w:r>
              <w:rPr>
                <w:rFonts w:ascii="Arial" w:cs="Arial" w:eastAsia="Arial" w:hAnsi="Arial"/>
                <w:sz w:val="26"/>
                <w:szCs w:val="26"/>
                <w:color w:val="auto"/>
                <w:vertAlign w:val="superscript"/>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54,268</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Arnall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Kevin A. Koonts</w:t>
            </w: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3"/>
                <w:szCs w:val="23"/>
                <w:color w:val="auto"/>
              </w:rPr>
            </w:pPr>
          </w:p>
        </w:tc>
        <w:tc>
          <w:tcPr>
            <w:tcW w:w="820" w:type="dxa"/>
            <w:vAlign w:val="bottom"/>
          </w:tcPr>
          <w:p>
            <w:pPr>
              <w:jc w:val="right"/>
              <w:ind w:right="214"/>
              <w:spacing w:after="0"/>
              <w:rPr>
                <w:sz w:val="20"/>
                <w:szCs w:val="20"/>
                <w:color w:val="auto"/>
              </w:rPr>
            </w:pPr>
            <w:r>
              <w:rPr>
                <w:rFonts w:ascii="Arial" w:cs="Arial" w:eastAsia="Arial" w:hAnsi="Arial"/>
                <w:sz w:val="18"/>
                <w:szCs w:val="18"/>
                <w:color w:val="auto"/>
              </w:rPr>
              <w:t>*</w:t>
            </w:r>
          </w:p>
        </w:tc>
      </w:tr>
      <w:tr>
        <w:trPr>
          <w:trHeight w:val="27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 as a Group</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221,628</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-1851025</wp:posOffset>
            </wp:positionV>
            <wp:extent cx="13716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-1851025</wp:posOffset>
            </wp:positionV>
            <wp:extent cx="13716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less than one percent.</w:t>
      </w:r>
    </w:p>
    <w:p>
      <w:pPr>
        <w:spacing w:after="0" w:line="63" w:lineRule="exact"/>
        <w:rPr>
          <w:sz w:val="20"/>
          <w:szCs w:val="20"/>
          <w:color w:val="auto"/>
        </w:rPr>
      </w:pPr>
    </w:p>
    <w:p>
      <w:pPr>
        <w:jc w:val="both"/>
        <w:ind w:left="1620" w:right="419" w:hanging="360"/>
        <w:spacing w:after="0" w:line="255"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13d-3 under the Exchange Act. Assumes no other purchases or sales of our common stock since the most recently available SEC filings. This assumption has been made under the rules and regulations of the SEC and does not reflect any knowledge that we have with regard to the present intent of the beneficial owners of shares of our common stock listed in this table. Any fractional shares of our common stock owned directly or beneficially have been rounded down for purposes of this table.</w:t>
      </w:r>
    </w:p>
    <w:p>
      <w:pPr>
        <w:spacing w:after="0" w:line="30" w:lineRule="exact"/>
        <w:rPr>
          <w:rFonts w:ascii="Arial" w:cs="Arial" w:eastAsia="Arial" w:hAnsi="Arial"/>
          <w:sz w:val="18"/>
          <w:szCs w:val="18"/>
          <w:color w:val="auto"/>
        </w:rPr>
      </w:pPr>
    </w:p>
    <w:p>
      <w:pPr>
        <w:ind w:left="1620" w:hanging="360"/>
        <w:spacing w:after="0"/>
        <w:tabs>
          <w:tab w:leader="none" w:pos="1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a total of 2,711,068 shares of our common stock issued and outstanding as of March 5, 2021.</w:t>
      </w:r>
    </w:p>
    <w:p>
      <w:pPr>
        <w:spacing w:after="0" w:line="74" w:lineRule="exact"/>
        <w:rPr>
          <w:rFonts w:ascii="Arial" w:cs="Arial" w:eastAsia="Arial" w:hAnsi="Arial"/>
          <w:sz w:val="17"/>
          <w:szCs w:val="17"/>
          <w:color w:val="auto"/>
        </w:rPr>
      </w:pPr>
    </w:p>
    <w:p>
      <w:pPr>
        <w:jc w:val="both"/>
        <w:ind w:left="1620" w:right="419" w:hanging="360"/>
        <w:spacing w:after="0" w:line="254"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Alala, by virtue of his position as manager thereof, may be deemed to beneficially own (i) 162 shares of our common stock held by CapitalSouth Corporation; (ii) 926 shares of our common stock held by Capitala Transaction Corp.; and (iii) 89,106 shares of our common stock held by Capitala Private Investments LLC. Mr. Alala disclaims beneficial ownership of any shares of our common stock directly held by these entities, except to the extent of his pecuniary interest therein. The address for all of these entities is 4201 Congress Street, Suite 360, Charlotte, North Carolina 28209. Mr. Alala may also be deemed to beneficially own 60 shares of our common stock held by two of his children (a total of 120 shares).</w:t>
      </w:r>
    </w:p>
    <w:p>
      <w:pPr>
        <w:spacing w:after="0" w:line="29" w:lineRule="exact"/>
        <w:rPr>
          <w:rFonts w:ascii="Arial" w:cs="Arial" w:eastAsia="Arial" w:hAnsi="Arial"/>
          <w:sz w:val="18"/>
          <w:szCs w:val="18"/>
          <w:color w:val="auto"/>
        </w:rPr>
      </w:pPr>
    </w:p>
    <w:p>
      <w:pPr>
        <w:ind w:left="1620" w:hanging="360"/>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Broyhill, by virtue of his position as manager thereof, may be deemed to beneficially own</w:t>
      </w:r>
    </w:p>
    <w:p>
      <w:pPr>
        <w:spacing w:after="0" w:line="23" w:lineRule="exact"/>
        <w:rPr>
          <w:rFonts w:ascii="Arial" w:cs="Arial" w:eastAsia="Arial" w:hAnsi="Arial"/>
          <w:sz w:val="18"/>
          <w:szCs w:val="18"/>
          <w:color w:val="auto"/>
        </w:rPr>
      </w:pPr>
    </w:p>
    <w:p>
      <w:pPr>
        <w:jc w:val="both"/>
        <w:ind w:left="1620" w:right="419"/>
        <w:spacing w:after="0" w:line="265" w:lineRule="auto"/>
        <w:tabs>
          <w:tab w:leader="none" w:pos="1850" w:val="left"/>
        </w:tabs>
        <w:numPr>
          <w:ilvl w:val="1"/>
          <w:numId w:val="97"/>
        </w:numPr>
        <w:rPr>
          <w:rFonts w:ascii="Arial" w:cs="Arial" w:eastAsia="Arial" w:hAnsi="Arial"/>
          <w:sz w:val="17"/>
          <w:szCs w:val="17"/>
          <w:color w:val="auto"/>
        </w:rPr>
      </w:pPr>
      <w:r>
        <w:rPr>
          <w:rFonts w:ascii="Arial" w:cs="Arial" w:eastAsia="Arial" w:hAnsi="Arial"/>
          <w:sz w:val="17"/>
          <w:szCs w:val="17"/>
          <w:color w:val="auto"/>
        </w:rPr>
        <w:t>13,076 shares of our common stock held by BMC Fund Inc.; (ii) 22,476 shares of our common stock held by Claron Investments, LP; (iii) 6,294 shares of our common stock held by Broyhill Investments, Inc.; (iv) 1,166 shares of our common stock held by Hibriten Investments of N.C. Limited Partnership;</w:t>
      </w:r>
    </w:p>
    <w:p>
      <w:pPr>
        <w:jc w:val="both"/>
        <w:ind w:left="1620" w:right="419"/>
        <w:spacing w:after="0" w:line="251" w:lineRule="auto"/>
        <w:tabs>
          <w:tab w:leader="none" w:pos="18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3,263 shares of our common stock held by Broyhill Family Foundation Inc.; and (vi) 333 shares of our common stock held by Broyhill Memorial Park, Inc. Mr. Broyhill may also be deemed to beneficially own (i) 50 shares of our common stock held by his wife, (ii) 221 shares of our common stock held by the Paul H. Broyhill II Irrevocable Trust, and (iii) 266 shares of our common stock held by the Margaret Christian Broyhill Irrevocable Trust. Mr. Broyhill disclaims beneficial ownership of any shares of our common stock directly held by these entities, except to the extent of his pecuniary interest therein. The address for all of these entities is 800 Golfview Park, PO Box 500, Lenoir, NC 28645.</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Carroll may be deemed to beneficially own 110 shares of our common stock held by a parent.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19" w:hanging="360"/>
        <w:spacing w:after="0" w:line="254"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of our common stock beneficially owned by the directors and executive officers and net asset value per share have been adjusted to reflect the one-for-six reverse stock split effected on August 21, 2020 on a retroactive basis. No fractional shares of our common stock were issued in connection with the one-for-six reverse stock split and fractional shares of our common stock were eliminated by paying cash for the fair value of a fractional portion of shares of our common stock. The one-for-six reverse stock split applied to all of the outstanding shares of our common stock and therefore did not affect any shareholder’s relative ownership percentage.</w:t>
      </w:r>
    </w:p>
    <w:p>
      <w:pPr>
        <w:spacing w:after="0" w:line="114"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Set forth below is the dollar range of equity securities beneficially owned by each of our directors as of March 5, 2021.</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1714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Interested Directors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 Hunt Broyhill</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6319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 Charles Moyer</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Larry W.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 Paul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160655</wp:posOffset>
            </wp:positionV>
            <wp:extent cx="123444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Range of Equity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Securities in Capitala</w:t>
      </w:r>
    </w:p>
    <w:p>
      <w:pPr>
        <w:ind w:left="340"/>
        <w:spacing w:after="0"/>
        <w:rPr>
          <w:sz w:val="20"/>
          <w:szCs w:val="20"/>
          <w:color w:val="auto"/>
        </w:rPr>
      </w:pPr>
      <w:r>
        <w:rPr>
          <w:rFonts w:ascii="Arial" w:cs="Arial" w:eastAsia="Arial" w:hAnsi="Arial"/>
          <w:sz w:val="14"/>
          <w:szCs w:val="14"/>
          <w:b w:val="1"/>
          <w:bCs w:val="1"/>
          <w:color w:val="auto"/>
        </w:rPr>
        <w:t>Finance</w:t>
      </w:r>
      <w:r>
        <w:rPr>
          <w:rFonts w:ascii="Arial" w:cs="Arial" w:eastAsia="Arial" w:hAnsi="Arial"/>
          <w:sz w:val="21"/>
          <w:szCs w:val="21"/>
          <w:b w:val="1"/>
          <w:bCs w:val="1"/>
          <w:color w:val="auto"/>
          <w:vertAlign w:val="superscript"/>
        </w:rPr>
        <w:t>(1)(2)</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Over $100,000</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Over $100,000</w:t>
      </w:r>
    </w:p>
    <w:p>
      <w:pPr>
        <w:spacing w:after="0" w:line="329" w:lineRule="exact"/>
        <w:rPr>
          <w:sz w:val="20"/>
          <w:szCs w:val="20"/>
          <w:color w:val="auto"/>
        </w:rPr>
      </w:pPr>
    </w:p>
    <w:p>
      <w:pPr>
        <w:jc w:val="right"/>
        <w:ind w:right="439"/>
        <w:spacing w:after="0"/>
        <w:rPr>
          <w:sz w:val="20"/>
          <w:szCs w:val="20"/>
          <w:color w:val="auto"/>
        </w:rPr>
      </w:pPr>
      <w:r>
        <w:rPr>
          <w:rFonts w:ascii="Arial" w:cs="Arial" w:eastAsia="Arial" w:hAnsi="Arial"/>
          <w:sz w:val="16"/>
          <w:szCs w:val="16"/>
          <w:color w:val="auto"/>
        </w:rPr>
        <w:t>$10,001 – $50,000</w:t>
      </w:r>
    </w:p>
    <w:p>
      <w:pPr>
        <w:spacing w:after="0" w:line="86"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Over $100,000</w:t>
      </w:r>
    </w:p>
    <w:p>
      <w:pPr>
        <w:spacing w:after="0" w:line="63" w:lineRule="exact"/>
        <w:rPr>
          <w:sz w:val="20"/>
          <w:szCs w:val="20"/>
          <w:color w:val="auto"/>
        </w:rPr>
      </w:pPr>
    </w:p>
    <w:p>
      <w:pPr>
        <w:jc w:val="right"/>
        <w:ind w:right="439"/>
        <w:spacing w:after="0"/>
        <w:rPr>
          <w:sz w:val="20"/>
          <w:szCs w:val="20"/>
          <w:color w:val="auto"/>
        </w:rPr>
      </w:pPr>
      <w:r>
        <w:rPr>
          <w:rFonts w:ascii="Arial" w:cs="Arial" w:eastAsia="Arial" w:hAnsi="Arial"/>
          <w:sz w:val="16"/>
          <w:szCs w:val="16"/>
          <w:color w:val="auto"/>
        </w:rPr>
        <w:t>$10,001 – $50,000</w:t>
      </w:r>
    </w:p>
    <w:p>
      <w:pPr>
        <w:spacing w:after="0" w:line="222" w:lineRule="exact"/>
        <w:rPr>
          <w:sz w:val="20"/>
          <w:szCs w:val="20"/>
          <w:color w:val="auto"/>
        </w:rPr>
      </w:pPr>
    </w:p>
    <w:p>
      <w:pPr>
        <w:sectPr>
          <w:pgSz w:w="11900" w:h="16838" w:orient="portrait"/>
          <w:cols w:equalWidth="0" w:num="2">
            <w:col w:w="7340" w:space="720"/>
            <w:col w:w="1819"/>
          </w:cols>
          <w:pgMar w:left="580" w:top="132" w:right="1440" w:bottom="1440" w:gutter="0" w:footer="0" w:header="0"/>
          <w:type w:val="continuous"/>
        </w:sectPr>
      </w:pPr>
    </w:p>
    <w:p>
      <w:pPr>
        <w:spacing w:after="0" w:line="268" w:lineRule="exact"/>
        <w:rPr>
          <w:sz w:val="20"/>
          <w:szCs w:val="20"/>
          <w:color w:val="auto"/>
        </w:rPr>
      </w:pPr>
    </w:p>
    <w:p>
      <w:pPr>
        <w:ind w:left="1620" w:right="419" w:hanging="360"/>
        <w:spacing w:after="0" w:line="277"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or Over $100,000.</w:t>
      </w:r>
    </w:p>
    <w:p>
      <w:pPr>
        <w:spacing w:after="0" w:line="21" w:lineRule="exact"/>
        <w:rPr>
          <w:rFonts w:ascii="Arial" w:cs="Arial" w:eastAsia="Arial" w:hAnsi="Arial"/>
          <w:sz w:val="18"/>
          <w:szCs w:val="18"/>
          <w:color w:val="auto"/>
        </w:rPr>
      </w:pPr>
    </w:p>
    <w:p>
      <w:pPr>
        <w:jc w:val="both"/>
        <w:ind w:left="1620" w:right="419" w:hanging="360"/>
        <w:spacing w:after="0" w:line="286"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dollar range of equity securities beneficially owned in us is based on the closing price for shares of our common stock of $16.51 on March 5, 2021 on the NASDAQ Global Select Market. Beneficial ownership has been determined in accordance with Rule 16a-1(a)(2) of the Exchange Act.</w:t>
      </w:r>
    </w:p>
    <w:p>
      <w:pPr>
        <w:spacing w:after="0" w:line="161" w:lineRule="exact"/>
        <w:rPr>
          <w:sz w:val="20"/>
          <w:szCs w:val="20"/>
          <w:color w:val="auto"/>
        </w:rPr>
      </w:pPr>
    </w:p>
    <w:p>
      <w:pPr>
        <w:ind w:left="1260" w:right="135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On September 24, 2013, the Company entered into the Investment Advisory Agreement with our Investment Advisor, which was initially approved by the Board on June 10, 2013.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20" w:lineRule="exact"/>
        <w:rPr>
          <w:sz w:val="20"/>
          <w:szCs w:val="20"/>
          <w:color w:val="auto"/>
        </w:rPr>
      </w:pPr>
    </w:p>
    <w:p>
      <w:pPr>
        <w:jc w:val="both"/>
        <w:ind w:left="1260" w:right="419" w:firstLine="360"/>
        <w:spacing w:after="0" w:line="267" w:lineRule="auto"/>
        <w:rPr>
          <w:sz w:val="20"/>
          <w:szCs w:val="20"/>
          <w:color w:val="auto"/>
        </w:rPr>
      </w:pPr>
      <w:r>
        <w:rPr>
          <w:rFonts w:ascii="Arial" w:cs="Arial" w:eastAsia="Arial" w:hAnsi="Arial"/>
          <w:sz w:val="17"/>
          <w:szCs w:val="17"/>
          <w:color w:val="auto"/>
        </w:rPr>
        <w:t>In addition, an affiliate of Capitala Investment Advisors also manages CapitalSouth Partners SBIC Fund IV, L.P. (“Fund IV”), a private investment limited partnership providing financing solutions to smaller and lower middle-market companies that had its first closing in March 2013 and obtained approval for its Small Business Investment Company license from the U.S. Small Business Administration in April 2013. In addition to Fund IV, affiliates of Capitala Investment Advisors may manage several affiliated funds whereby institutional limited partners in Fund IV have the opportunity to co-invest with Fund IV in portfolio investments. An affiliate of Capitala Investment Advisors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Capitala Investment Advisors and its affiliates may also manage other funds in the future that may have investment mandates that are similar, in whole and in part, with ours. To the extent permitted by the 1940 Act and interpretation of the SEC staff, Capitala Investment Advisors and its affiliates may determine that an investment is appropriate for us and for one or more of those other funds. In such event, depending on the availability of such investment and other appropriate factors, Capitala Investment Advisors or its affiliates may determine that we should invest side-by-side with one or more other funds. Any such investments will be made only to the extent permitted by applicable law and interpretive positions of the SEC and its staff, and consistent with Capitala Investment Advisors’ allocation</w:t>
      </w:r>
    </w:p>
    <w:p>
      <w:pPr>
        <w:sectPr>
          <w:pgSz w:w="11900" w:h="16838" w:orient="portrait"/>
          <w:cols w:equalWidth="0" w:num="1">
            <w:col w:w="9879"/>
          </w:cols>
          <w:pgMar w:left="580" w:top="132" w:right="1440" w:bottom="1440" w:gutter="0" w:footer="0" w:header="0"/>
          <w:type w:val="continuous"/>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procedures. We expect to make, and have made, co-investments with Fund IV, Fund V and/or CSLC to the extent their respective investment strategies align with ours.</w:t>
      </w:r>
    </w:p>
    <w:p>
      <w:pPr>
        <w:spacing w:after="0" w:line="90"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On September 10, 2015, we, CapitalSouth Partners Fund II Limited Partnership, CapitalSouth Partners SBIC Fund III, L.P., Fund V, and Capitala Investment Advisors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13"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We have entered into a license agreement with Capitala Investment Advisors, pursuant to which Capitala Investment Advisors has agreed to grant us a non-exclusive, royalty-free license to use the name “Capitala.”</w:t>
      </w:r>
    </w:p>
    <w:p>
      <w:pPr>
        <w:spacing w:after="0" w:line="114"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Consideration of the Advisory Agreement</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7"/>
          <w:szCs w:val="17"/>
          <w:color w:val="auto"/>
        </w:rPr>
        <w:t>The Investment Advisory Agreement was re-approved by the Board of the Company, including by a majority of our independent directors, at a virtual meeting held on July 30, 2020. The Board of the Company held such meeting by virtual means in reliance on relief provided by the SEC in response to the COVID-19 pandemic. Such relief allows the Board of the Company to re-approve the Investment Advisory Agreement at a meeting that is not in person so long as it ratifies its approval at the next in-person meeting. In its consideration of the re-approval of the Investment Advisory Agreement, the Board reviewed a significant amount of information and considered and concluded, among other things:</w:t>
      </w:r>
    </w:p>
    <w:p>
      <w:pPr>
        <w:spacing w:after="0" w:line="72" w:lineRule="exact"/>
        <w:rPr>
          <w:sz w:val="20"/>
          <w:szCs w:val="20"/>
          <w:color w:val="auto"/>
        </w:rPr>
      </w:pPr>
    </w:p>
    <w:p>
      <w:pPr>
        <w:jc w:val="both"/>
        <w:ind w:left="1800" w:right="419" w:hanging="180"/>
        <w:spacing w:after="0" w:line="257" w:lineRule="auto"/>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nature, extent and quality of advisory and other services provided by Capitala Investment Advisors, including information about the investment performance of the Company relative to its stated objectives and in comparison to the performance of the Company’s peer group and relevant market indices, and concluded that such advisory and other services are satisfactory and the Company’s investment performance is reasonable;</w:t>
      </w:r>
    </w:p>
    <w:p>
      <w:pPr>
        <w:spacing w:after="0" w:line="79" w:lineRule="exact"/>
        <w:rPr>
          <w:rFonts w:ascii="Arial" w:cs="Arial" w:eastAsia="Arial" w:hAnsi="Arial"/>
          <w:sz w:val="18"/>
          <w:szCs w:val="18"/>
          <w:color w:val="auto"/>
        </w:rPr>
      </w:pPr>
    </w:p>
    <w:p>
      <w:pPr>
        <w:jc w:val="both"/>
        <w:ind w:left="1800" w:right="419" w:hanging="180"/>
        <w:spacing w:after="0" w:line="275" w:lineRule="auto"/>
        <w:tabs>
          <w:tab w:leader="none" w:pos="1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experience and qualifications of the personnel providing such advisory and other services, including information about the backgrounds of the investment personnel, the allocation of responsibilities among such personnel and the process by which investment decisions are made, and concluded that the investment personnel of Capitala Investment Advisors have extensive experience and are well qualified to provide advisory and other services to the Company;</w:t>
      </w:r>
    </w:p>
    <w:p>
      <w:pPr>
        <w:spacing w:after="0" w:line="54" w:lineRule="exact"/>
        <w:rPr>
          <w:rFonts w:ascii="Arial" w:cs="Arial" w:eastAsia="Arial" w:hAnsi="Arial"/>
          <w:sz w:val="17"/>
          <w:szCs w:val="17"/>
          <w:color w:val="auto"/>
        </w:rPr>
      </w:pPr>
    </w:p>
    <w:p>
      <w:pPr>
        <w:jc w:val="both"/>
        <w:ind w:left="1800" w:right="419" w:hanging="180"/>
        <w:spacing w:after="0" w:line="286" w:lineRule="auto"/>
        <w:tabs>
          <w:tab w:leader="none" w:pos="1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current fee structure, the existence of any fee waivers, and the Company’s anticipated expense ratios in relation to those of other business development companies (“BDCs”) having comparable investment policies and limitations, and concluded that the current fee structure is reasonable;</w:t>
      </w:r>
    </w:p>
    <w:p>
      <w:pPr>
        <w:spacing w:after="0" w:line="57" w:lineRule="exact"/>
        <w:rPr>
          <w:rFonts w:ascii="Arial" w:cs="Arial" w:eastAsia="Arial" w:hAnsi="Arial"/>
          <w:sz w:val="17"/>
          <w:szCs w:val="17"/>
          <w:color w:val="auto"/>
        </w:rPr>
      </w:pPr>
    </w:p>
    <w:p>
      <w:pPr>
        <w:jc w:val="both"/>
        <w:ind w:left="1800" w:right="419" w:hanging="180"/>
        <w:spacing w:after="0" w:line="259" w:lineRule="auto"/>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advisory fees charged by Capitala Investment Advisors to the Company and comparative data regarding the advisory fees charged by other investment advisers to BDCs with similar investment objectives, and concluded that the advisory fees charged by Capitala Investment Advisors to the Company are reasonable;</w:t>
      </w:r>
    </w:p>
    <w:p>
      <w:pPr>
        <w:spacing w:after="0" w:line="78"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direct and indirect costs, including for personnel and office facilities, that are incurred by Capitala Investment Advisors and its affiliates in performing services for the Company and the basis of determining and allocating these costs, and concluded that the direct and indirect costs, including the allocation of such costs, are reasonable;</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419" w:hanging="180"/>
        <w:spacing w:after="0" w:line="259"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Possible economies of scale arising from the Company’s size and/or anticipated growth, and the extent to which such economies of scale are reflected in the advisory fees charged by Capitala Investment Advisors to the Company, and concluded that some economies of scale may be possible in the future;</w:t>
      </w:r>
    </w:p>
    <w:p>
      <w:pPr>
        <w:spacing w:after="0" w:line="92"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 possible benefits to Capitala Investment Advisors and its affiliates arising from their relationships with the Company, and concluded that any such other benefits were not material to Capitala Investment Advisors and its affiliates; and</w:t>
      </w:r>
    </w:p>
    <w:p>
      <w:pPr>
        <w:spacing w:after="0" w:line="10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Possible alternative fee structures or bases for determining fees, and concluded that the Company’s current fee structure and bases for determining fees are satisfactory.</w:t>
      </w:r>
    </w:p>
    <w:p>
      <w:pPr>
        <w:spacing w:after="0" w:line="103"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Based on the information reviewed and the discussions detailed above, the Board, including a majority of the independent directors, concluded that the fees payable to Capitala Investment Advisors pursuant to the Investment Advisory Agreement were reasonable, and comparable to the fees paid by other management investment companies with similar investment objectives, in relation to the services to be provided. The Board did not assign relative weights to the above factors or the other factors considered by it. Individual members of the Board may have given different weights to different factors.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In accordance with rules of The NASDAQ Stock Market LLC (“NASDAQ”), our Board annually determines each director’s independence. We do not consider a director independent unless the Board has determined that he or she has no material relationship with us. We monitor the relationships of our directors and officers through a questionnaire each director completes no less frequently than annually and updates periodically as information provided in the most recent questionnaire changes.</w:t>
      </w:r>
    </w:p>
    <w:p>
      <w:pPr>
        <w:spacing w:after="0" w:line="120" w:lineRule="exact"/>
        <w:rPr>
          <w:sz w:val="20"/>
          <w:szCs w:val="20"/>
          <w:color w:val="auto"/>
        </w:rPr>
      </w:pPr>
    </w:p>
    <w:p>
      <w:pPr>
        <w:jc w:val="both"/>
        <w:ind w:left="1260" w:right="419" w:firstLine="360"/>
        <w:spacing w:after="0" w:line="275" w:lineRule="auto"/>
        <w:rPr>
          <w:sz w:val="20"/>
          <w:szCs w:val="20"/>
          <w:color w:val="auto"/>
        </w:rPr>
      </w:pPr>
      <w:r>
        <w:rPr>
          <w:rFonts w:ascii="Arial" w:cs="Arial" w:eastAsia="Arial" w:hAnsi="Arial"/>
          <w:sz w:val="17"/>
          <w:szCs w:val="17"/>
          <w:color w:val="auto"/>
        </w:rPr>
        <w:t>Our governance guidelines require any director who has previously been determined to be independent to inform the Chairman of the Board, the Chairman of the Nominating and Corporate Governance Committee and our Corporate Secretary of any change in circumstance that may cause his status as an independent director to change. The Board limits membership on the Audit Committee, the Nominating and Corporate Governance Committee and the Compensation Committee to independent directors.</w:t>
      </w:r>
    </w:p>
    <w:p>
      <w:pPr>
        <w:spacing w:after="0" w:line="95"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In order to evaluate the materiality of any such relationship, the Board uses the definition of director independence set forth in the rules promulgated by NASDAQ. Rule 5605(a)(2) of the NASDAQ Listing Rules provides that a director of a BDC, shall be considered to be independent if he or she is not an “interested person” of the Company, as defined in Section 2(a)(19) of the 1940 Act.</w:t>
      </w:r>
    </w:p>
    <w:p>
      <w:pPr>
        <w:spacing w:after="0" w:line="119"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The Board has determined that each of the directors is independent and has no relationship with us, except as a director and stockholder, with the exception of Joseph B. Alala, III, due to his position as Chief Executive Officer the Company and as the managing partner and chief investment officer of Capitala Investment Advisors, and M. Hunt Broyhill, as a result of his indirect controlling interest in Capitala Investment Advisors.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We have entered into indemnification agreements with our directors. The indemnification agreements are intended to provide our directors the maximum indemnification permitted under Maryland law and the 1940 Act. Each indemnification agreement provides that the Company shall indemnify the director who is a party to the agreement (an “Indemnitee”), including the advancement of legal expenses, if, by reason of his or her corporate status, the Indemnitee is, or is threatened to be, made a party to or a witness in any threatened, pending, or completed proceeding, to the maximum extent permitted by Maryland law and the 1940 Act.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Ernst &amp; Young LLP (“E&amp;Y”) has advised us that neither the firm nor any present member or associate of it has any material financial interest, direct or indirect, in the Company or its affiliates.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Table below in thousands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900" w:type="dxa"/>
            <w:vAlign w:val="bottom"/>
            <w:gridSpan w:val="4"/>
          </w:tcPr>
          <w:p>
            <w:pPr>
              <w:jc w:val="center"/>
              <w:ind w:left="1657"/>
              <w:spacing w:after="0"/>
              <w:rPr>
                <w:sz w:val="20"/>
                <w:szCs w:val="20"/>
                <w:color w:val="auto"/>
              </w:rPr>
            </w:pPr>
            <w:r>
              <w:rPr>
                <w:rFonts w:ascii="Arial" w:cs="Arial" w:eastAsia="Arial" w:hAnsi="Arial"/>
                <w:sz w:val="14"/>
                <w:szCs w:val="14"/>
                <w:b w:val="1"/>
                <w:bCs w:val="1"/>
                <w:color w:val="auto"/>
                <w:w w:val="89"/>
              </w:rPr>
              <w:t>Fiscal Year Ended</w:t>
            </w:r>
          </w:p>
        </w:tc>
        <w:tc>
          <w:tcPr>
            <w:tcW w:w="1320" w:type="dxa"/>
            <w:vAlign w:val="bottom"/>
            <w:gridSpan w:val="4"/>
          </w:tcPr>
          <w:p>
            <w:pPr>
              <w:jc w:val="center"/>
              <w:ind w:left="97"/>
              <w:spacing w:after="0"/>
              <w:rPr>
                <w:sz w:val="20"/>
                <w:szCs w:val="20"/>
                <w:color w:val="auto"/>
              </w:rPr>
            </w:pPr>
            <w:r>
              <w:rPr>
                <w:rFonts w:ascii="Arial" w:cs="Arial" w:eastAsia="Arial" w:hAnsi="Arial"/>
                <w:sz w:val="14"/>
                <w:szCs w:val="14"/>
                <w:b w:val="1"/>
                <w:bCs w:val="1"/>
                <w:color w:val="auto"/>
                <w:w w:val="87"/>
              </w:rPr>
              <w:t>Fiscal Year Ended</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4"/>
                <w:szCs w:val="14"/>
                <w:color w:val="auto"/>
              </w:rPr>
            </w:pPr>
          </w:p>
        </w:tc>
        <w:tc>
          <w:tcPr>
            <w:tcW w:w="11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16"/>
                <w:szCs w:val="16"/>
                <w:color w:val="auto"/>
              </w:rPr>
            </w:pPr>
          </w:p>
        </w:tc>
        <w:tc>
          <w:tcPr>
            <w:tcW w:w="2580" w:type="dxa"/>
            <w:vAlign w:val="bottom"/>
            <w:gridSpan w:val="3"/>
          </w:tcPr>
          <w:p>
            <w:pPr>
              <w:jc w:val="center"/>
              <w:ind w:left="2017"/>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6"/>
                <w:szCs w:val="16"/>
                <w:color w:val="auto"/>
              </w:rPr>
            </w:pPr>
          </w:p>
        </w:tc>
        <w:tc>
          <w:tcPr>
            <w:tcW w:w="102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3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Audit-Related Fees</w:t>
            </w: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0"/>
                <w:szCs w:val="20"/>
                <w:color w:val="auto"/>
              </w:rPr>
            </w:pPr>
            <w:r>
              <w:rPr>
                <w:rFonts w:ascii="Arial" w:cs="Arial" w:eastAsia="Arial" w:hAnsi="Arial"/>
                <w:sz w:val="18"/>
                <w:szCs w:val="18"/>
                <w:color w:val="auto"/>
              </w:rPr>
              <w:t>All Other Fees</w:t>
            </w: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1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60" w:type="dxa"/>
            <w:vAlign w:val="bottom"/>
            <w:vMerge w:val="continue"/>
            <w:shd w:val="clear" w:color="auto" w:fill="CCEEFF"/>
          </w:tcPr>
          <w:p>
            <w:pPr>
              <w:spacing w:after="0"/>
              <w:rPr>
                <w:sz w:val="22"/>
                <w:szCs w:val="22"/>
                <w:color w:val="auto"/>
              </w:rPr>
            </w:pP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-873760</wp:posOffset>
            </wp:positionV>
            <wp:extent cx="40462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195"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year-end financial statements and quarterly reviews and services that are normally provided by E&amp;Y in connection with statutory and regulatory filings.</w:t>
      </w:r>
    </w:p>
    <w:p>
      <w:pPr>
        <w:spacing w:after="0" w:line="116"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Audit-related services consist of fees billed for assurance and related services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reasonably related to the performance of 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04"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services fees consist of fees billed for professional tax services. These services also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assistance regarding federal, state, and local tax compliance.</w:t>
      </w:r>
    </w:p>
    <w:p>
      <w:pPr>
        <w:spacing w:after="0" w:line="89"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for products and services other than the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above.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62"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The Audit Committee has established a pre-approval policy that describes the permitted audit, audit-related, tax and other services to be provided by E&amp;Y. The policy requires that the Audit Committee pre-approve the audit and non-audit services performed by the independent auditor in order to assure that the provision of such service does not impair the auditor’s independence. 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 The Audit Committee preapproved 100% of services described in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right"/>
        <w:ind w:right="1779"/>
        <w:spacing w:after="0"/>
        <w:tabs>
          <w:tab w:leader="none" w:pos="7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CONSOLIDATED FINANCIAL STATEMENT SCHEDULES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consolidated financial statements are set forth in Item 8:</w:t>
      </w:r>
    </w:p>
    <w:p>
      <w:pPr>
        <w:spacing w:after="0" w:line="2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
        </w:trPr>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7820" w:type="dxa"/>
            <w:vAlign w:val="bottom"/>
            <w:gridSpan w:val="4"/>
            <w:shd w:val="clear" w:color="auto" w:fill="CCEEFF"/>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Report of Independent Registered Public Accounting Firm</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F-1</w:t>
              </w:r>
            </w:hyperlink>
          </w:p>
        </w:tc>
      </w:tr>
      <w:tr>
        <w:trPr>
          <w:trHeight w:val="257"/>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Audited Financial Statements:</w:t>
            </w:r>
          </w:p>
        </w:tc>
        <w:tc>
          <w:tcPr>
            <w:tcW w:w="380" w:type="dxa"/>
            <w:vAlign w:val="bottom"/>
          </w:tcPr>
          <w:p>
            <w:pPr>
              <w:spacing w:after="0"/>
              <w:rPr>
                <w:sz w:val="22"/>
                <w:szCs w:val="22"/>
                <w:color w:val="auto"/>
              </w:rPr>
            </w:pPr>
          </w:p>
        </w:tc>
      </w:tr>
      <w:tr>
        <w:trPr>
          <w:trHeight w:val="256"/>
        </w:trPr>
        <w:tc>
          <w:tcPr>
            <w:tcW w:w="7820" w:type="dxa"/>
            <w:vAlign w:val="bottom"/>
            <w:gridSpan w:val="4"/>
            <w:shd w:val="clear" w:color="auto" w:fill="CCEEFF"/>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Consolidated Statements of Assets and Liabilities as of December 31, 2020 and 2019</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F-3</w:t>
              </w:r>
            </w:hyperlink>
          </w:p>
        </w:tc>
      </w:tr>
      <w:tr>
        <w:trPr>
          <w:trHeight w:val="270"/>
        </w:trPr>
        <w:tc>
          <w:tcPr>
            <w:tcW w:w="7820" w:type="dxa"/>
            <w:vAlign w:val="bottom"/>
            <w:gridSpan w:val="4"/>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Consolidated Statements of Operations for the years ended December 31, 2020, 2019, and 2018</w:t>
              </w:r>
            </w:hyperlink>
          </w:p>
        </w:tc>
        <w:tc>
          <w:tcPr>
            <w:tcW w:w="380" w:type="dxa"/>
            <w:vAlign w:val="bottom"/>
          </w:tcPr>
          <w:p>
            <w:pPr>
              <w:jc w:val="right"/>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F-4</w:t>
              </w:r>
            </w:hyperlink>
          </w:p>
        </w:tc>
      </w:tr>
      <w:tr>
        <w:trPr>
          <w:trHeight w:val="216"/>
        </w:trPr>
        <w:tc>
          <w:tcPr>
            <w:tcW w:w="736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Consolidated Statements of Changes in Net Assets for the years ended December 31, 2020, 2019,</w:t>
              </w:r>
            </w:hyperlink>
          </w:p>
        </w:tc>
        <w:tc>
          <w:tcPr>
            <w:tcW w:w="4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and 2018</w:t>
              </w:r>
            </w:hyperlink>
          </w:p>
        </w:tc>
        <w:tc>
          <w:tcPr>
            <w:tcW w:w="6940" w:type="dxa"/>
            <w:vAlign w:val="bottom"/>
            <w:tcBorders>
              <w:bottom w:val="single" w:sz="8" w:color="CCEEFF"/>
            </w:tcBorders>
            <w:gridSpan w:val="2"/>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F-5</w:t>
              </w:r>
            </w:hyperlink>
          </w:p>
        </w:tc>
      </w:tr>
      <w:tr>
        <w:trPr>
          <w:trHeight w:val="270"/>
        </w:trPr>
        <w:tc>
          <w:tcPr>
            <w:tcW w:w="7820" w:type="dxa"/>
            <w:vAlign w:val="bottom"/>
            <w:gridSpan w:val="4"/>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Consolidated Statements of Cash Flows for the years ended December 31, 2020, 2019, and 2018</w:t>
              </w:r>
            </w:hyperlink>
          </w:p>
        </w:tc>
        <w:tc>
          <w:tcPr>
            <w:tcW w:w="380" w:type="dxa"/>
            <w:vAlign w:val="bottom"/>
          </w:tcPr>
          <w:p>
            <w:pPr>
              <w:jc w:val="right"/>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F-6</w:t>
              </w:r>
            </w:hyperlink>
          </w:p>
        </w:tc>
      </w:tr>
      <w:tr>
        <w:trPr>
          <w:trHeight w:val="270"/>
        </w:trPr>
        <w:tc>
          <w:tcPr>
            <w:tcW w:w="7820" w:type="dxa"/>
            <w:vAlign w:val="bottom"/>
            <w:gridSpan w:val="4"/>
            <w:shd w:val="clear" w:color="auto" w:fill="CCEEFF"/>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Consolidated Schedules of Investments as of December 31, 2020 and 2019</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F-7</w:t>
              </w:r>
            </w:hyperlink>
          </w:p>
        </w:tc>
      </w:tr>
      <w:tr>
        <w:trPr>
          <w:trHeight w:val="270"/>
        </w:trPr>
        <w:tc>
          <w:tcPr>
            <w:tcW w:w="7820" w:type="dxa"/>
            <w:vAlign w:val="bottom"/>
            <w:gridSpan w:val="4"/>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Notes to Consolidated Financial Statements</w:t>
              </w:r>
            </w:hyperlink>
          </w:p>
        </w:tc>
        <w:tc>
          <w:tcPr>
            <w:tcW w:w="380" w:type="dxa"/>
            <w:vAlign w:val="bottom"/>
          </w:tcPr>
          <w:p>
            <w:pPr>
              <w:jc w:val="right"/>
              <w:spacing w:after="0"/>
              <w:rPr>
                <w:rFonts w:ascii="Arial" w:cs="Arial" w:eastAsia="Arial" w:hAnsi="Arial"/>
                <w:sz w:val="18"/>
                <w:szCs w:val="18"/>
                <w:u w:val="single" w:color="auto"/>
                <w:color w:val="0000EE"/>
                <w:w w:val="97"/>
              </w:rPr>
            </w:pPr>
            <w:hyperlink w:anchor="page122">
              <w:r>
                <w:rPr>
                  <w:rFonts w:ascii="Arial" w:cs="Arial" w:eastAsia="Arial" w:hAnsi="Arial"/>
                  <w:sz w:val="18"/>
                  <w:szCs w:val="18"/>
                  <w:u w:val="single" w:color="auto"/>
                  <w:color w:val="0000EE"/>
                  <w:w w:val="97"/>
                </w:rPr>
                <w:t>F-17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-1490980</wp:posOffset>
            </wp:positionV>
            <wp:extent cx="497205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920" w:type="dxa"/>
            <w:vAlign w:val="bottom"/>
            <w:gridSpan w:val="16"/>
          </w:tcPr>
          <w:p>
            <w:pPr>
              <w:ind w:left="480"/>
              <w:spacing w:after="0"/>
              <w:rPr>
                <w:sz w:val="20"/>
                <w:szCs w:val="20"/>
                <w:color w:val="auto"/>
              </w:rPr>
            </w:pPr>
            <w:r>
              <w:rPr>
                <w:rFonts w:ascii="Arial" w:cs="Arial" w:eastAsia="Arial" w:hAnsi="Arial"/>
                <w:sz w:val="14"/>
                <w:szCs w:val="14"/>
                <w:b w:val="1"/>
                <w:bCs w:val="1"/>
                <w:color w:val="auto"/>
              </w:rPr>
              <w:t>Description of Document</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7380" w:type="dxa"/>
            <w:vAlign w:val="bottom"/>
            <w:gridSpan w:val="23"/>
          </w:tcPr>
          <w:p>
            <w:pPr>
              <w:spacing w:after="0" w:line="252" w:lineRule="exact"/>
              <w:rPr>
                <w:rFonts w:ascii="Arial" w:cs="Arial" w:eastAsia="Arial" w:hAnsi="Arial"/>
                <w:sz w:val="18"/>
                <w:szCs w:val="18"/>
                <w:u w:val="single" w:color="auto"/>
                <w:color w:val="0000EE"/>
              </w:rPr>
            </w:pPr>
            <w:hyperlink r:id="rId910">
              <w:r>
                <w:rPr>
                  <w:rFonts w:ascii="Arial" w:cs="Arial" w:eastAsia="Arial" w:hAnsi="Arial"/>
                  <w:sz w:val="18"/>
                  <w:szCs w:val="18"/>
                  <w:u w:val="single" w:color="auto"/>
                  <w:color w:val="0000EE"/>
                </w:rPr>
                <w:t>Articles of Amendment and Restatement</w:t>
              </w:r>
              <w:r>
                <w:rPr>
                  <w:rFonts w:ascii="Arial" w:cs="Arial" w:eastAsia="Arial" w:hAnsi="Arial"/>
                  <w:sz w:val="26"/>
                  <w:szCs w:val="26"/>
                  <w:u w:val="single" w:color="auto"/>
                  <w:color w:val="0000EE"/>
                  <w:vertAlign w:val="superscript"/>
                </w:rPr>
                <w:t>(1)</w:t>
              </w:r>
            </w:hyperlink>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3"/>
                <w:szCs w:val="23"/>
                <w:color w:val="auto"/>
              </w:rPr>
            </w:pPr>
          </w:p>
        </w:tc>
        <w:tc>
          <w:tcPr>
            <w:tcW w:w="7380" w:type="dxa"/>
            <w:vAlign w:val="bottom"/>
            <w:gridSpan w:val="23"/>
          </w:tcPr>
          <w:p>
            <w:pPr>
              <w:spacing w:after="0" w:line="270" w:lineRule="exact"/>
              <w:rPr>
                <w:rFonts w:ascii="Arial" w:cs="Arial" w:eastAsia="Arial" w:hAnsi="Arial"/>
                <w:sz w:val="18"/>
                <w:szCs w:val="18"/>
                <w:u w:val="single" w:color="auto"/>
                <w:color w:val="0000EE"/>
              </w:rPr>
            </w:pPr>
            <w:hyperlink r:id="rId911">
              <w:r>
                <w:rPr>
                  <w:rFonts w:ascii="Arial" w:cs="Arial" w:eastAsia="Arial" w:hAnsi="Arial"/>
                  <w:sz w:val="18"/>
                  <w:szCs w:val="18"/>
                  <w:u w:val="single" w:color="auto"/>
                  <w:color w:val="0000EE"/>
                </w:rPr>
                <w:t>Articles of Amendment</w:t>
              </w:r>
              <w:r>
                <w:rPr>
                  <w:rFonts w:ascii="Arial" w:cs="Arial" w:eastAsia="Arial" w:hAnsi="Arial"/>
                  <w:sz w:val="26"/>
                  <w:szCs w:val="26"/>
                  <w:u w:val="single" w:color="auto"/>
                  <w:color w:val="0000EE"/>
                  <w:vertAlign w:val="superscript"/>
                </w:rPr>
                <w:t>(11)</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3"/>
                <w:szCs w:val="23"/>
                <w:color w:val="auto"/>
              </w:rPr>
            </w:pPr>
          </w:p>
        </w:tc>
        <w:tc>
          <w:tcPr>
            <w:tcW w:w="7380" w:type="dxa"/>
            <w:vAlign w:val="bottom"/>
            <w:gridSpan w:val="23"/>
          </w:tcPr>
          <w:p>
            <w:pPr>
              <w:spacing w:after="0" w:line="270" w:lineRule="exact"/>
              <w:rPr>
                <w:rFonts w:ascii="Arial" w:cs="Arial" w:eastAsia="Arial" w:hAnsi="Arial"/>
                <w:sz w:val="18"/>
                <w:szCs w:val="18"/>
                <w:u w:val="single" w:color="auto"/>
                <w:color w:val="0000EE"/>
              </w:rPr>
            </w:pPr>
            <w:hyperlink r:id="rId912">
              <w:r>
                <w:rPr>
                  <w:rFonts w:ascii="Arial" w:cs="Arial" w:eastAsia="Arial" w:hAnsi="Arial"/>
                  <w:sz w:val="18"/>
                  <w:szCs w:val="18"/>
                  <w:u w:val="single" w:color="auto"/>
                  <w:color w:val="0000EE"/>
                </w:rPr>
                <w:t>Certificate of Limited Partnership of CapitalSouth Partners Fund II Limited Partnership</w:t>
              </w:r>
              <w:r>
                <w:rPr>
                  <w:rFonts w:ascii="Arial" w:cs="Arial" w:eastAsia="Arial" w:hAnsi="Arial"/>
                  <w:sz w:val="26"/>
                  <w:szCs w:val="26"/>
                  <w:u w:val="single" w:color="auto"/>
                  <w:color w:val="0000EE"/>
                  <w:vertAlign w:val="superscript"/>
                </w:rPr>
                <w:t>(2)</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3"/>
                <w:szCs w:val="23"/>
                <w:color w:val="auto"/>
              </w:rPr>
            </w:pPr>
          </w:p>
        </w:tc>
        <w:tc>
          <w:tcPr>
            <w:tcW w:w="7380" w:type="dxa"/>
            <w:vAlign w:val="bottom"/>
            <w:gridSpan w:val="23"/>
          </w:tcPr>
          <w:p>
            <w:pPr>
              <w:spacing w:after="0" w:line="270" w:lineRule="exact"/>
              <w:rPr>
                <w:rFonts w:ascii="Arial" w:cs="Arial" w:eastAsia="Arial" w:hAnsi="Arial"/>
                <w:sz w:val="18"/>
                <w:szCs w:val="18"/>
                <w:u w:val="single" w:color="auto"/>
                <w:color w:val="0000EE"/>
              </w:rPr>
            </w:pPr>
            <w:hyperlink r:id="rId913">
              <w:r>
                <w:rPr>
                  <w:rFonts w:ascii="Arial" w:cs="Arial" w:eastAsia="Arial" w:hAnsi="Arial"/>
                  <w:sz w:val="18"/>
                  <w:szCs w:val="18"/>
                  <w:u w:val="single" w:color="auto"/>
                  <w:color w:val="0000EE"/>
                </w:rPr>
                <w:t>Certificate of Limited Partnership of CapitalSouth Partners SBIC Fund III, L.P.</w:t>
              </w:r>
              <w:r>
                <w:rPr>
                  <w:rFonts w:ascii="Arial" w:cs="Arial" w:eastAsia="Arial" w:hAnsi="Arial"/>
                  <w:sz w:val="26"/>
                  <w:szCs w:val="26"/>
                  <w:u w:val="single" w:color="auto"/>
                  <w:color w:val="0000EE"/>
                  <w:vertAlign w:val="superscript"/>
                </w:rPr>
                <w:t>(2)</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7380" w:type="dxa"/>
            <w:vAlign w:val="bottom"/>
            <w:gridSpan w:val="23"/>
          </w:tcPr>
          <w:p>
            <w:pPr>
              <w:spacing w:after="0" w:line="293" w:lineRule="exact"/>
              <w:rPr>
                <w:rFonts w:ascii="Arial" w:cs="Arial" w:eastAsia="Arial" w:hAnsi="Arial"/>
                <w:sz w:val="18"/>
                <w:szCs w:val="18"/>
                <w:u w:val="single" w:color="auto"/>
                <w:color w:val="0000EE"/>
              </w:rPr>
            </w:pPr>
            <w:hyperlink r:id="rId914">
              <w:r>
                <w:rPr>
                  <w:rFonts w:ascii="Arial" w:cs="Arial" w:eastAsia="Arial" w:hAnsi="Arial"/>
                  <w:sz w:val="18"/>
                  <w:szCs w:val="18"/>
                  <w:u w:val="single" w:color="auto"/>
                  <w:color w:val="0000EE"/>
                </w:rPr>
                <w:t>Bylaws</w:t>
              </w:r>
              <w:r>
                <w:rPr>
                  <w:rFonts w:ascii="Arial" w:cs="Arial" w:eastAsia="Arial" w:hAnsi="Arial"/>
                  <w:sz w:val="26"/>
                  <w:szCs w:val="26"/>
                  <w:u w:val="single" w:color="auto"/>
                  <w:color w:val="0000EE"/>
                  <w:vertAlign w:val="superscript"/>
                </w:rPr>
                <w:t>(1)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640" w:type="dxa"/>
            <w:vAlign w:val="bottom"/>
          </w:tcPr>
          <w:p>
            <w:pPr>
              <w:jc w:val="right"/>
              <w:ind w:right="71"/>
              <w:spacing w:after="0" w:line="190"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6"/>
                <w:szCs w:val="16"/>
                <w:color w:val="auto"/>
              </w:rPr>
            </w:pPr>
          </w:p>
        </w:tc>
        <w:tc>
          <w:tcPr>
            <w:tcW w:w="7380" w:type="dxa"/>
            <w:vAlign w:val="bottom"/>
            <w:gridSpan w:val="23"/>
          </w:tcPr>
          <w:p>
            <w:pPr>
              <w:spacing w:after="0" w:line="190" w:lineRule="exact"/>
              <w:rPr>
                <w:rFonts w:ascii="Arial" w:cs="Arial" w:eastAsia="Arial" w:hAnsi="Arial"/>
                <w:sz w:val="18"/>
                <w:szCs w:val="18"/>
                <w:color w:val="0000EE"/>
                <w:w w:val="95"/>
              </w:rPr>
            </w:pPr>
            <w:hyperlink r:id="rId915">
              <w:r>
                <w:rPr>
                  <w:rFonts w:ascii="Arial" w:cs="Arial" w:eastAsia="Arial" w:hAnsi="Arial"/>
                  <w:sz w:val="18"/>
                  <w:szCs w:val="18"/>
                  <w:color w:val="0000EE"/>
                  <w:w w:val="95"/>
                </w:rPr>
                <w:t>Form of Amended and Restated Limited Partnership Agreement of CapitalSouth Partners Fund II</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60" w:type="dxa"/>
            <w:vAlign w:val="bottom"/>
            <w:tcBorders>
              <w:top w:val="single" w:sz="8" w:color="0000EE"/>
            </w:tcBorders>
            <w:gridSpan w:val="22"/>
          </w:tcPr>
          <w:p>
            <w:pPr>
              <w:spacing w:after="0" w:line="195" w:lineRule="exact"/>
              <w:rPr>
                <w:rFonts w:ascii="Arial" w:cs="Arial" w:eastAsia="Arial" w:hAnsi="Arial"/>
                <w:sz w:val="16"/>
                <w:szCs w:val="16"/>
                <w:color w:val="0000EE"/>
              </w:rPr>
            </w:pPr>
            <w:hyperlink r:id="rId915">
              <w:r>
                <w:rPr>
                  <w:rFonts w:ascii="Arial" w:cs="Arial" w:eastAsia="Arial" w:hAnsi="Arial"/>
                  <w:sz w:val="16"/>
                  <w:szCs w:val="16"/>
                  <w:color w:val="0000EE"/>
                </w:rPr>
                <w:t>Limited Partnership</w:t>
              </w:r>
              <w:r>
                <w:rPr>
                  <w:rFonts w:ascii="Arial" w:cs="Arial" w:eastAsia="Arial" w:hAnsi="Arial"/>
                  <w:sz w:val="22"/>
                  <w:szCs w:val="22"/>
                  <w:u w:val="single" w:color="auto"/>
                  <w:color w:val="0000EE"/>
                  <w:vertAlign w:val="superscript"/>
                </w:rPr>
                <w:t>(3)</w:t>
              </w:r>
            </w:hyperlink>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7380" w:type="dxa"/>
            <w:vAlign w:val="bottom"/>
            <w:gridSpan w:val="23"/>
          </w:tcPr>
          <w:p>
            <w:pPr>
              <w:spacing w:after="0"/>
              <w:rPr>
                <w:rFonts w:ascii="Arial" w:cs="Arial" w:eastAsia="Arial" w:hAnsi="Arial"/>
                <w:sz w:val="18"/>
                <w:szCs w:val="18"/>
                <w:color w:val="0000EE"/>
              </w:rPr>
            </w:pPr>
            <w:hyperlink r:id="rId916">
              <w:r>
                <w:rPr>
                  <w:rFonts w:ascii="Arial" w:cs="Arial" w:eastAsia="Arial" w:hAnsi="Arial"/>
                  <w:sz w:val="18"/>
                  <w:szCs w:val="18"/>
                  <w:color w:val="0000EE"/>
                </w:rPr>
                <w:t>Form of Amended and Restated Agreement of Limited Partnership of CapitalSouth Partners</w:t>
              </w:r>
            </w:hyperlink>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60" w:type="dxa"/>
            <w:vAlign w:val="bottom"/>
            <w:tcBorders>
              <w:top w:val="single" w:sz="8" w:color="0000EE"/>
            </w:tcBorders>
            <w:gridSpan w:val="14"/>
          </w:tcPr>
          <w:p>
            <w:pPr>
              <w:spacing w:after="0" w:line="195" w:lineRule="exact"/>
              <w:rPr>
                <w:rFonts w:ascii="Arial" w:cs="Arial" w:eastAsia="Arial" w:hAnsi="Arial"/>
                <w:sz w:val="16"/>
                <w:szCs w:val="16"/>
                <w:color w:val="0000EE"/>
              </w:rPr>
            </w:pPr>
            <w:hyperlink r:id="rId916">
              <w:r>
                <w:rPr>
                  <w:rFonts w:ascii="Arial" w:cs="Arial" w:eastAsia="Arial" w:hAnsi="Arial"/>
                  <w:sz w:val="16"/>
                  <w:szCs w:val="16"/>
                  <w:color w:val="0000EE"/>
                </w:rPr>
                <w:t>SBIC Fund III, L.P.</w:t>
              </w:r>
              <w:r>
                <w:rPr>
                  <w:rFonts w:ascii="Arial" w:cs="Arial" w:eastAsia="Arial" w:hAnsi="Arial"/>
                  <w:sz w:val="22"/>
                  <w:szCs w:val="22"/>
                  <w:u w:val="single" w:color="auto"/>
                  <w:color w:val="0000EE"/>
                  <w:vertAlign w:val="superscript"/>
                </w:rPr>
                <w:t>(3)</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380" w:type="dxa"/>
            <w:vAlign w:val="bottom"/>
            <w:gridSpan w:val="23"/>
          </w:tcPr>
          <w:p>
            <w:pPr>
              <w:spacing w:after="0"/>
              <w:rPr>
                <w:rFonts w:ascii="Arial" w:cs="Arial" w:eastAsia="Arial" w:hAnsi="Arial"/>
                <w:sz w:val="18"/>
                <w:szCs w:val="18"/>
                <w:u w:val="single" w:color="auto"/>
                <w:color w:val="0000EE"/>
              </w:rPr>
            </w:pPr>
            <w:hyperlink r:id="rId917">
              <w:r>
                <w:rPr>
                  <w:rFonts w:ascii="Arial" w:cs="Arial" w:eastAsia="Arial" w:hAnsi="Arial"/>
                  <w:sz w:val="18"/>
                  <w:szCs w:val="18"/>
                  <w:u w:val="single" w:color="auto"/>
                  <w:color w:val="0000EE"/>
                </w:rPr>
                <w:t>Form of Common Stock Certificate</w:t>
              </w:r>
              <w:r>
                <w:rPr>
                  <w:rFonts w:ascii="Arial" w:cs="Arial" w:eastAsia="Arial" w:hAnsi="Arial"/>
                  <w:sz w:val="26"/>
                  <w:szCs w:val="26"/>
                  <w:u w:val="single" w:color="auto"/>
                  <w:color w:val="0000EE"/>
                  <w:vertAlign w:val="superscript"/>
                </w:rPr>
                <w:t>(1)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7380" w:type="dxa"/>
            <w:vAlign w:val="bottom"/>
            <w:gridSpan w:val="23"/>
          </w:tcPr>
          <w:p>
            <w:pPr>
              <w:spacing w:after="0" w:line="293" w:lineRule="exact"/>
              <w:rPr>
                <w:rFonts w:ascii="Arial" w:cs="Arial" w:eastAsia="Arial" w:hAnsi="Arial"/>
                <w:sz w:val="18"/>
                <w:szCs w:val="18"/>
                <w:u w:val="single" w:color="auto"/>
                <w:color w:val="0000EE"/>
              </w:rPr>
            </w:pPr>
            <w:hyperlink r:id="rId918">
              <w:r>
                <w:rPr>
                  <w:rFonts w:ascii="Arial" w:cs="Arial" w:eastAsia="Arial" w:hAnsi="Arial"/>
                  <w:sz w:val="18"/>
                  <w:szCs w:val="18"/>
                  <w:u w:val="single" w:color="auto"/>
                  <w:color w:val="0000EE"/>
                </w:rPr>
                <w:t>Form of Base Indenture</w:t>
              </w:r>
              <w:r>
                <w:rPr>
                  <w:rFonts w:ascii="Arial" w:cs="Arial" w:eastAsia="Arial" w:hAnsi="Arial"/>
                  <w:sz w:val="26"/>
                  <w:szCs w:val="26"/>
                  <w:u w:val="single" w:color="auto"/>
                  <w:color w:val="0000EE"/>
                  <w:vertAlign w:val="superscript"/>
                </w:rPr>
                <w:t>(4)</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640" w:type="dxa"/>
            <w:vAlign w:val="bottom"/>
          </w:tcPr>
          <w:p>
            <w:pPr>
              <w:jc w:val="right"/>
              <w:ind w:right="71"/>
              <w:spacing w:after="0" w:line="190"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6"/>
                <w:szCs w:val="16"/>
                <w:color w:val="auto"/>
              </w:rPr>
            </w:pPr>
          </w:p>
        </w:tc>
        <w:tc>
          <w:tcPr>
            <w:tcW w:w="7380" w:type="dxa"/>
            <w:vAlign w:val="bottom"/>
            <w:gridSpan w:val="23"/>
          </w:tcPr>
          <w:p>
            <w:pPr>
              <w:spacing w:after="0" w:line="190" w:lineRule="exact"/>
              <w:rPr>
                <w:rFonts w:ascii="Arial" w:cs="Arial" w:eastAsia="Arial" w:hAnsi="Arial"/>
                <w:sz w:val="18"/>
                <w:szCs w:val="18"/>
                <w:color w:val="0000EE"/>
                <w:w w:val="96"/>
              </w:rPr>
            </w:pPr>
            <w:hyperlink r:id="rId919">
              <w:r>
                <w:rPr>
                  <w:rFonts w:ascii="Arial" w:cs="Arial" w:eastAsia="Arial" w:hAnsi="Arial"/>
                  <w:sz w:val="18"/>
                  <w:szCs w:val="18"/>
                  <w:color w:val="0000EE"/>
                  <w:w w:val="96"/>
                </w:rPr>
                <w:t>Form of Second Supplemental Indenture relating to the 6.00% notes due 2022, by and between</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tcBorders>
              <w:top w:val="single" w:sz="8" w:color="0000EE"/>
            </w:tcBorders>
            <w:gridSpan w:val="18"/>
          </w:tcPr>
          <w:p>
            <w:pPr>
              <w:spacing w:after="0" w:line="196" w:lineRule="exact"/>
              <w:rPr>
                <w:rFonts w:ascii="Arial" w:cs="Arial" w:eastAsia="Arial" w:hAnsi="Arial"/>
                <w:sz w:val="18"/>
                <w:szCs w:val="18"/>
                <w:color w:val="0000EE"/>
                <w:w w:val="99"/>
              </w:rPr>
            </w:pPr>
            <w:hyperlink r:id="rId919">
              <w:r>
                <w:rPr>
                  <w:rFonts w:ascii="Arial" w:cs="Arial" w:eastAsia="Arial" w:hAnsi="Arial"/>
                  <w:sz w:val="18"/>
                  <w:szCs w:val="18"/>
                  <w:color w:val="0000EE"/>
                  <w:w w:val="99"/>
                </w:rPr>
                <w:t>the Registrant and U.S. Bank National Association, as trustee, including the form of Global</w:t>
              </w:r>
            </w:hyperlink>
          </w:p>
        </w:tc>
        <w:tc>
          <w:tcPr>
            <w:tcW w:w="220" w:type="dxa"/>
            <w:vAlign w:val="bottom"/>
            <w:gridSpan w:val="5"/>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Borders>
              <w:top w:val="single" w:sz="8" w:color="0000EE"/>
            </w:tcBorders>
            <w:gridSpan w:val="12"/>
          </w:tcPr>
          <w:p>
            <w:pPr>
              <w:spacing w:after="0" w:line="195" w:lineRule="exact"/>
              <w:rPr>
                <w:rFonts w:ascii="Arial" w:cs="Arial" w:eastAsia="Arial" w:hAnsi="Arial"/>
                <w:sz w:val="16"/>
                <w:szCs w:val="16"/>
                <w:color w:val="0000EE"/>
              </w:rPr>
            </w:pPr>
            <w:hyperlink r:id="rId919">
              <w:r>
                <w:rPr>
                  <w:rFonts w:ascii="Arial" w:cs="Arial" w:eastAsia="Arial" w:hAnsi="Arial"/>
                  <w:sz w:val="16"/>
                  <w:szCs w:val="16"/>
                  <w:color w:val="0000EE"/>
                </w:rPr>
                <w:t>Note</w:t>
              </w:r>
              <w:r>
                <w:rPr>
                  <w:rFonts w:ascii="Arial" w:cs="Arial" w:eastAsia="Arial" w:hAnsi="Arial"/>
                  <w:sz w:val="22"/>
                  <w:szCs w:val="22"/>
                  <w:u w:val="single" w:color="auto"/>
                  <w:color w:val="0000EE"/>
                  <w:vertAlign w:val="superscript"/>
                </w:rPr>
                <w:t>(6)</w:t>
              </w:r>
            </w:hyperlink>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7220" w:type="dxa"/>
            <w:vAlign w:val="bottom"/>
            <w:tcBorders>
              <w:bottom w:val="single" w:sz="8" w:color="0000EE"/>
            </w:tcBorders>
            <w:gridSpan w:val="19"/>
          </w:tcPr>
          <w:p>
            <w:pPr>
              <w:spacing w:after="0"/>
              <w:rPr>
                <w:rFonts w:ascii="Arial" w:cs="Arial" w:eastAsia="Arial" w:hAnsi="Arial"/>
                <w:sz w:val="18"/>
                <w:szCs w:val="18"/>
                <w:color w:val="0000EE"/>
                <w:w w:val="95"/>
              </w:rPr>
            </w:pPr>
            <w:hyperlink r:id="rId920">
              <w:r>
                <w:rPr>
                  <w:rFonts w:ascii="Arial" w:cs="Arial" w:eastAsia="Arial" w:hAnsi="Arial"/>
                  <w:sz w:val="18"/>
                  <w:szCs w:val="18"/>
                  <w:color w:val="0000EE"/>
                  <w:w w:val="95"/>
                </w:rPr>
                <w:t>Form of the Third Supplemental Indenture relating to the 5.75% convertible notes due 2022, by</w:t>
              </w:r>
            </w:hyperlink>
          </w:p>
        </w:tc>
        <w:tc>
          <w:tcPr>
            <w:tcW w:w="160" w:type="dxa"/>
            <w:vAlign w:val="bottom"/>
            <w:gridSpan w:val="4"/>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gridSpan w:val="23"/>
          </w:tcPr>
          <w:p>
            <w:pPr>
              <w:spacing w:after="0" w:line="196" w:lineRule="exact"/>
              <w:rPr>
                <w:rFonts w:ascii="Arial" w:cs="Arial" w:eastAsia="Arial" w:hAnsi="Arial"/>
                <w:sz w:val="18"/>
                <w:szCs w:val="18"/>
                <w:color w:val="0000EE"/>
                <w:w w:val="95"/>
              </w:rPr>
            </w:pPr>
            <w:hyperlink r:id="rId920">
              <w:r>
                <w:rPr>
                  <w:rFonts w:ascii="Arial" w:cs="Arial" w:eastAsia="Arial" w:hAnsi="Arial"/>
                  <w:sz w:val="18"/>
                  <w:szCs w:val="18"/>
                  <w:color w:val="0000EE"/>
                  <w:w w:val="95"/>
                </w:rPr>
                <w:t>and between the Registrant and U.S. Bank National Association, as trustee, including the form of</w:t>
              </w:r>
            </w:hyperlink>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Borders>
              <w:top w:val="single" w:sz="8" w:color="0000EE"/>
            </w:tcBorders>
            <w:gridSpan w:val="21"/>
          </w:tcPr>
          <w:p>
            <w:pPr>
              <w:spacing w:after="0" w:line="195" w:lineRule="exact"/>
              <w:rPr>
                <w:rFonts w:ascii="Arial" w:cs="Arial" w:eastAsia="Arial" w:hAnsi="Arial"/>
                <w:sz w:val="16"/>
                <w:szCs w:val="16"/>
                <w:color w:val="0000EE"/>
              </w:rPr>
            </w:pPr>
            <w:hyperlink r:id="rId920">
              <w:r>
                <w:rPr>
                  <w:rFonts w:ascii="Arial" w:cs="Arial" w:eastAsia="Arial" w:hAnsi="Arial"/>
                  <w:sz w:val="16"/>
                  <w:szCs w:val="16"/>
                  <w:color w:val="0000EE"/>
                </w:rPr>
                <w:t>Global Note</w:t>
              </w:r>
              <w:r>
                <w:rPr>
                  <w:rFonts w:ascii="Arial" w:cs="Arial" w:eastAsia="Arial" w:hAnsi="Arial"/>
                  <w:sz w:val="22"/>
                  <w:szCs w:val="22"/>
                  <w:u w:val="single" w:color="auto"/>
                  <w:color w:val="0000EE"/>
                  <w:vertAlign w:val="superscript"/>
                </w:rPr>
                <w:t>(7)</w:t>
              </w:r>
            </w:hyperlink>
          </w:p>
        </w:tc>
        <w:tc>
          <w:tcPr>
            <w:tcW w:w="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7380" w:type="dxa"/>
            <w:vAlign w:val="bottom"/>
            <w:gridSpan w:val="23"/>
          </w:tcPr>
          <w:p>
            <w:pPr>
              <w:spacing w:after="0"/>
              <w:rPr>
                <w:rFonts w:ascii="Arial" w:cs="Arial" w:eastAsia="Arial" w:hAnsi="Arial"/>
                <w:sz w:val="18"/>
                <w:szCs w:val="18"/>
                <w:u w:val="single" w:color="auto"/>
                <w:color w:val="0000EE"/>
              </w:rPr>
            </w:pPr>
            <w:hyperlink r:id="rId921">
              <w:r>
                <w:rPr>
                  <w:rFonts w:ascii="Arial" w:cs="Arial" w:eastAsia="Arial" w:hAnsi="Arial"/>
                  <w:sz w:val="18"/>
                  <w:szCs w:val="18"/>
                  <w:u w:val="single" w:color="auto"/>
                  <w:color w:val="0000EE"/>
                </w:rPr>
                <w:t>Description of Securities</w:t>
              </w:r>
              <w:r>
                <w:rPr>
                  <w:rFonts w:ascii="Arial" w:cs="Arial" w:eastAsia="Arial" w:hAnsi="Arial"/>
                  <w:sz w:val="26"/>
                  <w:szCs w:val="26"/>
                  <w:u w:val="single" w:color="auto"/>
                  <w:color w:val="0000EE"/>
                  <w:vertAlign w:val="superscript"/>
                </w:rPr>
                <w:t>(10)</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380" w:type="dxa"/>
            <w:vAlign w:val="bottom"/>
            <w:gridSpan w:val="23"/>
          </w:tcPr>
          <w:p>
            <w:pPr>
              <w:spacing w:after="0" w:line="293" w:lineRule="exact"/>
              <w:rPr>
                <w:rFonts w:ascii="Arial" w:cs="Arial" w:eastAsia="Arial" w:hAnsi="Arial"/>
                <w:sz w:val="18"/>
                <w:szCs w:val="18"/>
                <w:u w:val="single" w:color="auto"/>
                <w:color w:val="0000EE"/>
              </w:rPr>
            </w:pPr>
            <w:hyperlink r:id="rId922">
              <w:r>
                <w:rPr>
                  <w:rFonts w:ascii="Arial" w:cs="Arial" w:eastAsia="Arial" w:hAnsi="Arial"/>
                  <w:sz w:val="18"/>
                  <w:szCs w:val="18"/>
                  <w:u w:val="single" w:color="auto"/>
                  <w:color w:val="0000EE"/>
                </w:rPr>
                <w:t>Form of Dividend Reinvestment Plan</w:t>
              </w:r>
              <w:r>
                <w:rPr>
                  <w:rFonts w:ascii="Arial" w:cs="Arial" w:eastAsia="Arial" w:hAnsi="Arial"/>
                  <w:sz w:val="26"/>
                  <w:szCs w:val="26"/>
                  <w:u w:val="single" w:color="auto"/>
                  <w:color w:val="0000EE"/>
                  <w:vertAlign w:val="superscript"/>
                </w:rPr>
                <w:t>(1)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640" w:type="dxa"/>
            <w:vAlign w:val="bottom"/>
          </w:tcPr>
          <w:p>
            <w:pPr>
              <w:jc w:val="right"/>
              <w:ind w:right="71"/>
              <w:spacing w:after="0" w:line="190"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6"/>
                <w:szCs w:val="16"/>
                <w:color w:val="auto"/>
              </w:rPr>
            </w:pPr>
          </w:p>
        </w:tc>
        <w:tc>
          <w:tcPr>
            <w:tcW w:w="7380" w:type="dxa"/>
            <w:vAlign w:val="bottom"/>
            <w:gridSpan w:val="23"/>
          </w:tcPr>
          <w:p>
            <w:pPr>
              <w:spacing w:after="0" w:line="190" w:lineRule="exact"/>
              <w:rPr>
                <w:rFonts w:ascii="Arial" w:cs="Arial" w:eastAsia="Arial" w:hAnsi="Arial"/>
                <w:sz w:val="18"/>
                <w:szCs w:val="18"/>
                <w:color w:val="0000EE"/>
                <w:w w:val="99"/>
              </w:rPr>
            </w:pPr>
            <w:hyperlink r:id="rId923">
              <w:r>
                <w:rPr>
                  <w:rFonts w:ascii="Arial" w:cs="Arial" w:eastAsia="Arial" w:hAnsi="Arial"/>
                  <w:sz w:val="18"/>
                  <w:szCs w:val="18"/>
                  <w:color w:val="0000EE"/>
                  <w:w w:val="99"/>
                </w:rPr>
                <w:t>Form of Investment Advisory Agreement by and between Registrant and Capitala Investment</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top w:val="single" w:sz="8" w:color="0000EE"/>
            </w:tcBorders>
            <w:gridSpan w:val="16"/>
          </w:tcPr>
          <w:p>
            <w:pPr>
              <w:spacing w:after="0" w:line="195" w:lineRule="exact"/>
              <w:rPr>
                <w:rFonts w:ascii="Arial" w:cs="Arial" w:eastAsia="Arial" w:hAnsi="Arial"/>
                <w:sz w:val="16"/>
                <w:szCs w:val="16"/>
                <w:color w:val="0000EE"/>
              </w:rPr>
            </w:pPr>
            <w:hyperlink r:id="rId923">
              <w:r>
                <w:rPr>
                  <w:rFonts w:ascii="Arial" w:cs="Arial" w:eastAsia="Arial" w:hAnsi="Arial"/>
                  <w:sz w:val="16"/>
                  <w:szCs w:val="16"/>
                  <w:color w:val="0000EE"/>
                </w:rPr>
                <w:t>Advisors, LLC</w:t>
              </w:r>
              <w:r>
                <w:rPr>
                  <w:rFonts w:ascii="Arial" w:cs="Arial" w:eastAsia="Arial" w:hAnsi="Arial"/>
                  <w:sz w:val="22"/>
                  <w:szCs w:val="22"/>
                  <w:u w:val="single" w:color="auto"/>
                  <w:color w:val="0000EE"/>
                  <w:vertAlign w:val="superscript"/>
                </w:rPr>
                <w:t>(1)</w:t>
              </w:r>
            </w:hyperlink>
          </w:p>
        </w:tc>
        <w:tc>
          <w:tcPr>
            <w:tcW w:w="20" w:type="dxa"/>
            <w:vAlign w:val="bottom"/>
          </w:tcPr>
          <w:p>
            <w:pPr>
              <w:spacing w:after="0"/>
              <w:rPr>
                <w:sz w:val="17"/>
                <w:szCs w:val="17"/>
                <w:color w:val="auto"/>
              </w:rPr>
            </w:pPr>
          </w:p>
        </w:tc>
        <w:tc>
          <w:tcPr>
            <w:tcW w:w="180" w:type="dxa"/>
            <w:vAlign w:val="bottom"/>
            <w:gridSpan w:val="3"/>
          </w:tcPr>
          <w:p>
            <w:pPr>
              <w:spacing w:after="0"/>
              <w:rPr>
                <w:sz w:val="17"/>
                <w:szCs w:val="17"/>
                <w:color w:val="auto"/>
              </w:rPr>
            </w:pPr>
          </w:p>
        </w:tc>
        <w:tc>
          <w:tcPr>
            <w:tcW w:w="10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7380" w:type="dxa"/>
            <w:vAlign w:val="bottom"/>
            <w:gridSpan w:val="23"/>
          </w:tcPr>
          <w:p>
            <w:pPr>
              <w:spacing w:after="0"/>
              <w:rPr>
                <w:rFonts w:ascii="Arial" w:cs="Arial" w:eastAsia="Arial" w:hAnsi="Arial"/>
                <w:sz w:val="18"/>
                <w:szCs w:val="18"/>
                <w:u w:val="single" w:color="auto"/>
                <w:color w:val="0000EE"/>
              </w:rPr>
            </w:pPr>
            <w:hyperlink r:id="rId924">
              <w:r>
                <w:rPr>
                  <w:rFonts w:ascii="Arial" w:cs="Arial" w:eastAsia="Arial" w:hAnsi="Arial"/>
                  <w:sz w:val="18"/>
                  <w:szCs w:val="18"/>
                  <w:u w:val="single" w:color="auto"/>
                  <w:color w:val="0000EE"/>
                </w:rPr>
                <w:t>Form of Custodian Agreement</w:t>
              </w:r>
              <w:r>
                <w:rPr>
                  <w:rFonts w:ascii="Arial" w:cs="Arial" w:eastAsia="Arial" w:hAnsi="Arial"/>
                  <w:sz w:val="26"/>
                  <w:szCs w:val="26"/>
                  <w:u w:val="single" w:color="auto"/>
                  <w:color w:val="0000EE"/>
                  <w:vertAlign w:val="superscript"/>
                </w:rPr>
                <w:t>(1)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3"/>
                <w:szCs w:val="23"/>
                <w:color w:val="auto"/>
              </w:rPr>
            </w:pPr>
          </w:p>
        </w:tc>
        <w:tc>
          <w:tcPr>
            <w:tcW w:w="7380" w:type="dxa"/>
            <w:vAlign w:val="bottom"/>
            <w:gridSpan w:val="23"/>
          </w:tcPr>
          <w:p>
            <w:pPr>
              <w:spacing w:after="0" w:line="270" w:lineRule="exact"/>
              <w:rPr>
                <w:rFonts w:ascii="Arial" w:cs="Arial" w:eastAsia="Arial" w:hAnsi="Arial"/>
                <w:sz w:val="18"/>
                <w:szCs w:val="18"/>
                <w:u w:val="single" w:color="auto"/>
                <w:color w:val="0000EE"/>
                <w:w w:val="98"/>
              </w:rPr>
            </w:pPr>
            <w:hyperlink r:id="rId925">
              <w:r>
                <w:rPr>
                  <w:rFonts w:ascii="Arial" w:cs="Arial" w:eastAsia="Arial" w:hAnsi="Arial"/>
                  <w:sz w:val="18"/>
                  <w:szCs w:val="18"/>
                  <w:u w:val="single" w:color="auto"/>
                  <w:color w:val="0000EE"/>
                  <w:w w:val="98"/>
                </w:rPr>
                <w:t>Form of Administration Agreement by and between Registrant and Capitala Advisors Corp.</w:t>
              </w:r>
              <w:r>
                <w:rPr>
                  <w:rFonts w:ascii="Arial" w:cs="Arial" w:eastAsia="Arial" w:hAnsi="Arial"/>
                  <w:sz w:val="26"/>
                  <w:szCs w:val="26"/>
                  <w:u w:val="single" w:color="auto"/>
                  <w:color w:val="0000EE"/>
                  <w:w w:val="98"/>
                  <w:vertAlign w:val="superscript"/>
                </w:rPr>
                <w:t>(1)</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7380" w:type="dxa"/>
            <w:vAlign w:val="bottom"/>
            <w:gridSpan w:val="23"/>
          </w:tcPr>
          <w:p>
            <w:pPr>
              <w:spacing w:after="0" w:line="293" w:lineRule="exact"/>
              <w:rPr>
                <w:rFonts w:ascii="Arial" w:cs="Arial" w:eastAsia="Arial" w:hAnsi="Arial"/>
                <w:sz w:val="18"/>
                <w:szCs w:val="18"/>
                <w:u w:val="single" w:color="auto"/>
                <w:color w:val="0000EE"/>
              </w:rPr>
            </w:pPr>
            <w:hyperlink r:id="rId926">
              <w:r>
                <w:rPr>
                  <w:rFonts w:ascii="Arial" w:cs="Arial" w:eastAsia="Arial" w:hAnsi="Arial"/>
                  <w:sz w:val="18"/>
                  <w:szCs w:val="18"/>
                  <w:u w:val="single" w:color="auto"/>
                  <w:color w:val="0000EE"/>
                </w:rPr>
                <w:t>Form of Indemnification Agreement by and between Registrant and each of its directors</w:t>
              </w:r>
              <w:r>
                <w:rPr>
                  <w:rFonts w:ascii="Arial" w:cs="Arial" w:eastAsia="Arial" w:hAnsi="Arial"/>
                  <w:sz w:val="26"/>
                  <w:szCs w:val="26"/>
                  <w:u w:val="single" w:color="auto"/>
                  <w:color w:val="0000EE"/>
                  <w:vertAlign w:val="superscript"/>
                </w:rPr>
                <w:t>(1)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640" w:type="dxa"/>
            <w:vAlign w:val="bottom"/>
          </w:tcPr>
          <w:p>
            <w:pPr>
              <w:jc w:val="right"/>
              <w:ind w:right="71"/>
              <w:spacing w:after="0" w:line="190"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6"/>
                <w:szCs w:val="16"/>
                <w:color w:val="auto"/>
              </w:rPr>
            </w:pPr>
          </w:p>
        </w:tc>
        <w:tc>
          <w:tcPr>
            <w:tcW w:w="7380" w:type="dxa"/>
            <w:vAlign w:val="bottom"/>
            <w:gridSpan w:val="23"/>
          </w:tcPr>
          <w:p>
            <w:pPr>
              <w:spacing w:after="0" w:line="190" w:lineRule="exact"/>
              <w:rPr>
                <w:rFonts w:ascii="Arial" w:cs="Arial" w:eastAsia="Arial" w:hAnsi="Arial"/>
                <w:sz w:val="18"/>
                <w:szCs w:val="18"/>
                <w:color w:val="0000EE"/>
              </w:rPr>
            </w:pPr>
            <w:hyperlink r:id="rId927">
              <w:r>
                <w:rPr>
                  <w:rFonts w:ascii="Arial" w:cs="Arial" w:eastAsia="Arial" w:hAnsi="Arial"/>
                  <w:sz w:val="18"/>
                  <w:szCs w:val="18"/>
                  <w:color w:val="0000EE"/>
                </w:rPr>
                <w:t>Form of Trademark License Agreement by and between Registrant and Capitala Investment</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Borders>
              <w:top w:val="single" w:sz="8" w:color="0000EE"/>
              <w:bottom w:val="single" w:sz="8" w:color="0000EE"/>
            </w:tcBorders>
            <w:gridSpan w:val="4"/>
            <w:vMerge w:val="restart"/>
          </w:tcPr>
          <w:p>
            <w:pPr>
              <w:spacing w:after="0" w:line="196" w:lineRule="exact"/>
              <w:rPr>
                <w:rFonts w:ascii="Arial" w:cs="Arial" w:eastAsia="Arial" w:hAnsi="Arial"/>
                <w:sz w:val="18"/>
                <w:szCs w:val="18"/>
                <w:color w:val="0000EE"/>
                <w:w w:val="99"/>
              </w:rPr>
            </w:pPr>
            <w:hyperlink r:id="rId927">
              <w:r>
                <w:rPr>
                  <w:rFonts w:ascii="Arial" w:cs="Arial" w:eastAsia="Arial" w:hAnsi="Arial"/>
                  <w:sz w:val="18"/>
                  <w:szCs w:val="18"/>
                  <w:color w:val="0000EE"/>
                  <w:w w:val="99"/>
                </w:rPr>
                <w:t>Advisors, LLC</w:t>
              </w:r>
            </w:hyperlink>
          </w:p>
        </w:tc>
        <w:tc>
          <w:tcPr>
            <w:tcW w:w="100" w:type="dxa"/>
            <w:vAlign w:val="bottom"/>
            <w:tcBorders>
              <w:top w:val="single" w:sz="8" w:color="0000EE"/>
              <w:bottom w:val="single" w:sz="8" w:color="0000EE"/>
            </w:tcBorders>
          </w:tcPr>
          <w:p>
            <w:pPr>
              <w:jc w:val="right"/>
              <w:spacing w:after="0" w:line="61" w:lineRule="exact"/>
              <w:rPr>
                <w:rFonts w:ascii="Arial" w:cs="Arial" w:eastAsia="Arial" w:hAnsi="Arial"/>
                <w:sz w:val="7"/>
                <w:szCs w:val="7"/>
                <w:color w:val="0000EE"/>
                <w:w w:val="92"/>
              </w:rPr>
            </w:pPr>
            <w:hyperlink r:id="rId927">
              <w:r>
                <w:rPr>
                  <w:rFonts w:ascii="Arial" w:cs="Arial" w:eastAsia="Arial" w:hAnsi="Arial"/>
                  <w:sz w:val="7"/>
                  <w:szCs w:val="7"/>
                  <w:color w:val="0000EE"/>
                  <w:w w:val="92"/>
                </w:rPr>
                <w:t>(1)</w:t>
              </w:r>
            </w:hyperlink>
          </w:p>
        </w:tc>
        <w:tc>
          <w:tcPr>
            <w:tcW w:w="5700" w:type="dxa"/>
            <w:vAlign w:val="bottom"/>
            <w:tcBorders>
              <w:top w:val="single" w:sz="8" w:color="0000EE"/>
              <w:bottom w:val="single" w:sz="8" w:color="0000EE"/>
            </w:tcBorders>
            <w:gridSpan w:val="8"/>
            <w:vMerge w:val="restart"/>
          </w:tcPr>
          <w:p>
            <w:pPr>
              <w:spacing w:after="0"/>
              <w:rPr>
                <w:sz w:val="6"/>
                <w:szCs w:val="6"/>
                <w:color w:val="auto"/>
              </w:rPr>
            </w:pPr>
          </w:p>
        </w:tc>
        <w:tc>
          <w:tcPr>
            <w:tcW w:w="120" w:type="dxa"/>
            <w:vAlign w:val="bottom"/>
            <w:gridSpan w:val="2"/>
          </w:tcPr>
          <w:p>
            <w:pPr>
              <w:spacing w:after="0"/>
              <w:rPr>
                <w:sz w:val="6"/>
                <w:szCs w:val="6"/>
                <w:color w:val="auto"/>
              </w:rPr>
            </w:pPr>
          </w:p>
        </w:tc>
        <w:tc>
          <w:tcPr>
            <w:tcW w:w="40" w:type="dxa"/>
            <w:vAlign w:val="bottom"/>
            <w:gridSpan w:val="2"/>
          </w:tcPr>
          <w:p>
            <w:pPr>
              <w:spacing w:after="0"/>
              <w:rPr>
                <w:sz w:val="6"/>
                <w:szCs w:val="6"/>
                <w:color w:val="auto"/>
              </w:rPr>
            </w:pPr>
          </w:p>
        </w:tc>
        <w:tc>
          <w:tcPr>
            <w:tcW w:w="180" w:type="dxa"/>
            <w:vAlign w:val="bottom"/>
            <w:gridSpan w:val="3"/>
          </w:tcPr>
          <w:p>
            <w:pPr>
              <w:spacing w:after="0"/>
              <w:rPr>
                <w:sz w:val="6"/>
                <w:szCs w:val="6"/>
                <w:color w:val="auto"/>
              </w:rPr>
            </w:pPr>
          </w:p>
        </w:tc>
        <w:tc>
          <w:tcPr>
            <w:tcW w:w="100" w:type="dxa"/>
            <w:vAlign w:val="bottom"/>
            <w:gridSpan w:val="3"/>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0000EE"/>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570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7380" w:type="dxa"/>
            <w:vAlign w:val="bottom"/>
            <w:gridSpan w:val="23"/>
          </w:tcPr>
          <w:p>
            <w:pPr>
              <w:spacing w:after="0" w:line="263" w:lineRule="exact"/>
              <w:rPr>
                <w:rFonts w:ascii="Arial" w:cs="Arial" w:eastAsia="Arial" w:hAnsi="Arial"/>
                <w:sz w:val="18"/>
                <w:szCs w:val="18"/>
                <w:color w:val="0000EE"/>
              </w:rPr>
            </w:pPr>
            <w:hyperlink r:id="rId928">
              <w:r>
                <w:rPr>
                  <w:rFonts w:ascii="Arial" w:cs="Arial" w:eastAsia="Arial" w:hAnsi="Arial"/>
                  <w:sz w:val="18"/>
                  <w:szCs w:val="18"/>
                  <w:u w:val="single" w:color="auto"/>
                  <w:color w:val="0000EE"/>
                </w:rPr>
                <w:t>Open Market Sale Agreement</w:t>
              </w:r>
              <w:r>
                <w:rPr>
                  <w:rFonts w:ascii="Arial" w:cs="Arial" w:eastAsia="Arial" w:hAnsi="Arial"/>
                  <w:sz w:val="26"/>
                  <w:szCs w:val="26"/>
                  <w:u w:val="single" w:color="auto"/>
                  <w:color w:val="0000EE"/>
                  <w:vertAlign w:val="superscript"/>
                </w:rPr>
                <w:t>SM</w:t>
              </w:r>
              <w:r>
                <w:rPr>
                  <w:rFonts w:ascii="Arial" w:cs="Arial" w:eastAsia="Arial" w:hAnsi="Arial"/>
                  <w:sz w:val="18"/>
                  <w:szCs w:val="18"/>
                  <w:color w:val="0000EE"/>
                </w:rPr>
                <w:t>, dated as of December 31, 2019, by and among Capitala</w:t>
              </w:r>
            </w:hyperlink>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23"/>
          </w:tcPr>
          <w:p>
            <w:pPr>
              <w:spacing w:after="0"/>
              <w:rPr>
                <w:rFonts w:ascii="Arial" w:cs="Arial" w:eastAsia="Arial" w:hAnsi="Arial"/>
                <w:sz w:val="18"/>
                <w:szCs w:val="18"/>
                <w:color w:val="0000EE"/>
              </w:rPr>
            </w:pPr>
            <w:hyperlink r:id="rId928">
              <w:r>
                <w:rPr>
                  <w:rFonts w:ascii="Arial" w:cs="Arial" w:eastAsia="Arial" w:hAnsi="Arial"/>
                  <w:sz w:val="18"/>
                  <w:szCs w:val="18"/>
                  <w:color w:val="0000EE"/>
                </w:rPr>
                <w:t>Finance Corp., Capitala Investment Advisors, LLC, Capitala Advisors Corp. and Jefferies</w:t>
              </w:r>
            </w:hyperlink>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top w:val="single" w:sz="8" w:color="0000EE"/>
            </w:tcBorders>
            <w:gridSpan w:val="11"/>
          </w:tcPr>
          <w:p>
            <w:pPr>
              <w:spacing w:after="0" w:line="195" w:lineRule="exact"/>
              <w:rPr>
                <w:rFonts w:ascii="Arial" w:cs="Arial" w:eastAsia="Arial" w:hAnsi="Arial"/>
                <w:sz w:val="10"/>
                <w:szCs w:val="10"/>
                <w:color w:val="0000EE"/>
              </w:rPr>
            </w:pPr>
            <w:hyperlink r:id="rId928">
              <w:r>
                <w:rPr>
                  <w:rFonts w:ascii="Arial" w:cs="Arial" w:eastAsia="Arial" w:hAnsi="Arial"/>
                  <w:sz w:val="22"/>
                  <w:szCs w:val="22"/>
                  <w:color w:val="0000EE"/>
                  <w:vertAlign w:val="subscript"/>
                </w:rPr>
                <w:t>LLC</w:t>
              </w:r>
              <w:r>
                <w:rPr>
                  <w:rFonts w:ascii="Arial" w:cs="Arial" w:eastAsia="Arial" w:hAnsi="Arial"/>
                  <w:sz w:val="10"/>
                  <w:szCs w:val="10"/>
                  <w:u w:val="single" w:color="auto"/>
                  <w:color w:val="0000EE"/>
                </w:rPr>
                <w:t>(9)</w:t>
              </w:r>
            </w:hyperlink>
          </w:p>
        </w:tc>
        <w:tc>
          <w:tcPr>
            <w:tcW w:w="2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10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6740" w:type="dxa"/>
            <w:vAlign w:val="bottom"/>
            <w:tcBorders>
              <w:bottom w:val="single" w:sz="8" w:color="0000EE"/>
            </w:tcBorders>
            <w:gridSpan w:val="10"/>
          </w:tcPr>
          <w:p>
            <w:pPr>
              <w:spacing w:after="0"/>
              <w:rPr>
                <w:rFonts w:ascii="Arial" w:cs="Arial" w:eastAsia="Arial" w:hAnsi="Arial"/>
                <w:sz w:val="18"/>
                <w:szCs w:val="18"/>
                <w:color w:val="0000EE"/>
                <w:w w:val="94"/>
              </w:rPr>
            </w:pPr>
            <w:hyperlink r:id="rId929">
              <w:r>
                <w:rPr>
                  <w:rFonts w:ascii="Arial" w:cs="Arial" w:eastAsia="Arial" w:hAnsi="Arial"/>
                  <w:sz w:val="18"/>
                  <w:szCs w:val="18"/>
                  <w:color w:val="0000EE"/>
                  <w:w w:val="94"/>
                </w:rPr>
                <w:t>Form of Revolving Credit and Security Agreement, dated as of October 30, 2020, among</w:t>
              </w:r>
            </w:hyperlink>
          </w:p>
        </w:tc>
        <w:tc>
          <w:tcPr>
            <w:tcW w:w="640" w:type="dxa"/>
            <w:vAlign w:val="bottom"/>
            <w:gridSpan w:val="13"/>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929">
              <w:r>
                <w:rPr>
                  <w:rFonts w:ascii="Arial" w:cs="Arial" w:eastAsia="Arial" w:hAnsi="Arial"/>
                  <w:sz w:val="18"/>
                  <w:szCs w:val="18"/>
                  <w:color w:val="0000EE"/>
                  <w:w w:val="95"/>
                </w:rPr>
                <w:t>Capitala Business Lending, LLC, as the borrower, Capitala Investment Advisors, LLC, as the</w:t>
              </w:r>
            </w:hyperlink>
          </w:p>
        </w:tc>
        <w:tc>
          <w:tcPr>
            <w:tcW w:w="320" w:type="dxa"/>
            <w:vAlign w:val="bottom"/>
            <w:gridSpan w:val="8"/>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929">
              <w:r>
                <w:rPr>
                  <w:rFonts w:ascii="Arial" w:cs="Arial" w:eastAsia="Arial" w:hAnsi="Arial"/>
                  <w:sz w:val="18"/>
                  <w:szCs w:val="18"/>
                  <w:color w:val="0000EE"/>
                  <w:w w:val="95"/>
                </w:rPr>
                <w:t>collateral manager, the lenders from to time to time parties thereto, KeyBank National</w:t>
              </w:r>
            </w:hyperlink>
          </w:p>
        </w:tc>
        <w:tc>
          <w:tcPr>
            <w:tcW w:w="860" w:type="dxa"/>
            <w:vAlign w:val="bottom"/>
            <w:gridSpan w:val="14"/>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80" w:type="dxa"/>
            <w:vAlign w:val="bottom"/>
            <w:gridSpan w:val="23"/>
          </w:tcPr>
          <w:p>
            <w:pPr>
              <w:spacing w:after="0" w:line="185" w:lineRule="exact"/>
              <w:rPr>
                <w:rFonts w:ascii="Arial" w:cs="Arial" w:eastAsia="Arial" w:hAnsi="Arial"/>
                <w:sz w:val="18"/>
                <w:szCs w:val="18"/>
                <w:u w:val="single" w:color="auto"/>
                <w:color w:val="0000EE"/>
              </w:rPr>
            </w:pPr>
            <w:hyperlink r:id="rId929">
              <w:r>
                <w:rPr>
                  <w:rFonts w:ascii="Arial" w:cs="Arial" w:eastAsia="Arial" w:hAnsi="Arial"/>
                  <w:sz w:val="18"/>
                  <w:szCs w:val="18"/>
                  <w:u w:val="single" w:color="auto"/>
                  <w:color w:val="0000EE"/>
                </w:rPr>
                <w:t>Association, as the administrative agent, and U.S. Bank National Association, as the</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80" w:type="dxa"/>
            <w:vAlign w:val="bottom"/>
            <w:gridSpan w:val="23"/>
          </w:tcPr>
          <w:p>
            <w:pPr>
              <w:spacing w:after="0"/>
              <w:rPr>
                <w:rFonts w:ascii="Arial" w:cs="Arial" w:eastAsia="Arial" w:hAnsi="Arial"/>
                <w:sz w:val="18"/>
                <w:szCs w:val="18"/>
                <w:u w:val="single" w:color="auto"/>
                <w:color w:val="0000EE"/>
              </w:rPr>
            </w:pPr>
            <w:hyperlink r:id="rId929">
              <w:r>
                <w:rPr>
                  <w:rFonts w:ascii="Arial" w:cs="Arial" w:eastAsia="Arial" w:hAnsi="Arial"/>
                  <w:sz w:val="18"/>
                  <w:szCs w:val="18"/>
                  <w:u w:val="single" w:color="auto"/>
                  <w:color w:val="0000EE"/>
                </w:rPr>
                <w:t>custodian</w:t>
              </w:r>
              <w:r>
                <w:rPr>
                  <w:rFonts w:ascii="Arial" w:cs="Arial" w:eastAsia="Arial" w:hAnsi="Arial"/>
                  <w:sz w:val="26"/>
                  <w:szCs w:val="26"/>
                  <w:u w:val="single" w:color="auto"/>
                  <w:color w:val="0000EE"/>
                  <w:vertAlign w:val="superscript"/>
                </w:rPr>
                <w:t>(12)</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640" w:type="dxa"/>
            <w:vAlign w:val="bottom"/>
          </w:tcPr>
          <w:p>
            <w:pPr>
              <w:jc w:val="right"/>
              <w:ind w:right="71"/>
              <w:spacing w:after="0" w:line="190"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6"/>
                <w:szCs w:val="16"/>
                <w:color w:val="auto"/>
              </w:rPr>
            </w:pPr>
          </w:p>
        </w:tc>
        <w:tc>
          <w:tcPr>
            <w:tcW w:w="7380" w:type="dxa"/>
            <w:vAlign w:val="bottom"/>
            <w:gridSpan w:val="23"/>
          </w:tcPr>
          <w:p>
            <w:pPr>
              <w:spacing w:after="0" w:line="190" w:lineRule="exact"/>
              <w:rPr>
                <w:rFonts w:ascii="Arial" w:cs="Arial" w:eastAsia="Arial" w:hAnsi="Arial"/>
                <w:sz w:val="18"/>
                <w:szCs w:val="18"/>
                <w:color w:val="0000EE"/>
                <w:w w:val="97"/>
              </w:rPr>
            </w:pPr>
            <w:hyperlink r:id="rId930">
              <w:r>
                <w:rPr>
                  <w:rFonts w:ascii="Arial" w:cs="Arial" w:eastAsia="Arial" w:hAnsi="Arial"/>
                  <w:sz w:val="18"/>
                  <w:szCs w:val="18"/>
                  <w:color w:val="0000EE"/>
                  <w:w w:val="97"/>
                </w:rPr>
                <w:t>Form of Purchase and Contribution Agreement, dated as of October 30, 2020, by and between</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30">
              <w:r>
                <w:rPr>
                  <w:rFonts w:ascii="Arial" w:cs="Arial" w:eastAsia="Arial" w:hAnsi="Arial"/>
                  <w:sz w:val="18"/>
                  <w:szCs w:val="18"/>
                  <w:color w:val="0000EE"/>
                </w:rPr>
                <w:t>Capitala Business Lending, LLC, as the purchaser, and Capitala Finance Corp., as the</w:t>
              </w:r>
            </w:hyperlink>
          </w:p>
        </w:tc>
        <w:tc>
          <w:tcPr>
            <w:tcW w:w="28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80" w:type="dxa"/>
            <w:vAlign w:val="bottom"/>
            <w:tcBorders>
              <w:top w:val="single" w:sz="8" w:color="0000EE"/>
            </w:tcBorders>
            <w:gridSpan w:val="8"/>
          </w:tcPr>
          <w:p>
            <w:pPr>
              <w:spacing w:after="0" w:line="195" w:lineRule="exact"/>
              <w:rPr>
                <w:rFonts w:ascii="Arial" w:cs="Arial" w:eastAsia="Arial" w:hAnsi="Arial"/>
                <w:sz w:val="16"/>
                <w:szCs w:val="16"/>
                <w:color w:val="0000EE"/>
              </w:rPr>
            </w:pPr>
            <w:hyperlink r:id="rId930">
              <w:r>
                <w:rPr>
                  <w:rFonts w:ascii="Arial" w:cs="Arial" w:eastAsia="Arial" w:hAnsi="Arial"/>
                  <w:sz w:val="16"/>
                  <w:szCs w:val="16"/>
                  <w:color w:val="0000EE"/>
                </w:rPr>
                <w:t>transferor</w:t>
              </w:r>
              <w:r>
                <w:rPr>
                  <w:rFonts w:ascii="Arial" w:cs="Arial" w:eastAsia="Arial" w:hAnsi="Arial"/>
                  <w:sz w:val="22"/>
                  <w:szCs w:val="22"/>
                  <w:u w:val="single" w:color="auto"/>
                  <w:color w:val="0000EE"/>
                  <w:vertAlign w:val="superscript"/>
                </w:rPr>
                <w:t>(12)</w:t>
              </w:r>
            </w:hyperlink>
          </w:p>
        </w:tc>
        <w:tc>
          <w:tcPr>
            <w:tcW w:w="800" w:type="dxa"/>
            <w:vAlign w:val="bottom"/>
            <w:gridSpan w:val="12"/>
          </w:tcPr>
          <w:p>
            <w:pPr>
              <w:spacing w:after="0"/>
              <w:rPr>
                <w:sz w:val="17"/>
                <w:szCs w:val="17"/>
                <w:color w:val="auto"/>
              </w:rPr>
            </w:pPr>
          </w:p>
        </w:tc>
        <w:tc>
          <w:tcPr>
            <w:tcW w:w="10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4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7380" w:type="dxa"/>
            <w:vAlign w:val="bottom"/>
            <w:gridSpan w:val="23"/>
          </w:tcPr>
          <w:p>
            <w:pPr>
              <w:spacing w:after="0"/>
              <w:rPr>
                <w:rFonts w:ascii="Arial" w:cs="Arial" w:eastAsia="Arial" w:hAnsi="Arial"/>
                <w:sz w:val="18"/>
                <w:szCs w:val="18"/>
                <w:u w:val="single" w:color="auto"/>
                <w:color w:val="0000EE"/>
              </w:rPr>
            </w:pPr>
            <w:hyperlink r:id="rId931">
              <w:r>
                <w:rPr>
                  <w:rFonts w:ascii="Arial" w:cs="Arial" w:eastAsia="Arial" w:hAnsi="Arial"/>
                  <w:sz w:val="18"/>
                  <w:szCs w:val="18"/>
                  <w:u w:val="single" w:color="auto"/>
                  <w:color w:val="0000EE"/>
                </w:rPr>
                <w:t>Code of Business Conduct</w:t>
              </w:r>
              <w:r>
                <w:rPr>
                  <w:rFonts w:ascii="Arial" w:cs="Arial" w:eastAsia="Arial" w:hAnsi="Arial"/>
                  <w:sz w:val="26"/>
                  <w:szCs w:val="26"/>
                  <w:u w:val="single" w:color="auto"/>
                  <w:color w:val="0000EE"/>
                  <w:vertAlign w:val="superscript"/>
                </w:rPr>
                <w:t>(1)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4"/>
                <w:szCs w:val="24"/>
                <w:color w:val="auto"/>
              </w:rPr>
            </w:pPr>
          </w:p>
        </w:tc>
        <w:tc>
          <w:tcPr>
            <w:tcW w:w="7380" w:type="dxa"/>
            <w:vAlign w:val="bottom"/>
            <w:gridSpan w:val="23"/>
          </w:tcPr>
          <w:p>
            <w:pPr>
              <w:spacing w:after="0"/>
              <w:rPr>
                <w:rFonts w:ascii="Arial" w:cs="Arial" w:eastAsia="Arial" w:hAnsi="Arial"/>
                <w:sz w:val="18"/>
                <w:szCs w:val="18"/>
                <w:u w:val="single" w:color="auto"/>
                <w:color w:val="0000EE"/>
              </w:rPr>
            </w:pPr>
            <w:hyperlink r:id="rId932">
              <w:r>
                <w:rPr>
                  <w:rFonts w:ascii="Arial" w:cs="Arial" w:eastAsia="Arial" w:hAnsi="Arial"/>
                  <w:sz w:val="18"/>
                  <w:szCs w:val="18"/>
                  <w:u w:val="single" w:color="auto"/>
                  <w:color w:val="0000EE"/>
                </w:rPr>
                <w:t>Code of Ethics</w:t>
              </w:r>
              <w:r>
                <w:rPr>
                  <w:rFonts w:ascii="Arial" w:cs="Arial" w:eastAsia="Arial" w:hAnsi="Arial"/>
                  <w:sz w:val="26"/>
                  <w:szCs w:val="26"/>
                  <w:u w:val="single" w:color="auto"/>
                  <w:color w:val="0000EE"/>
                  <w:vertAlign w:val="superscript"/>
                </w:rPr>
                <w:t>(8)</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7380" w:type="dxa"/>
            <w:vAlign w:val="bottom"/>
            <w:gridSpan w:val="23"/>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List of Subsidiaries (filed herewith)</w:t>
              </w:r>
            </w:hyperlink>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2"/>
                <w:szCs w:val="22"/>
                <w:color w:val="auto"/>
              </w:rPr>
            </w:pPr>
          </w:p>
        </w:tc>
        <w:tc>
          <w:tcPr>
            <w:tcW w:w="7380" w:type="dxa"/>
            <w:vAlign w:val="bottom"/>
            <w:gridSpan w:val="23"/>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Consent of Independent Registered Public Accounting Firm (filed herewith)</w:t>
              </w:r>
            </w:hyperlink>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64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7280" w:type="dxa"/>
            <w:vAlign w:val="bottom"/>
            <w:tcBorders>
              <w:bottom w:val="single" w:sz="8" w:color="0000EE"/>
            </w:tcBorders>
            <w:gridSpan w:val="20"/>
          </w:tcPr>
          <w:p>
            <w:pPr>
              <w:spacing w:after="0" w:line="202" w:lineRule="exact"/>
              <w:rPr>
                <w:rFonts w:ascii="Arial" w:cs="Arial" w:eastAsia="Arial" w:hAnsi="Arial"/>
                <w:sz w:val="18"/>
                <w:szCs w:val="18"/>
                <w:color w:val="0000EE"/>
                <w:w w:val="96"/>
              </w:rPr>
            </w:pPr>
            <w:hyperlink w:anchor="page180">
              <w:r>
                <w:rPr>
                  <w:rFonts w:ascii="Arial" w:cs="Arial" w:eastAsia="Arial" w:hAnsi="Arial"/>
                  <w:sz w:val="18"/>
                  <w:szCs w:val="18"/>
                  <w:color w:val="0000EE"/>
                  <w:w w:val="96"/>
                </w:rPr>
                <w:t>Certification of Chief Executive Officer pursuant to Rule 13a-14 of the Securities Exchange Act</w:t>
              </w:r>
            </w:hyperlink>
          </w:p>
        </w:tc>
        <w:tc>
          <w:tcPr>
            <w:tcW w:w="10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80" w:type="dxa"/>
            <w:vAlign w:val="bottom"/>
            <w:gridSpan w:val="23"/>
          </w:tcPr>
          <w:p>
            <w:pPr>
              <w:spacing w:after="0"/>
              <w:rPr>
                <w:rFonts w:ascii="Arial" w:cs="Arial" w:eastAsia="Arial" w:hAnsi="Arial"/>
                <w:sz w:val="18"/>
                <w:szCs w:val="18"/>
                <w:u w:val="single" w:color="auto"/>
                <w:color w:val="0000EE"/>
                <w:w w:val="97"/>
              </w:rPr>
            </w:pPr>
            <w:hyperlink w:anchor="page180">
              <w:r>
                <w:rPr>
                  <w:rFonts w:ascii="Arial" w:cs="Arial" w:eastAsia="Arial" w:hAnsi="Arial"/>
                  <w:sz w:val="18"/>
                  <w:szCs w:val="18"/>
                  <w:u w:val="single" w:color="auto"/>
                  <w:color w:val="0000EE"/>
                  <w:w w:val="97"/>
                </w:rPr>
                <w:t>of 1934, as adopted pursuant to Section 302 of the Sarbanes-Oxley Act of 2002 (filed herewith)</w:t>
              </w:r>
            </w:hyperlink>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80" w:type="dxa"/>
            <w:vAlign w:val="bottom"/>
            <w:gridSpan w:val="8"/>
          </w:tcPr>
          <w:p>
            <w:pPr>
              <w:ind w:left="308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6800850</wp:posOffset>
            </wp:positionH>
            <wp:positionV relativeFrom="paragraph">
              <wp:posOffset>-7620</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5" w:name="page176"/>
    <w:bookmarkEnd w:id="1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4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7340" w:type="dxa"/>
            <w:vAlign w:val="bottom"/>
            <w:gridSpan w:val="5"/>
          </w:tcPr>
          <w:p>
            <w:pPr>
              <w:ind w:left="2940"/>
              <w:spacing w:after="0"/>
              <w:rPr>
                <w:sz w:val="20"/>
                <w:szCs w:val="20"/>
                <w:color w:val="auto"/>
              </w:rPr>
            </w:pPr>
            <w:r>
              <w:rPr>
                <w:rFonts w:ascii="Arial" w:cs="Arial" w:eastAsia="Arial" w:hAnsi="Arial"/>
                <w:sz w:val="14"/>
                <w:szCs w:val="14"/>
                <w:b w:val="1"/>
                <w:bCs w:val="1"/>
                <w:color w:val="auto"/>
              </w:rPr>
              <w:t>Description of Document</w:t>
            </w:r>
          </w:p>
        </w:tc>
      </w:tr>
      <w:tr>
        <w:trPr>
          <w:trHeight w:val="26"/>
        </w:trPr>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6"/>
        </w:trPr>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17"/>
                <w:szCs w:val="17"/>
                <w:color w:val="auto"/>
              </w:rPr>
            </w:pPr>
          </w:p>
        </w:tc>
        <w:tc>
          <w:tcPr>
            <w:tcW w:w="722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81">
              <w:r>
                <w:rPr>
                  <w:rFonts w:ascii="Arial" w:cs="Arial" w:eastAsia="Arial" w:hAnsi="Arial"/>
                  <w:sz w:val="18"/>
                  <w:szCs w:val="18"/>
                  <w:color w:val="0000EE"/>
                  <w:w w:val="96"/>
                </w:rPr>
                <w:t>Certification of Chief Financial Officer pursuant to Rule 13a-14 of the Securities Exchange Act</w:t>
              </w:r>
            </w:hyperlink>
          </w:p>
        </w:tc>
        <w:tc>
          <w:tcPr>
            <w:tcW w:w="12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gridSpan w:val="5"/>
          </w:tcPr>
          <w:p>
            <w:pPr>
              <w:spacing w:after="0"/>
              <w:rPr>
                <w:rFonts w:ascii="Arial" w:cs="Arial" w:eastAsia="Arial" w:hAnsi="Arial"/>
                <w:sz w:val="18"/>
                <w:szCs w:val="18"/>
                <w:u w:val="single" w:color="auto"/>
                <w:color w:val="0000EE"/>
                <w:w w:val="96"/>
              </w:rPr>
            </w:pPr>
            <w:hyperlink w:anchor="page181">
              <w:r>
                <w:rPr>
                  <w:rFonts w:ascii="Arial" w:cs="Arial" w:eastAsia="Arial" w:hAnsi="Arial"/>
                  <w:sz w:val="18"/>
                  <w:szCs w:val="18"/>
                  <w:u w:val="single" w:color="auto"/>
                  <w:color w:val="0000EE"/>
                  <w:w w:val="96"/>
                </w:rPr>
                <w:t>of 1934, as adopted pursuant to Section 302 of the Sarbanes-Oxley Act of 2002 (filed herewith)</w:t>
              </w:r>
            </w:hyperlink>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18"/>
                <w:szCs w:val="18"/>
                <w:color w:val="auto"/>
              </w:rPr>
            </w:pPr>
          </w:p>
        </w:tc>
        <w:tc>
          <w:tcPr>
            <w:tcW w:w="664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82">
              <w:r>
                <w:rPr>
                  <w:rFonts w:ascii="Arial" w:cs="Arial" w:eastAsia="Arial" w:hAnsi="Arial"/>
                  <w:sz w:val="18"/>
                  <w:szCs w:val="18"/>
                  <w:color w:val="0000EE"/>
                  <w:w w:val="95"/>
                </w:rPr>
                <w:t>Certification of Chief Executive Officer 18 U.S.C. Section 1350, as adopted pursuant to</w:t>
              </w:r>
            </w:hyperlink>
          </w:p>
        </w:tc>
        <w:tc>
          <w:tcPr>
            <w:tcW w:w="700" w:type="dxa"/>
            <w:vAlign w:val="bottom"/>
            <w:gridSpan w:val="2"/>
          </w:tcPr>
          <w:p>
            <w:pPr>
              <w:spacing w:after="0"/>
              <w:rPr>
                <w:sz w:val="18"/>
                <w:szCs w:val="18"/>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82">
              <w:r>
                <w:rPr>
                  <w:rFonts w:ascii="Arial" w:cs="Arial" w:eastAsia="Arial" w:hAnsi="Arial"/>
                  <w:sz w:val="18"/>
                  <w:szCs w:val="18"/>
                  <w:color w:val="0000EE"/>
                  <w:w w:val="96"/>
                </w:rPr>
                <w:t>section 906 of the Sarbanes-Oxley Act of 2002 (filed herewith)</w:t>
              </w:r>
            </w:hyperlink>
          </w:p>
        </w:tc>
        <w:tc>
          <w:tcPr>
            <w:tcW w:w="2560" w:type="dxa"/>
            <w:vAlign w:val="bottom"/>
            <w:gridSpan w:val="4"/>
          </w:tcPr>
          <w:p>
            <w:pPr>
              <w:spacing w:after="0"/>
              <w:rPr>
                <w:sz w:val="17"/>
                <w:szCs w:val="17"/>
                <w:color w:val="auto"/>
              </w:rPr>
            </w:pPr>
          </w:p>
        </w:tc>
      </w:tr>
      <w:tr>
        <w:trPr>
          <w:trHeight w:val="236"/>
        </w:trPr>
        <w:tc>
          <w:tcPr>
            <w:tcW w:w="6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20" w:type="dxa"/>
            <w:vAlign w:val="bottom"/>
          </w:tcPr>
          <w:p>
            <w:pPr>
              <w:spacing w:after="0"/>
              <w:rPr>
                <w:sz w:val="20"/>
                <w:szCs w:val="20"/>
                <w:color w:val="auto"/>
              </w:rPr>
            </w:pPr>
          </w:p>
        </w:tc>
        <w:tc>
          <w:tcPr>
            <w:tcW w:w="6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83">
              <w:r>
                <w:rPr>
                  <w:rFonts w:ascii="Arial" w:cs="Arial" w:eastAsia="Arial" w:hAnsi="Arial"/>
                  <w:sz w:val="18"/>
                  <w:szCs w:val="18"/>
                  <w:color w:val="0000EE"/>
                  <w:w w:val="96"/>
                </w:rPr>
                <w:t>Certification of Chief Financial Officer 18 U.S.C. Section 1350, as adopted pursuant to</w:t>
              </w:r>
            </w:hyperlink>
          </w:p>
        </w:tc>
        <w:tc>
          <w:tcPr>
            <w:tcW w:w="740" w:type="dxa"/>
            <w:vAlign w:val="bottom"/>
            <w:gridSpan w:val="3"/>
          </w:tcPr>
          <w:p>
            <w:pPr>
              <w:spacing w:after="0"/>
              <w:rPr>
                <w:sz w:val="20"/>
                <w:szCs w:val="20"/>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83">
              <w:r>
                <w:rPr>
                  <w:rFonts w:ascii="Arial" w:cs="Arial" w:eastAsia="Arial" w:hAnsi="Arial"/>
                  <w:sz w:val="18"/>
                  <w:szCs w:val="18"/>
                  <w:color w:val="0000EE"/>
                  <w:w w:val="96"/>
                </w:rPr>
                <w:t>section 906 of the Sarbanes-Oxley Act of 2002 (filed herewith)</w:t>
              </w:r>
            </w:hyperlink>
          </w:p>
        </w:tc>
        <w:tc>
          <w:tcPr>
            <w:tcW w:w="2560" w:type="dxa"/>
            <w:vAlign w:val="bottom"/>
            <w:gridSpan w:val="4"/>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35"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21"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21"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35"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August 25, 2015.</w:t>
      </w:r>
    </w:p>
    <w:p>
      <w:pPr>
        <w:spacing w:after="0" w:line="21"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Post-Effective Amendment No. 5 to Capitala Finance Corp.’s registration statement on Form N-2 (File No. 333-204582) filed on May 16, 2017.</w:t>
      </w:r>
    </w:p>
    <w:p>
      <w:pPr>
        <w:spacing w:after="0" w:line="21"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Post-Effective Amendment No. 6 to Capitala Finance Corp.’s registration statement on Form N-2 (File No. 333-204582) filed on May 26, 2017.</w:t>
      </w:r>
    </w:p>
    <w:p>
      <w:pPr>
        <w:spacing w:after="0" w:line="35"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10-K filed on February 27, 2018</w:t>
      </w:r>
    </w:p>
    <w:p>
      <w:pPr>
        <w:spacing w:after="0" w:line="21"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December 31, 2019.</w:t>
      </w:r>
    </w:p>
    <w:p>
      <w:pPr>
        <w:spacing w:after="0" w:line="21"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10-K filed on March 2, 2020.</w:t>
      </w:r>
    </w:p>
    <w:p>
      <w:pPr>
        <w:spacing w:after="0" w:line="35"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August 4, 2020.</w:t>
      </w:r>
    </w:p>
    <w:p>
      <w:pPr>
        <w:spacing w:after="0" w:line="21"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November 3, 2020.</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 Consolidated Financial Statement Schedules</w:t>
      </w:r>
    </w:p>
    <w:p>
      <w:pPr>
        <w:spacing w:after="0" w:line="144"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No consolidated financial statement schedules are filed herewith because (1) such schedules are not required or (2) the information has been presented in the aforementioned consolidated financial statements.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Capitala Finance Corp.</w:t>
      </w:r>
    </w:p>
    <w:p>
      <w:pPr>
        <w:spacing w:after="0" w:line="50" w:lineRule="exact"/>
        <w:rPr>
          <w:sz w:val="20"/>
          <w:szCs w:val="20"/>
          <w:color w:val="auto"/>
        </w:rPr>
      </w:pPr>
    </w:p>
    <w:p>
      <w:pPr>
        <w:ind w:left="1260"/>
        <w:spacing w:after="0"/>
        <w:tabs>
          <w:tab w:leader="none" w:pos="5460" w:val="left"/>
          <w:tab w:leader="none" w:pos="582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23495</wp:posOffset>
            </wp:positionV>
            <wp:extent cx="230568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Capitala Finance Corp.</w:t>
      </w:r>
    </w:p>
    <w:p>
      <w:pPr>
        <w:spacing w:after="0" w:line="251" w:lineRule="exact"/>
        <w:rPr>
          <w:sz w:val="20"/>
          <w:szCs w:val="20"/>
          <w:color w:val="auto"/>
        </w:rPr>
      </w:pPr>
    </w:p>
    <w:p>
      <w:pPr>
        <w:ind w:left="1260"/>
        <w:spacing w:after="0"/>
        <w:tabs>
          <w:tab w:leader="none" w:pos="5460" w:val="left"/>
          <w:tab w:leader="none" w:pos="582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23495</wp:posOffset>
            </wp:positionV>
            <wp:extent cx="230568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Capitala Finance Corp.</w:t>
      </w:r>
    </w:p>
    <w:p>
      <w:pPr>
        <w:spacing w:after="0" w:line="251" w:lineRule="exact"/>
        <w:rPr>
          <w:sz w:val="20"/>
          <w:szCs w:val="20"/>
          <w:color w:val="auto"/>
        </w:rPr>
      </w:pPr>
    </w:p>
    <w:p>
      <w:pPr>
        <w:ind w:left="1260"/>
        <w:spacing w:after="0"/>
        <w:tabs>
          <w:tab w:leader="none" w:pos="5460" w:val="left"/>
          <w:tab w:leader="none" w:pos="582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A. Koonts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23495</wp:posOffset>
            </wp:positionV>
            <wp:extent cx="230568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Kevin A. Koonts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Capitala Finance Corp.</w:t>
      </w:r>
    </w:p>
    <w:p>
      <w:pPr>
        <w:spacing w:after="0" w:line="130" w:lineRule="exact"/>
        <w:rPr>
          <w:sz w:val="20"/>
          <w:szCs w:val="20"/>
          <w:color w:val="auto"/>
        </w:rPr>
      </w:pPr>
    </w:p>
    <w:p>
      <w:pPr>
        <w:jc w:val="both"/>
        <w:ind w:left="1260" w:right="419" w:firstLine="360"/>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ind w:left="68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4540" w:type="dxa"/>
            <w:vAlign w:val="bottom"/>
            <w:gridSpan w:val="2"/>
          </w:tcPr>
          <w:p>
            <w:pPr>
              <w:ind w:left="2020"/>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1940" w:type="dxa"/>
            <w:vAlign w:val="bottom"/>
          </w:tcPr>
          <w:p>
            <w:pPr>
              <w:spacing w:after="0"/>
              <w:rPr>
                <w:sz w:val="20"/>
                <w:szCs w:val="20"/>
                <w:color w:val="auto"/>
              </w:rPr>
            </w:pPr>
            <w:r>
              <w:rPr>
                <w:rFonts w:ascii="Arial" w:cs="Arial" w:eastAsia="Arial" w:hAnsi="Arial"/>
                <w:sz w:val="18"/>
                <w:szCs w:val="18"/>
                <w:color w:val="auto"/>
              </w:rPr>
              <w:t>/s/ Joseph B. Alala III</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Chairman of the</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March 8, 2021</w:t>
            </w:r>
          </w:p>
        </w:tc>
        <w:tc>
          <w:tcPr>
            <w:tcW w:w="0" w:type="dxa"/>
            <w:vAlign w:val="bottom"/>
          </w:tcPr>
          <w:p>
            <w:pPr>
              <w:spacing w:after="0"/>
              <w:rPr>
                <w:sz w:val="1"/>
                <w:szCs w:val="1"/>
                <w:color w:val="auto"/>
              </w:rPr>
            </w:pPr>
          </w:p>
        </w:tc>
      </w:tr>
      <w:tr>
        <w:trPr>
          <w:trHeight w:val="55"/>
        </w:trPr>
        <w:tc>
          <w:tcPr>
            <w:tcW w:w="19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Board of Directors</w:t>
            </w: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940" w:type="dxa"/>
            <w:vAlign w:val="bottom"/>
            <w:vMerge w:val="restart"/>
          </w:tcPr>
          <w:p>
            <w:pPr>
              <w:spacing w:after="0"/>
              <w:rPr>
                <w:sz w:val="20"/>
                <w:szCs w:val="20"/>
                <w:color w:val="auto"/>
              </w:rPr>
            </w:pPr>
            <w:r>
              <w:rPr>
                <w:rFonts w:ascii="Arial" w:cs="Arial" w:eastAsia="Arial" w:hAnsi="Arial"/>
                <w:sz w:val="18"/>
                <w:szCs w:val="18"/>
                <w:color w:val="auto"/>
              </w:rPr>
              <w:t>Joseph B. Alala III</w:t>
            </w:r>
          </w:p>
        </w:tc>
        <w:tc>
          <w:tcPr>
            <w:tcW w:w="220" w:type="dxa"/>
            <w:vAlign w:val="bottom"/>
            <w:vMerge w:val="continue"/>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5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4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0"/>
        </w:trPr>
        <w:tc>
          <w:tcPr>
            <w:tcW w:w="1940" w:type="dxa"/>
            <w:vAlign w:val="bottom"/>
          </w:tcPr>
          <w:p>
            <w:pPr>
              <w:spacing w:after="0"/>
              <w:rPr>
                <w:sz w:val="20"/>
                <w:szCs w:val="20"/>
                <w:color w:val="auto"/>
              </w:rPr>
            </w:pPr>
            <w:r>
              <w:rPr>
                <w:rFonts w:ascii="Arial" w:cs="Arial" w:eastAsia="Arial" w:hAnsi="Arial"/>
                <w:sz w:val="18"/>
                <w:szCs w:val="18"/>
                <w:color w:val="auto"/>
              </w:rPr>
              <w:t>/s/ M. Hunt Broyhill</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March 8, 2021</w:t>
            </w:r>
          </w:p>
        </w:tc>
        <w:tc>
          <w:tcPr>
            <w:tcW w:w="0" w:type="dxa"/>
            <w:vAlign w:val="bottom"/>
          </w:tcPr>
          <w:p>
            <w:pPr>
              <w:spacing w:after="0"/>
              <w:rPr>
                <w:sz w:val="1"/>
                <w:szCs w:val="1"/>
                <w:color w:val="auto"/>
              </w:rPr>
            </w:pPr>
          </w:p>
        </w:tc>
      </w:tr>
      <w:tr>
        <w:trPr>
          <w:trHeight w:val="40"/>
        </w:trPr>
        <w:tc>
          <w:tcPr>
            <w:tcW w:w="1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M. Hunt Broyhill</w:t>
            </w:r>
          </w:p>
        </w:tc>
        <w:tc>
          <w:tcPr>
            <w:tcW w:w="2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/s/ R. Charles Moyer</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March 8, 2021</w:t>
            </w:r>
          </w:p>
        </w:tc>
        <w:tc>
          <w:tcPr>
            <w:tcW w:w="0" w:type="dxa"/>
            <w:vAlign w:val="bottom"/>
          </w:tcPr>
          <w:p>
            <w:pPr>
              <w:spacing w:after="0"/>
              <w:rPr>
                <w:sz w:val="1"/>
                <w:szCs w:val="1"/>
                <w:color w:val="auto"/>
              </w:rPr>
            </w:pPr>
          </w:p>
        </w:tc>
      </w:tr>
      <w:tr>
        <w:trPr>
          <w:trHeight w:val="40"/>
        </w:trPr>
        <w:tc>
          <w:tcPr>
            <w:tcW w:w="1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R. Charles Moyer</w:t>
            </w:r>
          </w:p>
        </w:tc>
        <w:tc>
          <w:tcPr>
            <w:tcW w:w="2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/s/ Larry W. Carroll</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March 8, 2021</w:t>
            </w:r>
          </w:p>
        </w:tc>
        <w:tc>
          <w:tcPr>
            <w:tcW w:w="0" w:type="dxa"/>
            <w:vAlign w:val="bottom"/>
          </w:tcPr>
          <w:p>
            <w:pPr>
              <w:spacing w:after="0"/>
              <w:rPr>
                <w:sz w:val="1"/>
                <w:szCs w:val="1"/>
                <w:color w:val="auto"/>
              </w:rPr>
            </w:pPr>
          </w:p>
        </w:tc>
      </w:tr>
      <w:tr>
        <w:trPr>
          <w:trHeight w:val="40"/>
        </w:trPr>
        <w:tc>
          <w:tcPr>
            <w:tcW w:w="1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Larry W. Carroll</w:t>
            </w:r>
          </w:p>
        </w:tc>
        <w:tc>
          <w:tcPr>
            <w:tcW w:w="2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940" w:type="dxa"/>
            <w:vAlign w:val="bottom"/>
          </w:tcPr>
          <w:p>
            <w:pPr>
              <w:spacing w:after="0"/>
              <w:rPr>
                <w:sz w:val="20"/>
                <w:szCs w:val="20"/>
                <w:color w:val="auto"/>
              </w:rPr>
            </w:pPr>
            <w:r>
              <w:rPr>
                <w:rFonts w:ascii="Arial" w:cs="Arial" w:eastAsia="Arial" w:hAnsi="Arial"/>
                <w:sz w:val="18"/>
                <w:szCs w:val="18"/>
                <w:color w:val="auto"/>
              </w:rPr>
              <w:t>/s/ H. Paul Chapman</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March 8, 2021</w:t>
            </w:r>
          </w:p>
        </w:tc>
        <w:tc>
          <w:tcPr>
            <w:tcW w:w="0" w:type="dxa"/>
            <w:vAlign w:val="bottom"/>
          </w:tcPr>
          <w:p>
            <w:pPr>
              <w:spacing w:after="0"/>
              <w:rPr>
                <w:sz w:val="1"/>
                <w:szCs w:val="1"/>
                <w:color w:val="auto"/>
              </w:rPr>
            </w:pPr>
          </w:p>
        </w:tc>
      </w:tr>
      <w:tr>
        <w:trPr>
          <w:trHeight w:val="40"/>
        </w:trPr>
        <w:tc>
          <w:tcPr>
            <w:tcW w:w="1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H. Paul Chapman</w:t>
            </w:r>
          </w:p>
        </w:tc>
        <w:tc>
          <w:tcPr>
            <w:tcW w:w="2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jc w:val="right"/>
        <w:ind w:right="399"/>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List of Subsidiaries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CapitalSouth Partners Fund II Limited Partnership (North Carolina)</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CapitalSouth Partners F-II, LLC (North Carolina)</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CapitalSouth Partners SBIC Fund III, L.P. (Delaware)</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CapitalSouth Partners SBIC F-III, LLC (North Carolina)</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CPTA Master Blocker, Inc. (Georgia)</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Capitala Business Lending,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6829425</wp:posOffset>
            </wp:positionV>
            <wp:extent cx="6806565" cy="171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78" w:name="page179"/>
    <w:bookmarkEnd w:id="178"/>
    <w:p>
      <w:pPr>
        <w:jc w:val="right"/>
        <w:ind w:right="39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jc w:val="both"/>
        <w:ind w:left="400" w:right="419" w:firstLine="3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N-2 No. 333-230336) of Capitala Finance Corp. and in the related Prospectus of our report dated March 8, 2021, with respect to the consolidated financial statements of Capitala Finance Corp. included in this Annual Report (Form 10-K) for the year ended December 31, 2020.</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6503670</wp:posOffset>
            </wp:positionV>
            <wp:extent cx="6806565"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79" w:name="page180"/>
    <w:bookmarkEnd w:id="179"/>
    <w:p>
      <w:pPr>
        <w:jc w:val="right"/>
        <w:ind w:right="39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400" w:right="439"/>
        <w:spacing w:after="0" w:line="250"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 Joseph B. Alala III, certify that:</w:t>
      </w:r>
    </w:p>
    <w:p>
      <w:pPr>
        <w:spacing w:after="0" w:line="158" w:lineRule="exact"/>
        <w:rPr>
          <w:sz w:val="20"/>
          <w:szCs w:val="20"/>
          <w:color w:val="auto"/>
        </w:rPr>
      </w:pPr>
    </w:p>
    <w:p>
      <w:pPr>
        <w:ind w:left="1120" w:hanging="360"/>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44" w:lineRule="exact"/>
        <w:rPr>
          <w:rFonts w:ascii="Arial" w:cs="Arial" w:eastAsia="Arial" w:hAnsi="Arial"/>
          <w:sz w:val="18"/>
          <w:szCs w:val="18"/>
          <w:color w:val="auto"/>
        </w:rPr>
      </w:pPr>
    </w:p>
    <w:p>
      <w:pPr>
        <w:jc w:val="both"/>
        <w:ind w:left="1120" w:right="419" w:hanging="360"/>
        <w:spacing w:after="0" w:line="259"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8"/>
          <w:szCs w:val="18"/>
          <w:color w:val="auto"/>
        </w:rPr>
      </w:pPr>
    </w:p>
    <w:p>
      <w:pPr>
        <w:jc w:val="both"/>
        <w:ind w:left="1120" w:right="419" w:hanging="360"/>
        <w:spacing w:after="0" w:line="286" w:lineRule="auto"/>
        <w:tabs>
          <w:tab w:leader="none" w:pos="11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7"/>
          <w:szCs w:val="17"/>
          <w:color w:val="auto"/>
        </w:rPr>
      </w:pPr>
    </w:p>
    <w:p>
      <w:pPr>
        <w:jc w:val="both"/>
        <w:ind w:left="1120" w:right="419" w:hanging="360"/>
        <w:spacing w:after="0" w:line="279" w:lineRule="auto"/>
        <w:tabs>
          <w:tab w:leader="none" w:pos="11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90" w:lineRule="exact"/>
        <w:rPr>
          <w:rFonts w:ascii="Arial" w:cs="Arial" w:eastAsia="Arial" w:hAnsi="Arial"/>
          <w:sz w:val="17"/>
          <w:szCs w:val="17"/>
          <w:color w:val="auto"/>
        </w:rPr>
      </w:pPr>
    </w:p>
    <w:p>
      <w:pPr>
        <w:jc w:val="both"/>
        <w:ind w:left="1480" w:right="419" w:hanging="360"/>
        <w:spacing w:after="0" w:line="259"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480" w:right="419" w:hanging="360"/>
        <w:spacing w:after="0" w:line="279" w:lineRule="auto"/>
        <w:tabs>
          <w:tab w:leader="none" w:pos="14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7"/>
          <w:szCs w:val="17"/>
          <w:color w:val="auto"/>
        </w:rPr>
      </w:pPr>
    </w:p>
    <w:p>
      <w:pPr>
        <w:jc w:val="both"/>
        <w:ind w:left="1480" w:right="419" w:hanging="360"/>
        <w:spacing w:after="0" w:line="286" w:lineRule="auto"/>
        <w:tabs>
          <w:tab w:leader="none" w:pos="14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84" w:lineRule="exact"/>
        <w:rPr>
          <w:rFonts w:ascii="Arial" w:cs="Arial" w:eastAsia="Arial" w:hAnsi="Arial"/>
          <w:sz w:val="17"/>
          <w:szCs w:val="17"/>
          <w:color w:val="auto"/>
        </w:rPr>
      </w:pPr>
    </w:p>
    <w:p>
      <w:pPr>
        <w:jc w:val="both"/>
        <w:ind w:left="1480" w:right="419" w:hanging="360"/>
        <w:spacing w:after="0" w:line="279" w:lineRule="auto"/>
        <w:tabs>
          <w:tab w:leader="none" w:pos="14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7"/>
          <w:szCs w:val="17"/>
          <w:color w:val="auto"/>
        </w:rPr>
      </w:pPr>
    </w:p>
    <w:p>
      <w:pPr>
        <w:jc w:val="both"/>
        <w:ind w:left="1120" w:right="419" w:hanging="360"/>
        <w:spacing w:after="0" w:line="286" w:lineRule="auto"/>
        <w:tabs>
          <w:tab w:leader="none" w:pos="11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jc w:val="both"/>
        <w:ind w:left="1480" w:right="419" w:hanging="360"/>
        <w:spacing w:after="0" w:line="263"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1480" w:right="419" w:hanging="360"/>
        <w:spacing w:after="0" w:line="277"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March 8, 2021</w:t>
      </w:r>
    </w:p>
    <w:p>
      <w:pPr>
        <w:spacing w:after="0" w:line="14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48895</wp:posOffset>
            </wp:positionV>
            <wp:extent cx="270002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605790</wp:posOffset>
            </wp:positionV>
            <wp:extent cx="6806565" cy="171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80" w:name="page181"/>
    <w:bookmarkEnd w:id="180"/>
    <w:p>
      <w:pPr>
        <w:jc w:val="right"/>
        <w:ind w:right="39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400" w:right="439"/>
        <w:spacing w:after="0" w:line="250"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 Stephen A. Arnall, certify that:</w:t>
      </w:r>
    </w:p>
    <w:p>
      <w:pPr>
        <w:spacing w:after="0" w:line="158" w:lineRule="exact"/>
        <w:rPr>
          <w:sz w:val="20"/>
          <w:szCs w:val="20"/>
          <w:color w:val="auto"/>
        </w:rPr>
      </w:pPr>
    </w:p>
    <w:p>
      <w:pPr>
        <w:ind w:left="1120" w:hanging="360"/>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44" w:lineRule="exact"/>
        <w:rPr>
          <w:rFonts w:ascii="Arial" w:cs="Arial" w:eastAsia="Arial" w:hAnsi="Arial"/>
          <w:sz w:val="18"/>
          <w:szCs w:val="18"/>
          <w:color w:val="auto"/>
        </w:rPr>
      </w:pPr>
    </w:p>
    <w:p>
      <w:pPr>
        <w:jc w:val="both"/>
        <w:ind w:left="1120" w:right="419" w:hanging="360"/>
        <w:spacing w:after="0" w:line="259" w:lineRule="auto"/>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8"/>
          <w:szCs w:val="18"/>
          <w:color w:val="auto"/>
        </w:rPr>
      </w:pPr>
    </w:p>
    <w:p>
      <w:pPr>
        <w:jc w:val="both"/>
        <w:ind w:left="1120" w:right="419" w:hanging="360"/>
        <w:spacing w:after="0" w:line="286" w:lineRule="auto"/>
        <w:tabs>
          <w:tab w:leader="none" w:pos="11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7"/>
          <w:szCs w:val="17"/>
          <w:color w:val="auto"/>
        </w:rPr>
      </w:pPr>
    </w:p>
    <w:p>
      <w:pPr>
        <w:jc w:val="both"/>
        <w:ind w:left="1120" w:right="419" w:hanging="360"/>
        <w:spacing w:after="0" w:line="279" w:lineRule="auto"/>
        <w:tabs>
          <w:tab w:leader="none" w:pos="11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90" w:lineRule="exact"/>
        <w:rPr>
          <w:rFonts w:ascii="Arial" w:cs="Arial" w:eastAsia="Arial" w:hAnsi="Arial"/>
          <w:sz w:val="17"/>
          <w:szCs w:val="17"/>
          <w:color w:val="auto"/>
        </w:rPr>
      </w:pPr>
    </w:p>
    <w:p>
      <w:pPr>
        <w:jc w:val="both"/>
        <w:ind w:left="1480" w:right="419" w:hanging="360"/>
        <w:spacing w:after="0" w:line="259"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480" w:right="419" w:hanging="360"/>
        <w:spacing w:after="0" w:line="279" w:lineRule="auto"/>
        <w:tabs>
          <w:tab w:leader="none" w:pos="14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7"/>
          <w:szCs w:val="17"/>
          <w:color w:val="auto"/>
        </w:rPr>
      </w:pPr>
    </w:p>
    <w:p>
      <w:pPr>
        <w:jc w:val="both"/>
        <w:ind w:left="1480" w:right="419" w:hanging="360"/>
        <w:spacing w:after="0" w:line="286" w:lineRule="auto"/>
        <w:tabs>
          <w:tab w:leader="none" w:pos="14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84" w:lineRule="exact"/>
        <w:rPr>
          <w:rFonts w:ascii="Arial" w:cs="Arial" w:eastAsia="Arial" w:hAnsi="Arial"/>
          <w:sz w:val="17"/>
          <w:szCs w:val="17"/>
          <w:color w:val="auto"/>
        </w:rPr>
      </w:pPr>
    </w:p>
    <w:p>
      <w:pPr>
        <w:jc w:val="both"/>
        <w:ind w:left="1480" w:right="419" w:hanging="360"/>
        <w:spacing w:after="0" w:line="279" w:lineRule="auto"/>
        <w:tabs>
          <w:tab w:leader="none" w:pos="14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7"/>
          <w:szCs w:val="17"/>
          <w:color w:val="auto"/>
        </w:rPr>
      </w:pPr>
    </w:p>
    <w:p>
      <w:pPr>
        <w:jc w:val="both"/>
        <w:ind w:left="1120" w:right="419" w:hanging="360"/>
        <w:spacing w:after="0" w:line="286" w:lineRule="auto"/>
        <w:tabs>
          <w:tab w:leader="none" w:pos="11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jc w:val="both"/>
        <w:ind w:left="1480" w:right="419" w:hanging="360"/>
        <w:spacing w:after="0" w:line="263"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1480" w:right="419" w:hanging="360"/>
        <w:spacing w:after="0" w:line="277"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March 8, 2021</w:t>
      </w:r>
    </w:p>
    <w:p>
      <w:pPr>
        <w:spacing w:after="0" w:line="14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48895</wp:posOffset>
            </wp:positionV>
            <wp:extent cx="270002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5">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605790</wp:posOffset>
            </wp:positionV>
            <wp:extent cx="6806565" cy="171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81" w:name="page182"/>
    <w:bookmarkEnd w:id="181"/>
    <w:p>
      <w:pPr>
        <w:jc w:val="right"/>
        <w:ind w:right="39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400" w:right="419"/>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99" w:lineRule="exact"/>
        <w:rPr>
          <w:sz w:val="20"/>
          <w:szCs w:val="20"/>
          <w:color w:val="auto"/>
        </w:rPr>
      </w:pPr>
    </w:p>
    <w:p>
      <w:pPr>
        <w:jc w:val="both"/>
        <w:ind w:left="400" w:right="419" w:firstLine="360"/>
        <w:spacing w:after="0" w:line="259" w:lineRule="auto"/>
        <w:rPr>
          <w:sz w:val="20"/>
          <w:szCs w:val="20"/>
          <w:color w:val="auto"/>
        </w:rPr>
      </w:pPr>
      <w:r>
        <w:rPr>
          <w:rFonts w:ascii="Arial" w:cs="Arial" w:eastAsia="Arial" w:hAnsi="Arial"/>
          <w:sz w:val="18"/>
          <w:szCs w:val="18"/>
          <w:color w:val="auto"/>
        </w:rPr>
        <w:t>In connection with the Annual Report on Form 10-K of Capitala Finance Corp. (the “Company”) for the annual period ended December 31, 2020, as filed with the Securities Exchange Commission on the date hereof (the “Report”), I, Joseph B. Alala III, Chief Executive Officer of the Company, certify, pursuant to Section 906 of the Sarbanes-Oxley Act of 2002, that:</w:t>
      </w:r>
    </w:p>
    <w:p>
      <w:pPr>
        <w:spacing w:after="0" w:line="119" w:lineRule="exact"/>
        <w:rPr>
          <w:sz w:val="20"/>
          <w:szCs w:val="20"/>
          <w:color w:val="auto"/>
        </w:rPr>
      </w:pPr>
    </w:p>
    <w:p>
      <w:pPr>
        <w:ind w:left="1120" w:right="419" w:hanging="360"/>
        <w:spacing w:after="0" w:line="277" w:lineRule="auto"/>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1120" w:right="419" w:hanging="360"/>
        <w:spacing w:after="0" w:line="277" w:lineRule="auto"/>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March 8, 2021</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48895</wp:posOffset>
            </wp:positionV>
            <wp:extent cx="246888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5029200</wp:posOffset>
            </wp:positionV>
            <wp:extent cx="6806565" cy="171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82" w:name="page183"/>
    <w:bookmarkEnd w:id="182"/>
    <w:p>
      <w:pPr>
        <w:jc w:val="right"/>
        <w:ind w:right="39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400" w:right="419"/>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99" w:lineRule="exact"/>
        <w:rPr>
          <w:sz w:val="20"/>
          <w:szCs w:val="20"/>
          <w:color w:val="auto"/>
        </w:rPr>
      </w:pPr>
    </w:p>
    <w:p>
      <w:pPr>
        <w:jc w:val="both"/>
        <w:ind w:left="400" w:right="419" w:firstLine="360"/>
        <w:spacing w:after="0" w:line="259" w:lineRule="auto"/>
        <w:rPr>
          <w:sz w:val="20"/>
          <w:szCs w:val="20"/>
          <w:color w:val="auto"/>
        </w:rPr>
      </w:pPr>
      <w:r>
        <w:rPr>
          <w:rFonts w:ascii="Arial" w:cs="Arial" w:eastAsia="Arial" w:hAnsi="Arial"/>
          <w:sz w:val="18"/>
          <w:szCs w:val="18"/>
          <w:color w:val="auto"/>
        </w:rPr>
        <w:t>In connection with the Annual Report on Form 10-K of Capitala Finance Corp. (the “Company”) for the annual period ended December 31, 2020, as filed with the Securities Exchange Commission on the date hereof (the “Report”), I, Stephen A. Arnall, Chief Financial Officer of the Company, certify, pursuant to Section 906 of the Sarbanes-Oxley Act of 2002, that:</w:t>
      </w:r>
    </w:p>
    <w:p>
      <w:pPr>
        <w:spacing w:after="0" w:line="119" w:lineRule="exact"/>
        <w:rPr>
          <w:sz w:val="20"/>
          <w:szCs w:val="20"/>
          <w:color w:val="auto"/>
        </w:rPr>
      </w:pPr>
    </w:p>
    <w:p>
      <w:pPr>
        <w:ind w:left="1120" w:right="419" w:hanging="360"/>
        <w:spacing w:after="0" w:line="277"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1120" w:right="419" w:hanging="360"/>
        <w:spacing w:after="0" w:line="277"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March 8, 2021</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48895</wp:posOffset>
            </wp:positionV>
            <wp:extent cx="223710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4840605</wp:posOffset>
            </wp:positionV>
            <wp:extent cx="6806565"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9019"/>
      </w:cols>
      <w:pgMar w:left="1440" w:top="1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1"/>
      <w:numFmt w:val="bullet"/>
      <w:start w:val="1"/>
    </w:lvl>
  </w:abstractNum>
  <w:abstractNum w:abstractNumId="13">
    <w:nsid w:val="10233C99"/>
    <w:multiLevelType w:val="hybridMultilevel"/>
    <w:lvl w:ilvl="0">
      <w:lvlJc w:val="left"/>
      <w:lvlText w:val="2"/>
      <w:numFmt w:val="bullet"/>
      <w:start w:val="1"/>
    </w:lvl>
  </w:abstractNum>
  <w:abstractNum w:abstractNumId="14">
    <w:nsid w:val="3F6AB60F"/>
    <w:multiLevelType w:val="hybridMultilevel"/>
    <w:lvl w:ilvl="0">
      <w:lvlJc w:val="left"/>
      <w:lvlText w:val="3"/>
      <w:numFmt w:val="bullet"/>
      <w:start w:val="1"/>
    </w:lvl>
  </w:abstractNum>
  <w:abstractNum w:abstractNumId="15">
    <w:nsid w:val="61574095"/>
    <w:multiLevelType w:val="hybridMultilevel"/>
    <w:lvl w:ilvl="0">
      <w:lvlJc w:val="left"/>
      <w:lvlText w:val="4"/>
      <w:numFmt w:val="bullet"/>
      <w:start w:val="1"/>
    </w:lvl>
  </w:abstractNum>
  <w:abstractNum w:abstractNumId="16">
    <w:nsid w:val="7E0C57B1"/>
    <w:multiLevelType w:val="hybridMultilevel"/>
    <w:lvl w:ilvl="0">
      <w:lvlJc w:val="left"/>
      <w:lvlText w:val="5"/>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lowerLetter"/>
      <w:start w:val="2"/>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1)"/>
      <w:numFmt w:val="lowerLetter"/>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1)"/>
      <w:numFmt w:val="lowerRoman"/>
      <w:start w:val="2"/>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lvl w:ilvl="1">
      <w:lvlJc w:val="left"/>
      <w:lvlText w:val="•"/>
      <w:numFmt w:val="bullet"/>
      <w:start w:val="1"/>
    </w:lvl>
  </w:abstractNum>
  <w:abstractNum w:abstractNumId="39">
    <w:nsid w:val="5DC79EA8"/>
    <w:multiLevelType w:val="hybridMultilevel"/>
    <w:lvl w:ilvl="0">
      <w:lvlJc w:val="left"/>
      <w:lvlText w:val="(%1)"/>
      <w:numFmt w:val="lowerLetter"/>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1)"/>
      <w:numFmt w:val="decimal"/>
      <w:start w:val="2"/>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1)"/>
      <w:numFmt w:val="decimal"/>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7"/>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1"/>
      <w:numFmt w:val="bullet"/>
      <w:start w:val="1"/>
    </w:lvl>
  </w:abstractNum>
  <w:abstractNum w:abstractNumId="59">
    <w:nsid w:val="100F59DC"/>
    <w:multiLevelType w:val="hybridMultilevel"/>
    <w:lvl w:ilvl="0">
      <w:lvlJc w:val="left"/>
      <w:lvlText w:val="2"/>
      <w:numFmt w:val="bullet"/>
      <w:start w:val="1"/>
    </w:lvl>
  </w:abstractNum>
  <w:abstractNum w:abstractNumId="60">
    <w:nsid w:val="7FB7E0AA"/>
    <w:multiLevelType w:val="hybridMultilevel"/>
    <w:lvl w:ilvl="0">
      <w:lvlJc w:val="left"/>
      <w:lvlText w:val="3"/>
      <w:numFmt w:val="bullet"/>
      <w:start w:val="1"/>
    </w:lvl>
  </w:abstractNum>
  <w:abstractNum w:abstractNumId="61">
    <w:nsid w:val="6EB5BD4"/>
    <w:multiLevelType w:val="hybridMultilevel"/>
    <w:lvl w:ilvl="0">
      <w:lvlJc w:val="left"/>
      <w:lvlText w:val="4"/>
      <w:numFmt w:val="bullet"/>
      <w:start w:val="1"/>
    </w:lvl>
  </w:abstractNum>
  <w:abstractNum w:abstractNumId="62">
    <w:nsid w:val="6F6DD9AC"/>
    <w:multiLevelType w:val="hybridMultilevel"/>
    <w:lvl w:ilvl="0">
      <w:lvlJc w:val="left"/>
      <w:lvlText w:val="5"/>
      <w:numFmt w:val="bullet"/>
      <w:start w:val="1"/>
    </w:lvl>
  </w:abstractNum>
  <w:abstractNum w:abstractNumId="63">
    <w:nsid w:val="94211F2"/>
    <w:multiLevelType w:val="hybridMultilevel"/>
    <w:lvl w:ilvl="0">
      <w:lvlJc w:val="left"/>
      <w:lvlText w:val="(%1)"/>
      <w:numFmt w:val="decimal"/>
      <w:start w:val="1"/>
    </w:lvl>
  </w:abstractNum>
  <w:abstractNum w:abstractNumId="64">
    <w:nsid w:val="885E1B"/>
    <w:multiLevelType w:val="hybridMultilevel"/>
    <w:lvl w:ilvl="0">
      <w:lvlJc w:val="left"/>
      <w:lvlText w:val="(%1)"/>
      <w:numFmt w:val="decimal"/>
      <w:start w:val="2"/>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1)"/>
      <w:numFmt w:val="decimal"/>
      <w:start w:val="1"/>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decimal"/>
      <w:start w:val="12"/>
    </w:lvl>
  </w:abstractNum>
  <w:abstractNum w:abstractNumId="72">
    <w:nsid w:val="2DF6D648"/>
    <w:multiLevelType w:val="hybridMultilevel"/>
    <w:lvl w:ilvl="0">
      <w:lvlJc w:val="left"/>
      <w:lvlText w:val="(%1)"/>
      <w:numFmt w:val="decimal"/>
      <w:start w:val="1"/>
    </w:lvl>
  </w:abstractNum>
  <w:abstractNum w:abstractNumId="73">
    <w:nsid w:val="46B7D447"/>
    <w:multiLevelType w:val="hybridMultilevel"/>
    <w:lvl w:ilvl="0">
      <w:lvlJc w:val="left"/>
      <w:lvlText w:val="(%1)"/>
      <w:numFmt w:val="decimal"/>
      <w:start w:val="5"/>
    </w:lvl>
  </w:abstractNum>
  <w:abstractNum w:abstractNumId="74">
    <w:nsid w:val="4A2AC315"/>
    <w:multiLevelType w:val="hybridMultilevel"/>
    <w:lvl w:ilvl="0">
      <w:lvlJc w:val="left"/>
      <w:lvlText w:val="%1"/>
      <w:numFmt w:val="upperLetter"/>
      <w:start w:val="35"/>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decimal"/>
      <w:start w:val="1"/>
    </w:lvl>
  </w:abstractNum>
  <w:abstractNum w:abstractNumId="83">
    <w:nsid w:val="7055A5F5"/>
    <w:multiLevelType w:val="hybridMultilevel"/>
    <w:lvl w:ilvl="0">
      <w:lvlJc w:val="left"/>
      <w:lvlText w:val="(%1)"/>
      <w:numFmt w:val="decimal"/>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1)"/>
      <w:numFmt w:val="lowerLetter"/>
      <w:start w:val="2"/>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1"/>
    </w:lvl>
  </w:abstractNum>
  <w:abstractNum w:abstractNumId="89">
    <w:nsid w:val="7672BD23"/>
    <w:multiLevelType w:val="hybridMultilevel"/>
    <w:lvl w:ilvl="0">
      <w:lvlJc w:val="left"/>
      <w:lvlText w:val="(%1)"/>
      <w:numFmt w:val="decimal"/>
      <w:start w:val="1"/>
    </w:lvl>
  </w:abstractNum>
  <w:abstractNum w:abstractNumId="90">
    <w:nsid w:val="6FC75AF8"/>
    <w:multiLevelType w:val="hybridMultilevel"/>
    <w:lvl w:ilvl="0">
      <w:lvlJc w:val="left"/>
      <w:lvlText w:val="(%1)"/>
      <w:numFmt w:val="decimal"/>
      <w:start w:val="1"/>
    </w:lvl>
  </w:abstractNum>
  <w:abstractNum w:abstractNumId="91">
    <w:nsid w:val="6A5F7029"/>
    <w:multiLevelType w:val="hybridMultilevel"/>
    <w:lvl w:ilvl="0">
      <w:lvlJc w:val="left"/>
      <w:lvlText w:val="(%1)"/>
      <w:numFmt w:val="decimal"/>
      <w:start w:val="1"/>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1)"/>
      <w:numFmt w:val="decimal"/>
      <w:start w:val="1"/>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1)"/>
      <w:numFmt w:val="decimal"/>
      <w:start w:val="1"/>
    </w:lvl>
    <w:lvl w:ilvl="1">
      <w:lvlJc w:val="left"/>
      <w:lvlText w:val="(%2)"/>
      <w:numFmt w:val="lowerRoman"/>
      <w:start w:val="1"/>
    </w:lvl>
  </w:abstractNum>
  <w:abstractNum w:abstractNumId="97">
    <w:nsid w:val="3FA62ACA"/>
    <w:multiLevelType w:val="hybridMultilevel"/>
    <w:lvl w:ilvl="0">
      <w:lvlJc w:val="left"/>
      <w:lvlText w:val="%1"/>
      <w:numFmt w:val="decimal"/>
      <w:start w:val="1"/>
    </w:lvl>
    <w:lvl w:ilvl="1">
      <w:lvlJc w:val="left"/>
      <w:lvlText w:val="(%2)"/>
      <w:numFmt w:val="lowerRoman"/>
      <w:start w:val="5"/>
    </w:lvl>
  </w:abstractNum>
  <w:abstractNum w:abstractNumId="98">
    <w:nsid w:val="14FCE74E"/>
    <w:multiLevelType w:val="hybridMultilevel"/>
    <w:lvl w:ilvl="0">
      <w:lvlJc w:val="left"/>
      <w:lvlText w:val="(%1)"/>
      <w:numFmt w:val="decimal"/>
      <w:start w:val="5"/>
    </w:lvl>
    <w:lvl w:ilvl="1">
      <w:lvlJc w:val="left"/>
      <w:lvlText w:val="%2"/>
      <w:numFmt w:val="lowerRoman"/>
      <w:start w:val="1"/>
    </w:lvl>
  </w:abstractNum>
  <w:abstractNum w:abstractNumId="99">
    <w:nsid w:val="6A3DD3E8"/>
    <w:multiLevelType w:val="hybridMultilevel"/>
    <w:lvl w:ilvl="0">
      <w:lvlJc w:val="left"/>
      <w:lvlText w:val="(%1)"/>
      <w:numFmt w:val="decimal"/>
      <w:start w:val="6"/>
    </w:lvl>
  </w:abstractNum>
  <w:abstractNum w:abstractNumId="100">
    <w:nsid w:val="71C91298"/>
    <w:multiLevelType w:val="hybridMultilevel"/>
    <w:lvl w:ilvl="0">
      <w:lvlJc w:val="left"/>
      <w:lvlText w:val="(%1)"/>
      <w:numFmt w:val="decimal"/>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1)"/>
      <w:numFmt w:val="decimal"/>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33" Type="http://schemas.openxmlformats.org/officeDocument/2006/relationships/image" Target="media/image903.png"/><Relationship Id="rId934" Type="http://schemas.openxmlformats.org/officeDocument/2006/relationships/image" Target="media/image904.png"/><Relationship Id="rId935" Type="http://schemas.openxmlformats.org/officeDocument/2006/relationships/image" Target="media/image905.png"/><Relationship Id="rId936" Type="http://schemas.openxmlformats.org/officeDocument/2006/relationships/image" Target="media/image906.png"/><Relationship Id="rId937" Type="http://schemas.openxmlformats.org/officeDocument/2006/relationships/image" Target="media/image907.png"/><Relationship Id="rId938" Type="http://schemas.openxmlformats.org/officeDocument/2006/relationships/image" Target="media/image908.png"/><Relationship Id="rId939" Type="http://schemas.openxmlformats.org/officeDocument/2006/relationships/image" Target="media/image909.png"/><Relationship Id="rId940" Type="http://schemas.openxmlformats.org/officeDocument/2006/relationships/image" Target="media/image910.png"/><Relationship Id="rId941" Type="http://schemas.openxmlformats.org/officeDocument/2006/relationships/image" Target="media/image911.png"/><Relationship Id="rId942" Type="http://schemas.openxmlformats.org/officeDocument/2006/relationships/image" Target="media/image912.png"/><Relationship Id="rId943" Type="http://schemas.openxmlformats.org/officeDocument/2006/relationships/image" Target="media/image913.png"/><Relationship Id="rId944" Type="http://schemas.openxmlformats.org/officeDocument/2006/relationships/image" Target="media/image914.png"/><Relationship Id="rId945" Type="http://schemas.openxmlformats.org/officeDocument/2006/relationships/image" Target="media/image915.png"/><Relationship Id="rId946" Type="http://schemas.openxmlformats.org/officeDocument/2006/relationships/image" Target="media/image916.png"/><Relationship Id="rId947" Type="http://schemas.openxmlformats.org/officeDocument/2006/relationships/image" Target="media/image917.png"/><Relationship Id="rId948" Type="http://schemas.openxmlformats.org/officeDocument/2006/relationships/image" Target="media/image918.png"/><Relationship Id="rId949" Type="http://schemas.openxmlformats.org/officeDocument/2006/relationships/image" Target="media/image919.png"/><Relationship Id="rId950" Type="http://schemas.openxmlformats.org/officeDocument/2006/relationships/image" Target="media/image920.png"/><Relationship Id="rId910" Type="http://schemas.openxmlformats.org/officeDocument/2006/relationships/hyperlink" Target="https://www.sec.gov/Archives/edgar/data/1221483/000119312513361263/d505298dex99a1.htm" TargetMode="External"/><Relationship Id="rId911" Type="http://schemas.openxmlformats.org/officeDocument/2006/relationships/hyperlink" Target="https://www.sec.gov/Archives/edgar/data/1571329/000110465920090336/tm2026478d1_ex3-1.htm" TargetMode="External"/><Relationship Id="rId912" Type="http://schemas.openxmlformats.org/officeDocument/2006/relationships/hyperlink" Target="https://www.sec.gov/Archives/edgar/data/1221483/000119312513368439/d505298dex99n3.htm" TargetMode="External"/><Relationship Id="rId913" Type="http://schemas.openxmlformats.org/officeDocument/2006/relationships/hyperlink" Target="https://www.sec.gov/Archives/edgar/data/1221483/000119312513368439/d505298dex99n5.htm" TargetMode="External"/><Relationship Id="rId914" Type="http://schemas.openxmlformats.org/officeDocument/2006/relationships/hyperlink" Target="https://www.sec.gov/Archives/edgar/data/1221483/000119312513361263/d505298dex99b1.htm" TargetMode="External"/><Relationship Id="rId915" Type="http://schemas.openxmlformats.org/officeDocument/2006/relationships/hyperlink" Target="https://www.sec.gov/Archives/edgar/data/1571329/000119312513376445/d505298dex99b2.htm" TargetMode="External"/><Relationship Id="rId916" Type="http://schemas.openxmlformats.org/officeDocument/2006/relationships/hyperlink" Target="https://www.sec.gov/Archives/edgar/data/1571329/000119312513376445/d505298dex99b3.htm" TargetMode="External"/><Relationship Id="rId917" Type="http://schemas.openxmlformats.org/officeDocument/2006/relationships/hyperlink" Target="https://www.sec.gov/Archives/edgar/data/1221483/000119312513361263/d505298dex99d1.htm" TargetMode="External"/><Relationship Id="rId918" Type="http://schemas.openxmlformats.org/officeDocument/2006/relationships/hyperlink" Target="https://www.sec.gov/Archives/edgar/data/1571329/000114420414032811/v373541_ex99d2.htm" TargetMode="External"/><Relationship Id="rId919" Type="http://schemas.openxmlformats.org/officeDocument/2006/relationships/hyperlink" Target="https://www.sec.gov/Archives/edgar/data/1571329/000114420417027816/v466865_ex99d5.htm" TargetMode="External"/><Relationship Id="rId920" Type="http://schemas.openxmlformats.org/officeDocument/2006/relationships/hyperlink" Target="https://www.sec.gov/Archives/edgar/data/1571329/000114420417029707/v467748_ex99d6.htm" TargetMode="External"/><Relationship Id="rId921" Type="http://schemas.openxmlformats.org/officeDocument/2006/relationships/hyperlink" Target="https://www.sec.gov/Archives/edgar/data/1571329/000110465920027898/tm2010843d2_ex4-5.htm" TargetMode="External"/><Relationship Id="rId922" Type="http://schemas.openxmlformats.org/officeDocument/2006/relationships/hyperlink" Target="https://www.sec.gov/Archives/edgar/data/1221483/000119312513361263/d505298dex99e.htm" TargetMode="External"/><Relationship Id="rId923" Type="http://schemas.openxmlformats.org/officeDocument/2006/relationships/hyperlink" Target="https://www.sec.gov/Archives/edgar/data/1221483/000119312513361263/d505298dex99g.htm" TargetMode="External"/><Relationship Id="rId924" Type="http://schemas.openxmlformats.org/officeDocument/2006/relationships/hyperlink" Target="https://www.sec.gov/Archives/edgar/data/1221483/000119312513361263/d505298dex99j.htm" TargetMode="External"/><Relationship Id="rId925" Type="http://schemas.openxmlformats.org/officeDocument/2006/relationships/hyperlink" Target="https://www.sec.gov/Archives/edgar/data/1221483/000119312513361263/d505298dex99k1.htm" TargetMode="External"/><Relationship Id="rId926" Type="http://schemas.openxmlformats.org/officeDocument/2006/relationships/hyperlink" Target="https://www.sec.gov/Archives/edgar/data/1221483/000119312513361263/d505298dex99k2.htm" TargetMode="External"/><Relationship Id="rId927" Type="http://schemas.openxmlformats.org/officeDocument/2006/relationships/hyperlink" Target="https://www.sec.gov/Archives/edgar/data/1221483/000119312513361263/d505298dex99k3.htm" TargetMode="External"/><Relationship Id="rId928" Type="http://schemas.openxmlformats.org/officeDocument/2006/relationships/hyperlink" Target="https://www.sec.gov/Archives/edgar/data/1571329/000110465919077317/tm1927303d3_ex1-1.htm" TargetMode="External"/><Relationship Id="rId929" Type="http://schemas.openxmlformats.org/officeDocument/2006/relationships/hyperlink" Target="https://www.sec.gov/Archives/edgar/data/1571329/000110465920120973/tm2034828d1_ex10-1.htm" TargetMode="External"/><Relationship Id="rId930" Type="http://schemas.openxmlformats.org/officeDocument/2006/relationships/hyperlink" Target="https://www.sec.gov/Archives/edgar/data/1571329/000110465920120973/tm2034828d1_ex10-2.htm" TargetMode="External"/><Relationship Id="rId931" Type="http://schemas.openxmlformats.org/officeDocument/2006/relationships/hyperlink" Target="https://www.sec.gov/Archives/edgar/data/1221483/000119312513361263/d505298dex991.htm" TargetMode="External"/><Relationship Id="rId932" Type="http://schemas.openxmlformats.org/officeDocument/2006/relationships/hyperlink" Target="https://www.sec.gov/Archives/edgar/data/1571329/000114420418011212/tv486429_ex1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2021-03-08T15:57:58Z</dcterms:created>
  <dcterms:modified xsi:type="dcterms:W3CDTF">2021-03-08T15:57:58Z</dcterms:modified>
</cp:coreProperties>
</file>