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360680</wp:posOffset>
            </wp:positionV>
            <wp:extent cx="4219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40" w:right="5359" w:hanging="685"/>
        <w:spacing w:after="0" w:line="313" w:lineRule="auto"/>
        <w:tabs>
          <w:tab w:leader="none" w:pos="11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ind w:left="2020"/>
              <w:spacing w:after="0"/>
              <w:rPr>
                <w:sz w:val="20"/>
                <w:szCs w:val="20"/>
                <w:color w:val="auto"/>
              </w:rPr>
            </w:pPr>
            <w:r>
              <w:rPr>
                <w:rFonts w:ascii="Arial" w:cs="Arial" w:eastAsia="Arial" w:hAnsi="Arial"/>
                <w:sz w:val="18"/>
                <w:szCs w:val="18"/>
                <w:b w:val="1"/>
                <w:bCs w:val="1"/>
                <w:color w:val="auto"/>
              </w:rPr>
              <w:t>For the Fiscal Year Ended December 31, 2017</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72"/>
              </w:rPr>
              <w:t>o</w:t>
            </w:r>
          </w:p>
        </w:tc>
        <w:tc>
          <w:tcPr>
            <w:tcW w:w="60" w:type="dxa"/>
            <w:vAlign w:val="bottom"/>
          </w:tcPr>
          <w:p>
            <w:pPr>
              <w:spacing w:after="0"/>
              <w:rPr>
                <w:sz w:val="24"/>
                <w:szCs w:val="24"/>
                <w:color w:val="auto"/>
              </w:rPr>
            </w:pPr>
          </w:p>
        </w:tc>
        <w:tc>
          <w:tcPr>
            <w:tcW w:w="7080" w:type="dxa"/>
            <w:vAlign w:val="bottom"/>
            <w:gridSpan w:val="3"/>
          </w:tcPr>
          <w:p>
            <w:pPr>
              <w:ind w:left="100"/>
              <w:spacing w:after="0"/>
              <w:rPr>
                <w:sz w:val="20"/>
                <w:szCs w:val="20"/>
                <w:color w:val="auto"/>
              </w:rPr>
            </w:pPr>
            <w:r>
              <w:rPr>
                <w:rFonts w:ascii="Arial" w:cs="Arial" w:eastAsia="Arial" w:hAnsi="Arial"/>
                <w:sz w:val="18"/>
                <w:szCs w:val="18"/>
                <w:b w:val="1"/>
                <w:bCs w:val="1"/>
                <w:color w:val="auto"/>
              </w:rPr>
              <w:t>Transition Report Pursuant to Section 13 or 15(d)</w:t>
            </w: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ind w:left="100"/>
              <w:spacing w:after="0"/>
              <w:rPr>
                <w:sz w:val="20"/>
                <w:szCs w:val="20"/>
                <w:color w:val="auto"/>
              </w:rPr>
            </w:pPr>
            <w:r>
              <w:rPr>
                <w:rFonts w:ascii="Arial" w:cs="Arial" w:eastAsia="Arial" w:hAnsi="Arial"/>
                <w:sz w:val="18"/>
                <w:szCs w:val="18"/>
                <w:b w:val="1"/>
                <w:bCs w:val="1"/>
                <w:color w:val="auto"/>
              </w:rPr>
              <w:t>of the Securities Exchange Act of 1934</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60" w:type="dxa"/>
            <w:vAlign w:val="bottom"/>
          </w:tcPr>
          <w:p>
            <w:pPr>
              <w:spacing w:after="0"/>
              <w:rPr>
                <w:sz w:val="24"/>
                <w:szCs w:val="24"/>
                <w:color w:val="auto"/>
              </w:rPr>
            </w:pPr>
          </w:p>
        </w:tc>
        <w:tc>
          <w:tcPr>
            <w:tcW w:w="7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Exact name of registrant as specified in its charter, address of principal executive</w:t>
            </w:r>
          </w:p>
        </w:tc>
        <w:tc>
          <w:tcPr>
            <w:tcW w:w="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I.R.S. Employer</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60" w:type="dxa"/>
            <w:vAlign w:val="bottom"/>
          </w:tcPr>
          <w:p>
            <w:pPr>
              <w:spacing w:after="0"/>
              <w:rPr>
                <w:sz w:val="14"/>
                <w:szCs w:val="14"/>
                <w:color w:val="auto"/>
              </w:rPr>
            </w:pPr>
          </w:p>
        </w:tc>
        <w:tc>
          <w:tcPr>
            <w:tcW w:w="7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office, telephone number and state or other jurisdiction of incorporation or organization</w:t>
            </w:r>
          </w:p>
        </w:tc>
        <w:tc>
          <w:tcPr>
            <w:tcW w:w="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28"/>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814-01022</w:t>
            </w:r>
          </w:p>
        </w:tc>
        <w:tc>
          <w:tcPr>
            <w:tcW w:w="60" w:type="dxa"/>
            <w:vAlign w:val="bottom"/>
          </w:tcPr>
          <w:p>
            <w:pPr>
              <w:spacing w:after="0"/>
              <w:rPr>
                <w:sz w:val="19"/>
                <w:szCs w:val="19"/>
                <w:color w:val="auto"/>
              </w:rPr>
            </w:pPr>
          </w:p>
        </w:tc>
        <w:tc>
          <w:tcPr>
            <w:tcW w:w="7080" w:type="dxa"/>
            <w:vAlign w:val="bottom"/>
            <w:gridSpan w:val="3"/>
            <w:vMerge w:val="restart"/>
          </w:tcPr>
          <w:p>
            <w:pPr>
              <w:jc w:val="center"/>
              <w:spacing w:after="0" w:line="339" w:lineRule="exact"/>
              <w:rPr>
                <w:sz w:val="20"/>
                <w:szCs w:val="20"/>
                <w:color w:val="auto"/>
              </w:rPr>
            </w:pPr>
            <w:r>
              <w:rPr>
                <w:rFonts w:ascii="Arial" w:cs="Arial" w:eastAsia="Arial" w:hAnsi="Arial"/>
                <w:sz w:val="32"/>
                <w:szCs w:val="32"/>
                <w:b w:val="1"/>
                <w:bCs w:val="1"/>
                <w:color w:val="auto"/>
                <w:w w:val="93"/>
              </w:rPr>
              <w:t>Capitala Finance Corp.</w:t>
            </w:r>
          </w:p>
        </w:tc>
        <w:tc>
          <w:tcPr>
            <w:tcW w:w="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90-0945675</w:t>
            </w:r>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4201 Congress St., Suite 360</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Charlotte, North Carolina, 28209</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Telephone: (704) 376-5502</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State of Incorporation: Maryland</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-1748790</wp:posOffset>
            </wp:positionV>
            <wp:extent cx="4219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1957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610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188595</wp:posOffset>
            </wp:positionV>
            <wp:extent cx="15436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209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40" w:type="dxa"/>
            <w:vAlign w:val="bottom"/>
          </w:tcPr>
          <w:p>
            <w:pPr>
              <w:spacing w:after="0"/>
              <w:rPr>
                <w:sz w:val="14"/>
                <w:szCs w:val="14"/>
                <w:color w:val="auto"/>
              </w:rPr>
            </w:pPr>
          </w:p>
        </w:tc>
        <w:tc>
          <w:tcPr>
            <w:tcW w:w="48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1"/>
        </w:trPr>
        <w:tc>
          <w:tcPr>
            <w:tcW w:w="4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40" w:type="dxa"/>
            <w:vAlign w:val="bottom"/>
          </w:tcPr>
          <w:p>
            <w:pPr>
              <w:spacing w:after="0"/>
              <w:rPr>
                <w:sz w:val="16"/>
                <w:szCs w:val="16"/>
                <w:color w:val="auto"/>
              </w:rPr>
            </w:pPr>
          </w:p>
        </w:tc>
        <w:tc>
          <w:tcPr>
            <w:tcW w:w="4860" w:type="dxa"/>
            <w:vAlign w:val="bottom"/>
          </w:tcPr>
          <w:p>
            <w:pPr>
              <w:ind w:left="1040"/>
              <w:spacing w:after="0" w:line="191" w:lineRule="exact"/>
              <w:rPr>
                <w:sz w:val="20"/>
                <w:szCs w:val="20"/>
                <w:color w:val="auto"/>
              </w:rPr>
            </w:pPr>
            <w:r>
              <w:rPr>
                <w:rFonts w:ascii="Arial" w:cs="Arial" w:eastAsia="Arial" w:hAnsi="Arial"/>
                <w:sz w:val="18"/>
                <w:szCs w:val="18"/>
                <w:b w:val="1"/>
                <w:bCs w:val="1"/>
                <w:color w:val="auto"/>
              </w:rPr>
              <w:t>The NASDAQ Global Select Market</w:t>
            </w:r>
          </w:p>
        </w:tc>
      </w:tr>
      <w:tr>
        <w:trPr>
          <w:trHeight w:val="216"/>
        </w:trPr>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1"/>
              </w:rPr>
              <w:t>5.75% Convertible Notes due 2022</w:t>
            </w:r>
          </w:p>
        </w:tc>
        <w:tc>
          <w:tcPr>
            <w:tcW w:w="40" w:type="dxa"/>
            <w:vAlign w:val="bottom"/>
          </w:tcPr>
          <w:p>
            <w:pPr>
              <w:spacing w:after="0"/>
              <w:rPr>
                <w:sz w:val="18"/>
                <w:szCs w:val="18"/>
                <w:color w:val="auto"/>
              </w:rPr>
            </w:pPr>
          </w:p>
        </w:tc>
        <w:tc>
          <w:tcPr>
            <w:tcW w:w="4860" w:type="dxa"/>
            <w:vAlign w:val="bottom"/>
          </w:tcPr>
          <w:p>
            <w:pPr>
              <w:ind w:left="1040"/>
              <w:spacing w:after="0"/>
              <w:rPr>
                <w:sz w:val="20"/>
                <w:szCs w:val="20"/>
                <w:color w:val="auto"/>
              </w:rPr>
            </w:pPr>
            <w:r>
              <w:rPr>
                <w:rFonts w:ascii="Arial" w:cs="Arial" w:eastAsia="Arial" w:hAnsi="Arial"/>
                <w:sz w:val="18"/>
                <w:szCs w:val="18"/>
                <w:b w:val="1"/>
                <w:bCs w:val="1"/>
                <w:color w:val="auto"/>
              </w:rPr>
              <w:t>The NASDAQ Global Select Market</w:t>
            </w:r>
          </w:p>
        </w:tc>
      </w:tr>
      <w:tr>
        <w:trPr>
          <w:trHeight w:val="234"/>
        </w:trPr>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0"/>
              </w:rPr>
              <w:t>6.00% Notes due 2022</w:t>
            </w:r>
          </w:p>
        </w:tc>
        <w:tc>
          <w:tcPr>
            <w:tcW w:w="40" w:type="dxa"/>
            <w:vAlign w:val="bottom"/>
          </w:tcPr>
          <w:p>
            <w:pPr>
              <w:spacing w:after="0"/>
              <w:rPr>
                <w:sz w:val="20"/>
                <w:szCs w:val="20"/>
                <w:color w:val="auto"/>
              </w:rPr>
            </w:pPr>
          </w:p>
        </w:tc>
        <w:tc>
          <w:tcPr>
            <w:tcW w:w="4860" w:type="dxa"/>
            <w:vAlign w:val="bottom"/>
          </w:tcPr>
          <w:p>
            <w:pPr>
              <w:ind w:left="1040"/>
              <w:spacing w:after="0"/>
              <w:rPr>
                <w:sz w:val="20"/>
                <w:szCs w:val="20"/>
                <w:color w:val="auto"/>
              </w:rPr>
            </w:pPr>
            <w:r>
              <w:rPr>
                <w:rFonts w:ascii="Arial" w:cs="Arial" w:eastAsia="Arial" w:hAnsi="Arial"/>
                <w:sz w:val="18"/>
                <w:szCs w:val="18"/>
                <w:b w:val="1"/>
                <w:bCs w:val="1"/>
                <w:color w:val="auto"/>
              </w:rPr>
              <w:t>The NASDAQ Global Select Market</w:t>
            </w:r>
          </w:p>
        </w:tc>
      </w:tr>
    </w:tbl>
    <w:p>
      <w:pPr>
        <w:spacing w:after="0" w:line="90"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jc w:val="both"/>
        <w:ind w:left="60" w:right="599" w:firstLine="270"/>
        <w:spacing w:after="0" w:line="27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3"/>
          <w:szCs w:val="13"/>
          <w:color w:val="auto"/>
        </w:rPr>
        <w:t>No o</w:t>
      </w:r>
    </w:p>
    <w:p>
      <w:pPr>
        <w:spacing w:after="0" w:line="109" w:lineRule="exact"/>
        <w:rPr>
          <w:sz w:val="24"/>
          <w:szCs w:val="24"/>
          <w:color w:val="auto"/>
        </w:rPr>
      </w:pPr>
    </w:p>
    <w:p>
      <w:pPr>
        <w:ind w:left="60" w:right="679" w:firstLine="270"/>
        <w:spacing w:after="0" w:line="27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o</w:t>
      </w:r>
    </w:p>
    <w:p>
      <w:pPr>
        <w:spacing w:after="0" w:line="109" w:lineRule="exact"/>
        <w:rPr>
          <w:sz w:val="24"/>
          <w:szCs w:val="24"/>
          <w:color w:val="auto"/>
        </w:rPr>
      </w:pPr>
    </w:p>
    <w:p>
      <w:pPr>
        <w:jc w:val="both"/>
        <w:ind w:left="60" w:right="519" w:firstLine="270"/>
        <w:spacing w:after="0" w:line="277"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780"/>
        <w:spacing w:after="0"/>
        <w:rPr>
          <w:sz w:val="20"/>
          <w:szCs w:val="20"/>
          <w:color w:val="auto"/>
        </w:rPr>
      </w:pPr>
      <w:r>
        <w:rPr>
          <w:rFonts w:ascii="Arial" w:cs="Arial" w:eastAsia="Arial" w:hAnsi="Arial"/>
          <w:sz w:val="14"/>
          <w:szCs w:val="14"/>
          <w:color w:val="auto"/>
        </w:rPr>
        <w:t>o</w:t>
      </w:r>
    </w:p>
    <w:p>
      <w:pPr>
        <w:spacing w:after="0" w:line="109" w:lineRule="exact"/>
        <w:rPr>
          <w:sz w:val="24"/>
          <w:szCs w:val="24"/>
          <w:color w:val="auto"/>
        </w:rPr>
      </w:pPr>
    </w:p>
    <w:p>
      <w:pPr>
        <w:jc w:val="both"/>
        <w:ind w:left="60" w:right="539" w:firstLine="270"/>
        <w:spacing w:after="0" w:line="27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ectPr>
          <w:pgSz w:w="11900" w:h="16913" w:orient="portrait"/>
          <w:cols w:equalWidth="0" w:num="1">
            <w:col w:w="10099"/>
          </w:cols>
          <w:pgMar w:left="360" w:top="1440" w:right="1440" w:bottom="0" w:gutter="0" w:footer="0" w:header="0"/>
        </w:sectPr>
      </w:pPr>
    </w:p>
    <w:p>
      <w:pPr>
        <w:spacing w:after="0" w:line="50"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 o</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x</w:t>
      </w:r>
    </w:p>
    <w:p>
      <w:pPr>
        <w:spacing w:after="0"/>
        <w:rPr>
          <w:sz w:val="20"/>
          <w:szCs w:val="20"/>
          <w:color w:val="auto"/>
        </w:rPr>
      </w:pPr>
      <w:r>
        <w:rPr>
          <w:rFonts w:ascii="Arial" w:cs="Arial" w:eastAsia="Arial" w:hAnsi="Arial"/>
          <w:sz w:val="13"/>
          <w:szCs w:val="13"/>
          <w:color w:val="auto"/>
        </w:rPr>
        <w:t>Smaller reporting company o</w:t>
      </w:r>
    </w:p>
    <w:p>
      <w:pPr>
        <w:spacing w:after="0"/>
        <w:rPr>
          <w:sz w:val="20"/>
          <w:szCs w:val="20"/>
          <w:color w:val="auto"/>
        </w:rPr>
      </w:pPr>
      <w:r>
        <w:rPr>
          <w:rFonts w:ascii="Arial" w:cs="Arial" w:eastAsia="Arial" w:hAnsi="Arial"/>
          <w:sz w:val="13"/>
          <w:szCs w:val="13"/>
          <w:color w:val="auto"/>
        </w:rPr>
        <w:t>Emerging growth company x</w:t>
      </w:r>
    </w:p>
    <w:p>
      <w:pPr>
        <w:spacing w:after="0" w:line="109" w:lineRule="exact"/>
        <w:rPr>
          <w:sz w:val="24"/>
          <w:szCs w:val="24"/>
          <w:color w:val="auto"/>
        </w:rPr>
      </w:pPr>
    </w:p>
    <w:p>
      <w:pPr>
        <w:sectPr>
          <w:pgSz w:w="11900" w:h="16913" w:orient="portrait"/>
          <w:cols w:equalWidth="0" w:num="2">
            <w:col w:w="3980" w:space="720"/>
            <w:col w:w="5399"/>
          </w:cols>
          <w:pgMar w:left="360" w:top="1440" w:right="1440" w:bottom="0" w:gutter="0" w:footer="0" w:header="0"/>
          <w:type w:val="continuous"/>
        </w:sectPr>
      </w:pPr>
    </w:p>
    <w:p>
      <w:pPr>
        <w:ind w:left="60" w:right="759" w:firstLine="27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831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9" w:lineRule="exact"/>
        <w:rPr>
          <w:sz w:val="24"/>
          <w:szCs w:val="24"/>
          <w:color w:val="auto"/>
        </w:rPr>
      </w:pPr>
    </w:p>
    <w:p>
      <w:pPr>
        <w:ind w:left="8440"/>
        <w:spacing w:after="0"/>
        <w:rPr>
          <w:sz w:val="20"/>
          <w:szCs w:val="20"/>
          <w:color w:val="auto"/>
        </w:rPr>
      </w:pPr>
      <w:r>
        <w:rPr>
          <w:rFonts w:ascii="Arial" w:cs="Arial" w:eastAsia="Arial" w:hAnsi="Arial"/>
          <w:sz w:val="14"/>
          <w:szCs w:val="14"/>
          <w:color w:val="auto"/>
        </w:rPr>
        <w:t>o</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ind w:left="60" w:right="519" w:firstLine="270"/>
        <w:spacing w:after="0" w:line="382" w:lineRule="auto"/>
        <w:rPr>
          <w:sz w:val="20"/>
          <w:szCs w:val="20"/>
          <w:color w:val="auto"/>
        </w:rPr>
      </w:pPr>
      <w:r>
        <w:rPr>
          <w:rFonts w:ascii="Arial" w:cs="Arial" w:eastAsia="Arial" w:hAnsi="Arial"/>
          <w:sz w:val="12"/>
          <w:szCs w:val="12"/>
          <w:color w:val="auto"/>
        </w:rPr>
        <w:t>The aggregate market value of the registrant’s common stock held by non-affiliates of the registrant was $189.6 million based on the number of shares held by non-affiliates of the registrant as of June 30, 2017, which was the last business day of the registrant’s most recently completed second fiscal quarter. For the purposes</w:t>
      </w:r>
    </w:p>
    <w:p>
      <w:pPr>
        <w:sectPr>
          <w:pgSz w:w="11900" w:h="16913" w:orient="portrait"/>
          <w:cols w:equalWidth="0" w:num="1">
            <w:col w:w="10099"/>
          </w:cols>
          <w:pgMar w:left="360" w:top="1440" w:right="1440"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of calculating this amount only, all directors and executive officers of the registrant have been treated as affiliates.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number of shares of Capitala Finance Corp.’s common stock, $0.01 par value, outstanding as of February 26, 2018 was 15,958,511</w:t>
      </w:r>
    </w:p>
    <w:p>
      <w:pPr>
        <w:spacing w:after="0" w:line="21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30" w:lineRule="exact"/>
        <w:rPr>
          <w:sz w:val="20"/>
          <w:szCs w:val="20"/>
          <w:color w:val="auto"/>
        </w:rPr>
      </w:pPr>
    </w:p>
    <w:p>
      <w:pPr>
        <w:ind w:right="719" w:firstLine="270"/>
        <w:spacing w:after="0" w:line="277"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pursuant to Regulation 14A relating to the registrant’s 2018 Annual Meeting of Stockholders, to be filed with the Securities and Exchange Commission within 120 days following the end of the Company’s fiscal year, are incorporated by reference in Part III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768350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18415</wp:posOffset>
            </wp:positionV>
            <wp:extent cx="6071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43815</wp:posOffset>
            </wp:positionV>
            <wp:extent cx="6071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39"/>
          </w:cols>
          <w:pgMar w:left="420" w:top="134"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shd w:val="clear" w:color="auto" w:fill="CCEEFF"/>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PART 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1A.</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Item 1B.</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Unresolved Staff Comments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2.</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Properties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3.</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4.</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PART II</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5.</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Market for Registrant’s Common Equity, Related Stockholder Matters and Issuer</w:t>
              </w:r>
            </w:hyperlink>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0000EE"/>
            </w:tcBorders>
            <w:gridSpan w:val="25"/>
            <w:shd w:val="clear" w:color="auto" w:fill="CCEEFF"/>
          </w:tcPr>
          <w:p>
            <w:pPr>
              <w:ind w:left="18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Purchases of Equity Securities</w:t>
              </w:r>
            </w:hyperlink>
          </w:p>
        </w:tc>
        <w:tc>
          <w:tcPr>
            <w:tcW w:w="7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5"/>
            <w:shd w:val="clear" w:color="auto" w:fill="CCEEFF"/>
          </w:tcPr>
          <w:p>
            <w:pPr>
              <w:jc w:val="right"/>
              <w:ind w:right="8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6.</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Selected Consolidated Financial Data</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7.</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Management’s Discussion and Analysis of Financial Condition and Results of</w:t>
              </w:r>
            </w:hyperlink>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0000EE"/>
            </w:tcBorders>
            <w:gridSpan w:val="22"/>
            <w:shd w:val="clear" w:color="auto" w:fill="CCEEFF"/>
          </w:tcPr>
          <w:p>
            <w:pPr>
              <w:ind w:left="180"/>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Operations</w:t>
              </w:r>
            </w:hyperlink>
          </w:p>
        </w:tc>
        <w:tc>
          <w:tcPr>
            <w:tcW w:w="960" w:type="dxa"/>
            <w:vAlign w:val="bottom"/>
            <w:tcBorders>
              <w:top w:val="single" w:sz="8" w:color="CCEEFF"/>
            </w:tcBorders>
            <w:gridSpan w:val="4"/>
            <w:shd w:val="clear" w:color="auto" w:fill="CCEEFF"/>
          </w:tcPr>
          <w:p>
            <w:pPr>
              <w:spacing w:after="0"/>
              <w:rPr>
                <w:sz w:val="17"/>
                <w:szCs w:val="17"/>
                <w:color w:val="auto"/>
              </w:rPr>
            </w:pPr>
          </w:p>
        </w:tc>
        <w:tc>
          <w:tcPr>
            <w:tcW w:w="540" w:type="dxa"/>
            <w:vAlign w:val="bottom"/>
            <w:tcBorders>
              <w:top w:val="single" w:sz="8" w:color="CCEEFF"/>
            </w:tcBorders>
            <w:gridSpan w:val="5"/>
            <w:shd w:val="clear" w:color="auto" w:fill="CCEEFF"/>
          </w:tcPr>
          <w:p>
            <w:pPr>
              <w:jc w:val="right"/>
              <w:ind w:right="80"/>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Item 7A.</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Quantitative and Qualitative Disclosures About Market Risk</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94</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Item 8.</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Financial Statements and Supplementary Data</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Item 9.</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Changes in and Disagreements With Accountants on Accounting and Financial</w:t>
              </w:r>
            </w:hyperlink>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00" w:type="dxa"/>
            <w:vAlign w:val="bottom"/>
            <w:tcBorders>
              <w:top w:val="single" w:sz="8" w:color="0000EE"/>
            </w:tcBorders>
            <w:gridSpan w:val="23"/>
          </w:tcPr>
          <w:p>
            <w:pPr>
              <w:ind w:left="180"/>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Disclosure</w:t>
              </w:r>
            </w:hyperlink>
          </w:p>
        </w:tc>
        <w:tc>
          <w:tcPr>
            <w:tcW w:w="880" w:type="dxa"/>
            <w:vAlign w:val="bottom"/>
            <w:gridSpan w:val="3"/>
          </w:tcPr>
          <w:p>
            <w:pPr>
              <w:spacing w:after="0"/>
              <w:rPr>
                <w:sz w:val="17"/>
                <w:szCs w:val="17"/>
                <w:color w:val="auto"/>
              </w:rPr>
            </w:pPr>
          </w:p>
        </w:tc>
        <w:tc>
          <w:tcPr>
            <w:tcW w:w="540" w:type="dxa"/>
            <w:vAlign w:val="bottom"/>
            <w:gridSpan w:val="5"/>
          </w:tcPr>
          <w:p>
            <w:pPr>
              <w:jc w:val="right"/>
              <w:ind w:right="80"/>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96</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2"/>
              </w:rPr>
            </w:pPr>
            <w:hyperlink w:anchor="page158">
              <w:r>
                <w:rPr>
                  <w:rFonts w:ascii="Arial" w:cs="Arial" w:eastAsia="Arial" w:hAnsi="Arial"/>
                  <w:sz w:val="18"/>
                  <w:szCs w:val="18"/>
                  <w:color w:val="0000EE"/>
                  <w:w w:val="92"/>
                </w:rPr>
                <w:t>Item 9A.</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Controls and Procedures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96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158">
              <w:r>
                <w:rPr>
                  <w:rFonts w:ascii="Arial" w:cs="Arial" w:eastAsia="Arial" w:hAnsi="Arial"/>
                  <w:sz w:val="18"/>
                  <w:szCs w:val="18"/>
                  <w:color w:val="0000EE"/>
                  <w:w w:val="92"/>
                </w:rPr>
                <w:t>Item 9B.</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Other Information</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96</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PART III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59">
              <w:r>
                <w:rPr>
                  <w:rFonts w:ascii="Arial" w:cs="Arial" w:eastAsia="Arial" w:hAnsi="Arial"/>
                  <w:sz w:val="18"/>
                  <w:szCs w:val="18"/>
                  <w:color w:val="0000EE"/>
                  <w:w w:val="95"/>
                </w:rPr>
                <w:t>Item 10.</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Directors, Executive Officers and Corporate Governance</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97</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5"/>
              </w:rPr>
            </w:pPr>
            <w:hyperlink w:anchor="page159">
              <w:r>
                <w:rPr>
                  <w:rFonts w:ascii="Arial" w:cs="Arial" w:eastAsia="Arial" w:hAnsi="Arial"/>
                  <w:sz w:val="18"/>
                  <w:szCs w:val="18"/>
                  <w:color w:val="0000EE"/>
                  <w:w w:val="95"/>
                </w:rPr>
                <w:t>Item 11.</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Executive Compensation</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97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59">
              <w:r>
                <w:rPr>
                  <w:rFonts w:ascii="Arial" w:cs="Arial" w:eastAsia="Arial" w:hAnsi="Arial"/>
                  <w:sz w:val="18"/>
                  <w:szCs w:val="18"/>
                  <w:color w:val="0000EE"/>
                  <w:w w:val="95"/>
                </w:rPr>
                <w:t>Item 12.</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Security Ownership of Certain Beneficial Owners and Management and Related</w:t>
              </w:r>
            </w:hyperlink>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24"/>
          </w:tcPr>
          <w:p>
            <w:pPr>
              <w:ind w:left="18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Stockholder Matters</w:t>
              </w:r>
            </w:hyperlink>
          </w:p>
        </w:tc>
        <w:tc>
          <w:tcPr>
            <w:tcW w:w="800" w:type="dxa"/>
            <w:vAlign w:val="bottom"/>
            <w:gridSpan w:val="2"/>
          </w:tcPr>
          <w:p>
            <w:pPr>
              <w:spacing w:after="0"/>
              <w:rPr>
                <w:sz w:val="17"/>
                <w:szCs w:val="17"/>
                <w:color w:val="auto"/>
              </w:rPr>
            </w:pPr>
          </w:p>
        </w:tc>
        <w:tc>
          <w:tcPr>
            <w:tcW w:w="540" w:type="dxa"/>
            <w:vAlign w:val="bottom"/>
            <w:gridSpan w:val="5"/>
          </w:tcPr>
          <w:p>
            <w:pPr>
              <w:jc w:val="right"/>
              <w:ind w:right="8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97</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5"/>
              </w:rPr>
            </w:pPr>
            <w:hyperlink w:anchor="page159">
              <w:r>
                <w:rPr>
                  <w:rFonts w:ascii="Arial" w:cs="Arial" w:eastAsia="Arial" w:hAnsi="Arial"/>
                  <w:sz w:val="18"/>
                  <w:szCs w:val="18"/>
                  <w:color w:val="0000EE"/>
                  <w:w w:val="95"/>
                </w:rPr>
                <w:t>Item 13.</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Certain Relationships and Related Transactions, and Director Independence</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97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59">
              <w:r>
                <w:rPr>
                  <w:rFonts w:ascii="Arial" w:cs="Arial" w:eastAsia="Arial" w:hAnsi="Arial"/>
                  <w:sz w:val="18"/>
                  <w:szCs w:val="18"/>
                  <w:color w:val="0000EE"/>
                  <w:w w:val="95"/>
                </w:rPr>
                <w:t>Item 14.</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Principal Accountant Fees and Services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97</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PART IV</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Item 15.</w:t>
              </w:r>
            </w:hyperlink>
          </w:p>
        </w:tc>
        <w:tc>
          <w:tcPr>
            <w:tcW w:w="6660" w:type="dxa"/>
            <w:vAlign w:val="bottom"/>
            <w:gridSpan w:val="27"/>
          </w:tcPr>
          <w:p>
            <w:pPr>
              <w:ind w:left="8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Exhibits and Consolidated Financial Statement Schedules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98</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5"/>
              </w:rPr>
            </w:pPr>
            <w:hyperlink w:anchor="page162">
              <w:r>
                <w:rPr>
                  <w:rFonts w:ascii="Arial" w:cs="Arial" w:eastAsia="Arial" w:hAnsi="Arial"/>
                  <w:sz w:val="18"/>
                  <w:szCs w:val="18"/>
                  <w:color w:val="0000EE"/>
                  <w:w w:val="95"/>
                </w:rPr>
                <w:t>Item 16.</w:t>
              </w:r>
            </w:hyperlink>
          </w:p>
        </w:tc>
        <w:tc>
          <w:tcPr>
            <w:tcW w:w="6660" w:type="dxa"/>
            <w:vAlign w:val="bottom"/>
            <w:gridSpan w:val="27"/>
            <w:shd w:val="clear" w:color="auto" w:fill="CCEEFF"/>
          </w:tcPr>
          <w:p>
            <w:pPr>
              <w:ind w:left="80"/>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Form 10-K Summary</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100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2"/>
          </w:tcPr>
          <w:p>
            <w:pPr>
              <w:spacing w:after="0" w:line="176" w:lineRule="exact"/>
              <w:rPr>
                <w:rFonts w:ascii="Arial" w:cs="Arial" w:eastAsia="Arial" w:hAnsi="Arial"/>
                <w:sz w:val="18"/>
                <w:szCs w:val="18"/>
                <w:color w:val="0000EE"/>
                <w:w w:val="85"/>
              </w:rPr>
            </w:pPr>
            <w:hyperlink w:anchor="page163">
              <w:r>
                <w:rPr>
                  <w:rFonts w:ascii="Arial" w:cs="Arial" w:eastAsia="Arial" w:hAnsi="Arial"/>
                  <w:sz w:val="18"/>
                  <w:szCs w:val="18"/>
                  <w:color w:val="0000EE"/>
                  <w:w w:val="85"/>
                </w:rPr>
                <w:t>Signatures</w:t>
              </w:r>
            </w:hyperlink>
          </w:p>
        </w:tc>
        <w:tc>
          <w:tcPr>
            <w:tcW w:w="24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101</w:t>
              </w:r>
            </w:hyperlink>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-4312920</wp:posOffset>
            </wp:positionV>
            <wp:extent cx="52139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this Annual Report on Form 10-K, except as otherwise indicated, the terms:</w:t>
      </w:r>
    </w:p>
    <w:p>
      <w:pPr>
        <w:spacing w:after="0" w:line="117" w:lineRule="exact"/>
        <w:rPr>
          <w:sz w:val="20"/>
          <w:szCs w:val="20"/>
          <w:color w:val="auto"/>
        </w:rPr>
      </w:pPr>
    </w:p>
    <w:p>
      <w:pPr>
        <w:ind w:left="600" w:right="143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“us,” “our,” “Capitala Finance” and the “Company” refer to Capitala Finance Corp., together with its consolidated subsidiaries;</w:t>
      </w:r>
    </w:p>
    <w:p>
      <w:pPr>
        <w:spacing w:after="0" w:line="62"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“Investment Advisor” and “Capitala Investment Advisors” refer to Capitala Investment Advisors, LLC, our investment adviser;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“Administrator” refers to Capitala Advisors Corp., our administrator.</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FORMATION OF OUR COMPANY</w:t>
      </w:r>
    </w:p>
    <w:p>
      <w:pPr>
        <w:spacing w:after="0" w:line="121"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are an externally managed non-diversified closed-end management investment company incorporated in Maryland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We commenced operations on May 24, 2013 and completed our initial public offering (“IPO”) on September 30, 2013. We are managed by Capitala Investment Advisors, LLC (the “Investment Advisor”), an investment adviser that is registered as an investment adviser under the Investment Advisers Act of 1940, as amended (the “Advisors Act”), and Capitala Advisors Corp. (the “Administrator”) provides the administrative services necessary for us to operate. For U.S. federal income tax purposes, we have elected to be treated, and intend to comply with the requirements to continue to qualify annually, as a regulated investment company (“RIC”) under subchapter M of the Internal Revenue Code of 1986, as amended (the “Code”).</w:t>
      </w:r>
    </w:p>
    <w:p>
      <w:pPr>
        <w:spacing w:after="0" w:line="70"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Our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in first lien loans, second lien loans and subordinated loans, and, to a lesser extent, equity securities issued by lower middle-market companies and traditional middle-market companies.</w:t>
      </w:r>
    </w:p>
    <w:p>
      <w:pPr>
        <w:spacing w:after="0" w:line="70"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We were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57"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On September 24, 2013, we acquired 100% of the limited partnership interests in Fund II, Fund III and Florida Sidecar and each of their respective general partners, as well as certain assets from Fund I and Fund III Parent, in exchange for an aggregate of 8,974,420 shares of our common stock (the “Formation Transactions”). Fund II, Fund III and Florida Sidecar became our wholly owned subsidiaries. Fund II and Fund III retained their SBIC licenses, continued to hold their existing investments at the time of the IPO and have continued to make new investments. The IPO consisted of the sale of 4,000,000 shares of our common stock at a price of $20.00 per share resulting in net proceeds to us of $74.25 million, after deducting underwriting fees and commissions totaling $4.0 million and offering expenses totaling $1.75 million. The other costs of the IPO were borne by the limited partners of the Legacy Funds.</w:t>
      </w:r>
    </w:p>
    <w:p>
      <w:pPr>
        <w:spacing w:after="0" w:line="84" w:lineRule="exact"/>
        <w:rPr>
          <w:sz w:val="20"/>
          <w:szCs w:val="20"/>
          <w:color w:val="auto"/>
        </w:rPr>
      </w:pPr>
    </w:p>
    <w:p>
      <w:pPr>
        <w:ind w:left="40" w:right="1159" w:firstLine="270"/>
        <w:spacing w:after="0" w:line="277" w:lineRule="auto"/>
        <w:rPr>
          <w:sz w:val="20"/>
          <w:szCs w:val="20"/>
          <w:color w:val="auto"/>
        </w:rPr>
      </w:pPr>
      <w:r>
        <w:rPr>
          <w:rFonts w:ascii="Arial" w:cs="Arial" w:eastAsia="Arial" w:hAnsi="Arial"/>
          <w:sz w:val="18"/>
          <w:szCs w:val="18"/>
          <w:color w:val="auto"/>
        </w:rPr>
        <w:t>During the fourth quarter of 2017, Florida Sidecar transferred all of its assets to Capitala Finance Corp. and was legally dissolved as a standalone partnership.</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These Taxable Subsidiaries allow the Company to make equity investments in companies organized as pass-through entities while continuing to satisfy the requirements of a RIC under the Code.</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INVESTMENT STRATEGY</w:t>
      </w:r>
    </w:p>
    <w:p>
      <w:pPr>
        <w:spacing w:after="0" w:line="121" w:lineRule="exact"/>
        <w:rPr>
          <w:sz w:val="20"/>
          <w:szCs w:val="20"/>
          <w:color w:val="auto"/>
        </w:rPr>
      </w:pPr>
    </w:p>
    <w:p>
      <w:pPr>
        <w:ind w:left="40" w:right="559" w:firstLine="270"/>
        <w:spacing w:after="0" w:line="285" w:lineRule="auto"/>
        <w:rPr>
          <w:sz w:val="20"/>
          <w:szCs w:val="20"/>
          <w:color w:val="auto"/>
        </w:rPr>
      </w:pPr>
      <w:r>
        <w:rPr>
          <w:rFonts w:ascii="Arial" w:cs="Arial" w:eastAsia="Arial" w:hAnsi="Arial"/>
          <w:sz w:val="16"/>
          <w:szCs w:val="16"/>
          <w:color w:val="auto"/>
        </w:rPr>
        <w:t>Our investment objective is to generate both current income and capital appreciation through debt and equity investments. We expect the companies in which we invest will generally have between $4.5 million and $30 million in trailing twelve month earnings before interest, tax, depreciation and amortization (“EBITDA”). We believe our focus on direct lending to private companies enables us to receive higher interest rates and more substantial equity participation. As part of that strategy, we may invest in first lien loans, which have a first priority security interest in all or some of the borrower’s assets. In addition, our first lien loans may include positions in “stretch” senior secured loans, also referred to as “unitranche” loans, which combine characteristics of traditional first lien senior secured loans and second lien loans, providing us with greater influence and security in the primary collateral of a borrower and potentially mitigating loss of principal should a borrower default. We also may invest in second lien loans, which have a second priority security interest in all or substantially all of the borrower’s assets. In addition to first and second lien loans, we invest in subordinated loans, which may include mezzanine and other types of junior debt investments. Like second lien loans, our subordinated loans typically have a second lien on all or substantially all of the borrower’s assets; however, the principal difference between subordinated loans and second lien loans is that in a subordinated loan, we may be subject to the interruption of cash interest payments, at the discretion of the first lien lender, upon certain events of default. In addition to debt securities, we may acquire equity or detachable equity-related interests (including warrants) from a borrower. Typically, the debt in which we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We intend to target investments that mature in four to six years from our investment.</w:t>
      </w:r>
    </w:p>
    <w:p>
      <w:pPr>
        <w:spacing w:after="0" w:line="65"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We typically will not limit the size of our loan commitments to a specific percentage of a borrower’s assets that serve as collateral for our loan, although we attempt to protect against risk of loss on our debt investments by structuring, underwriting and pricing loans based on anticipated cash flows of our borrowers. As of December 31, 2017, our Investment Advisor underwrote investments in 126 lower middle-market and traditional middle-market companies totaling more than $1.2 billion of invested capital since 2000, and we believe that a continuation of this strategy allows us to make structured investments with more attractive pricing and greater opportunities for meaningful equity participation than traditional asset-based, senior secured loans. Further, we believe that we benefit from our Investment Advisor’s long-standing relationships with many private equity fund sponsors, whose participation in portfolio companies, we believe, makes repayment from refinancing, asset sales and/or sales of the borrowers themselves more likely than a strategy whereby we consider investments only in founder-owned or non-sponsored borrowers.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INVESTMENT ADVISOR</w:t>
      </w:r>
    </w:p>
    <w:p>
      <w:pPr>
        <w:spacing w:after="0" w:line="121"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are managed by the Investment Advisor, whose investment team members have significant and diverse experience financing, advising, operating and investing in lower middle-market and middle-market companies. Moreover, our Investment Advisor’s investment team has refined its investment strategy by sourcing, reviewing, acquiring and monitoring 126 portfolio companies totaling more than $1.2 billion of invested capital from 2000 through December 31, 2017. The Investment Advisor’s investment team also manages CapitalSouth Partners SBIC Fund IV, L.P. (“Fund IV”), a private investment limited partnership providing financing solutions to smaller and lower middle-market companies. Fund IV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providing financing solutions to the lower middle-market and traditional middle-market. The Investment Advisor and its affiliates may also manage other funds in the future that may have investment</w:t>
      </w:r>
    </w:p>
    <w:p>
      <w:pPr>
        <w:spacing w:after="0" w:line="200" w:lineRule="exact"/>
        <w:rPr>
          <w:sz w:val="20"/>
          <w:szCs w:val="20"/>
          <w:color w:val="auto"/>
        </w:rPr>
      </w:pPr>
    </w:p>
    <w:p>
      <w:pPr>
        <w:spacing w:after="0" w:line="32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90" w:lineRule="auto"/>
        <w:rPr>
          <w:sz w:val="20"/>
          <w:szCs w:val="20"/>
          <w:color w:val="auto"/>
        </w:rPr>
      </w:pPr>
      <w:r>
        <w:rPr>
          <w:rFonts w:ascii="Arial" w:cs="Arial" w:eastAsia="Arial" w:hAnsi="Arial"/>
          <w:sz w:val="16"/>
          <w:szCs w:val="16"/>
          <w:color w:val="auto"/>
        </w:rPr>
        <w:t>mandates that are similar, in whole and in part, with ours. To the extent permitted by the 1940 Act and interpretation of the staff of the U.S. Securities and Exchange Commission (the “SEC”),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differs from our own. However, we do expect to make, and have made, co-investments with Fund V given its similar investment strategy.</w:t>
      </w:r>
    </w:p>
    <w:p>
      <w:pPr>
        <w:spacing w:after="0" w:line="58" w:lineRule="exact"/>
        <w:rPr>
          <w:sz w:val="20"/>
          <w:szCs w:val="20"/>
          <w:color w:val="auto"/>
        </w:rPr>
      </w:pPr>
    </w:p>
    <w:p>
      <w:pPr>
        <w:ind w:left="40" w:right="739" w:firstLine="270"/>
        <w:spacing w:after="0" w:line="283" w:lineRule="auto"/>
        <w:rPr>
          <w:sz w:val="20"/>
          <w:szCs w:val="20"/>
          <w:color w:val="auto"/>
        </w:rPr>
      </w:pPr>
      <w:r>
        <w:rPr>
          <w:rFonts w:ascii="Arial" w:cs="Arial" w:eastAsia="Arial" w:hAnsi="Arial"/>
          <w:sz w:val="16"/>
          <w:szCs w:val="16"/>
          <w:color w:val="auto"/>
        </w:rPr>
        <w:t>On September 10, 2015, we, Fund II, Fund III, Fund V, and the Investment Advisor filed an application for exemptive relief with the SEC to permit an investment fund and one or more affiliated investment funds, including future affiliated investment funds, to participate in the same investment opportunities through a proposed co-investment program where such participation would otherwise be prohibited under the 1940 Act. On June 1, 2016, the SEC issued an order permitting this relief. On June 1, 2016, the SEC issued an exemptive order (the “Order”), which permits the Company to co-invest in portfolio companies with certain funds or entities managed by the Investment Advisor or its affiliates in certain negotiated transactions where co-investing would otherwise be prohibited under the 1940 Act, subject to the conditions of the Order. Pursuant to the Order, the Company is permitted to co-invest with its affiliates if a “required majority” (as defined in Section 57(o) of the 1940 Act) of the Company’s independent directors make certain conclusions in connection with a co-investment transaction, including, but not limited to, that</w:t>
      </w:r>
    </w:p>
    <w:p>
      <w:pPr>
        <w:spacing w:after="0" w:line="7" w:lineRule="exact"/>
        <w:rPr>
          <w:sz w:val="20"/>
          <w:szCs w:val="20"/>
          <w:color w:val="auto"/>
        </w:rPr>
      </w:pPr>
    </w:p>
    <w:p>
      <w:pPr>
        <w:ind w:left="40" w:right="539" w:firstLine="8"/>
        <w:spacing w:after="0" w:line="254" w:lineRule="auto"/>
        <w:tabs>
          <w:tab w:leader="none" w:pos="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the potential co-investment transaction, including the consideration to be paid, are reasonable and fair to the Company and its stockholders and do not involve overreaching in respect of the Company or its stockholders on the part of any person concerned, and (2) the potential co-investment transaction is consistent with the interests of the Company’s stockholders and is consistent with its then-current objectives and strategies.</w:t>
      </w:r>
    </w:p>
    <w:p>
      <w:pPr>
        <w:spacing w:after="0" w:line="82" w:lineRule="exact"/>
        <w:rPr>
          <w:sz w:val="20"/>
          <w:szCs w:val="20"/>
          <w:color w:val="auto"/>
        </w:rPr>
      </w:pPr>
    </w:p>
    <w:p>
      <w:pPr>
        <w:ind w:left="40" w:right="719" w:firstLine="270"/>
        <w:spacing w:after="0" w:line="272" w:lineRule="auto"/>
        <w:rPr>
          <w:sz w:val="20"/>
          <w:szCs w:val="20"/>
          <w:color w:val="auto"/>
        </w:rPr>
      </w:pPr>
      <w:r>
        <w:rPr>
          <w:rFonts w:ascii="Arial" w:cs="Arial" w:eastAsia="Arial" w:hAnsi="Arial"/>
          <w:sz w:val="17"/>
          <w:szCs w:val="17"/>
          <w:color w:val="auto"/>
        </w:rPr>
        <w:t>Our Investment Advisor is led by Joseph B. Alala, III, our chief executive officer, chairman of our Board of Directors (the “Board”), and the managing partner and chief investment officer of our Investment Advisor, M. Hunt Broyhill, a member of the Board and a partner of our Investment Advisor, Stephen A. Arnall, our chief financial officer, and John F. McGlinn, our chief operating officer, secretary and treasurer, and a director of our Investment Advisor. Messrs. Alala, Broyhill and McGlinn serve as our Investment Advisor’s investment committee. They are assisted by Christopher B. Norton, Peter Sherman, Michael S. Marr, Richard Wheelahan, Adam Richeson, Randall Fontes, Eric Althofer, and Davis Hutchens, who each serve as directors of our Investment Advisor, as well as eleven other investment professionals.</w:t>
      </w:r>
    </w:p>
    <w:p>
      <w:pPr>
        <w:spacing w:after="0" w:line="70"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Our Investment Advisor’s investment committee, as well as certain key investment team members that are involved in screening and underwriting portfolio transactions, have worked together for more than ten years. These investment professionals have an average of over 20 years of experience in various finance-related fields, including operations, corporate finance, investment banking, business law and merchant banking, and have collectively developed a broad network of contacts that can offer us investment opportunities. Much of our Investment Advisor’s investment team has worked together screening opportunities, underwriting new investments and managing a portfolio of investments in lower middle-market and traditional middle-market companies through two recessions, a credit crunch, the dot-com boom and bust and a historic, leverage-fueled asset valuation bubble.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color w:val="auto"/>
        </w:rPr>
        <w:t>We will engage in various investment strategies from time to time in order to achieve our overall lending and investment objectives. Our strategies will generally require current cash yields and sensible leverage and fixed charge coverage ratios and either a first or second lien position (subject to limited instances in which we will not obtain security) in the collateral of the portfolio company. The strategy we select will depend upon, among other things, market opportunities, the skills and experience of our Investment Advisor’s investment team, the result of our financial, operational and strategic evaluation of the opportunity, and our overall portfolio composition. Most of our existing debt investments offer, and we expect most of our future debt investments will offer, the opportunity to participate in a borrower’s equity performance through warrant participation, direct equity ownership or otherwise, and many notes that we purchase will require the borrower</w:t>
      </w:r>
    </w:p>
    <w:p>
      <w:pPr>
        <w:spacing w:after="0" w:line="200" w:lineRule="exact"/>
        <w:rPr>
          <w:sz w:val="20"/>
          <w:szCs w:val="20"/>
          <w:color w:val="auto"/>
        </w:rPr>
      </w:pPr>
    </w:p>
    <w:p>
      <w:pPr>
        <w:spacing w:after="0" w:line="33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to pay an early termination fee. Collectively, these attributes have been, and are expected to be, important contributors to the returns generated by our Investment Advisor’s investment team.</w:t>
      </w:r>
    </w:p>
    <w:p>
      <w:pPr>
        <w:spacing w:after="0" w:line="62"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The Investment Advisor’s investment team uses a disciplined investment portfolio monitoring and risk management process that emphasizes strict underwriting standards and guidelines, strong due diligence investigation, regular portfolio review, analysis and performance-guided responses, and proper investment diversification. We allocate capital among different industries, geographies and private equity sponsors on the basis of relative risk/reward profiles as a function of their associated downside risk, volatility, perceived fundamental risk and our ability to obtain favorable investment protection terms.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Types of Investments</w:t>
      </w:r>
    </w:p>
    <w:p>
      <w:pPr>
        <w:spacing w:after="0" w:line="117"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We will target debt investments that yield meaningful current income and, in many cases, provide the opportunity for capital appreciation through equity securities. In each case, the following criteria and guidelines are applied to the review of a potential investment; however, not all criteria are met in every single investment in our portfolio, nor do we guarantee that all criteria will be met in the investments we will make in the future.</w:t>
      </w:r>
    </w:p>
    <w:p>
      <w:pPr>
        <w:spacing w:after="0" w:line="79" w:lineRule="exact"/>
        <w:rPr>
          <w:sz w:val="20"/>
          <w:szCs w:val="20"/>
          <w:color w:val="auto"/>
        </w:rPr>
      </w:pPr>
    </w:p>
    <w:p>
      <w:pPr>
        <w:ind w:left="600" w:right="599" w:hanging="322"/>
        <w:spacing w:after="0" w:line="279"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Established Companies With Positive Cash Flow. </w:t>
      </w:r>
      <w:r>
        <w:rPr>
          <w:rFonts w:ascii="Arial" w:cs="Arial" w:eastAsia="Arial" w:hAnsi="Arial"/>
          <w:sz w:val="17"/>
          <w:szCs w:val="17"/>
          <w:color w:val="auto"/>
        </w:rPr>
        <w:t>We seek to invest in established companies with a history of generating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and positive cash flows. We intend to focus on companies with a history of profitability and minimum trailing twelve month EBITDA of between $4.5 million and $30 million. We do not intend to invest in start-up companies, distressed or “turn-around” situations or companies with business plans that we do not understand.</w:t>
      </w:r>
    </w:p>
    <w:p>
      <w:pPr>
        <w:spacing w:after="0" w:line="63" w:lineRule="exact"/>
        <w:rPr>
          <w:rFonts w:ascii="Arial" w:cs="Arial" w:eastAsia="Arial" w:hAnsi="Arial"/>
          <w:sz w:val="17"/>
          <w:szCs w:val="17"/>
          <w:color w:val="auto"/>
        </w:rPr>
      </w:pPr>
    </w:p>
    <w:p>
      <w:pPr>
        <w:ind w:left="600" w:right="799" w:hanging="322"/>
        <w:spacing w:after="0" w:line="259"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Teams with Meaningful Investment. </w:t>
      </w:r>
      <w:r>
        <w:rPr>
          <w:rFonts w:ascii="Arial" w:cs="Arial" w:eastAsia="Arial" w:hAnsi="Arial"/>
          <w:sz w:val="18"/>
          <w:szCs w:val="18"/>
          <w:color w:val="auto"/>
        </w:rPr>
        <w:t>We seek to invest in companies in which senior or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managers have significant company or industry-level experience and have significant equity ownership. It has been our experience that these management teams are more committed to the company’s success and more likely to manage the company in a manner that protects our debt and equity investments.</w:t>
      </w:r>
    </w:p>
    <w:p>
      <w:pPr>
        <w:spacing w:after="0" w:line="78" w:lineRule="exact"/>
        <w:rPr>
          <w:rFonts w:ascii="Arial" w:cs="Arial" w:eastAsia="Arial" w:hAnsi="Arial"/>
          <w:sz w:val="18"/>
          <w:szCs w:val="18"/>
          <w:color w:val="auto"/>
        </w:rPr>
      </w:pPr>
    </w:p>
    <w:p>
      <w:pPr>
        <w:ind w:left="600" w:right="579" w:hanging="322"/>
        <w:spacing w:after="0" w:line="279"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Invested Capital. </w:t>
      </w:r>
      <w:r>
        <w:rPr>
          <w:rFonts w:ascii="Arial" w:cs="Arial" w:eastAsia="Arial" w:hAnsi="Arial"/>
          <w:sz w:val="17"/>
          <w:szCs w:val="17"/>
          <w:color w:val="auto"/>
        </w:rPr>
        <w:t>We believe that the existence of an appropriate amount of equity beneath our debt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provides valuable support for our investment. In addition, the degree to which the particular investment is a meaningful one for the portfolio company’s financial sponsor, and the financial sponsor’s ability and willingness to invest additional equity capital as and to the extent necessary, are also important considerations.</w:t>
      </w:r>
    </w:p>
    <w:p>
      <w:pPr>
        <w:spacing w:after="0" w:line="63" w:lineRule="exact"/>
        <w:rPr>
          <w:rFonts w:ascii="Arial" w:cs="Arial" w:eastAsia="Arial" w:hAnsi="Arial"/>
          <w:sz w:val="17"/>
          <w:szCs w:val="17"/>
          <w:color w:val="auto"/>
        </w:rPr>
      </w:pPr>
    </w:p>
    <w:p>
      <w:pPr>
        <w:jc w:val="both"/>
        <w:ind w:left="600" w:right="699" w:hanging="322"/>
        <w:spacing w:after="0" w:line="259"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Appropriate Capital Structures. </w:t>
      </w:r>
      <w:r>
        <w:rPr>
          <w:rFonts w:ascii="Arial" w:cs="Arial" w:eastAsia="Arial" w:hAnsi="Arial"/>
          <w:sz w:val="18"/>
          <w:szCs w:val="18"/>
          <w:color w:val="auto"/>
        </w:rPr>
        <w:t>We seek to invest in companies that are appropriately capitalized. First, we examine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equity that is being invested by the company’s private equity sponsor to determine whether there is a sufficient capital cushion beneath our invested capital. We also analyze the amount of leverage and the characteristics of senior debt with lien priority over our investment.</w:t>
      </w:r>
    </w:p>
    <w:p>
      <w:pPr>
        <w:spacing w:after="0" w:line="78" w:lineRule="exact"/>
        <w:rPr>
          <w:rFonts w:ascii="Arial" w:cs="Arial" w:eastAsia="Arial" w:hAnsi="Arial"/>
          <w:sz w:val="18"/>
          <w:szCs w:val="18"/>
          <w:color w:val="auto"/>
        </w:rPr>
      </w:pPr>
    </w:p>
    <w:p>
      <w:pPr>
        <w:ind w:left="600" w:right="579" w:hanging="322"/>
        <w:spacing w:after="0" w:line="276"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Competitive Position. </w:t>
      </w:r>
      <w:r>
        <w:rPr>
          <w:rFonts w:ascii="Arial" w:cs="Arial" w:eastAsia="Arial" w:hAnsi="Arial"/>
          <w:sz w:val="17"/>
          <w:szCs w:val="17"/>
          <w:color w:val="auto"/>
        </w:rPr>
        <w:t>We intend to invest in companies that have developed strong, defensible product or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offerings within their respective market segments. These companies should be well positioned to capitalize on organic and strategic growth opportunities, and should compete in industries with strong fundamentals and meaningful barriers to entry. We further analyze prospective portfolio investments in order to identify competitive advantages within their respective industries, which may result in superior operating margins or industry-leading growth.</w:t>
      </w:r>
    </w:p>
    <w:p>
      <w:pPr>
        <w:spacing w:after="0" w:line="64" w:lineRule="exact"/>
        <w:rPr>
          <w:rFonts w:ascii="Arial" w:cs="Arial" w:eastAsia="Arial" w:hAnsi="Arial"/>
          <w:sz w:val="17"/>
          <w:szCs w:val="17"/>
          <w:color w:val="auto"/>
        </w:rPr>
      </w:pPr>
    </w:p>
    <w:p>
      <w:pPr>
        <w:ind w:left="600" w:right="579" w:hanging="322"/>
        <w:spacing w:after="0" w:line="272"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and Supplier Diversification. </w:t>
      </w:r>
      <w:r>
        <w:rPr>
          <w:rFonts w:ascii="Arial" w:cs="Arial" w:eastAsia="Arial" w:hAnsi="Arial"/>
          <w:sz w:val="17"/>
          <w:szCs w:val="17"/>
          <w:color w:val="auto"/>
        </w:rPr>
        <w:t>We expect to invest in companies with sufficiently diverse customer and supplier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bases. We believe these companies will be better able to endure industry consolidation, economic contraction and increased competition than those that are not sufficiently diversified. However, we also recognize that from time to time, an attractive investment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risk-adjusted pricing scenario.</w:t>
      </w:r>
    </w:p>
    <w:p>
      <w:pPr>
        <w:spacing w:after="0" w:line="200" w:lineRule="exact"/>
        <w:rPr>
          <w:sz w:val="20"/>
          <w:szCs w:val="20"/>
          <w:color w:val="auto"/>
        </w:rPr>
      </w:pP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ind w:left="40" w:right="619" w:firstLine="270"/>
        <w:spacing w:after="0" w:line="286" w:lineRule="auto"/>
        <w:rPr>
          <w:sz w:val="20"/>
          <w:szCs w:val="20"/>
          <w:color w:val="auto"/>
        </w:rPr>
      </w:pPr>
      <w:r>
        <w:rPr>
          <w:rFonts w:ascii="Arial" w:cs="Arial" w:eastAsia="Arial" w:hAnsi="Arial"/>
          <w:sz w:val="16"/>
          <w:szCs w:val="16"/>
          <w:color w:val="auto"/>
        </w:rPr>
        <w:t>The Investment Advisor’s investment team tailors the terms of each debt investment to the facts and circumstances of the transaction, the needs of the prospective portfolio company and, as applicable, its financial sponsor, negotiating a structure that seeks to protect our rights and manage our risk while creating incentives for the portfolio company to achieve its business plan. As of December 31, 2017, 64.5% of our debt investments were secured by a first lien on the assets of the portfolio company, and</w:t>
      </w:r>
    </w:p>
    <w:p>
      <w:pPr>
        <w:spacing w:after="0" w:line="2" w:lineRule="exact"/>
        <w:rPr>
          <w:sz w:val="20"/>
          <w:szCs w:val="20"/>
          <w:color w:val="auto"/>
        </w:rPr>
      </w:pPr>
    </w:p>
    <w:p>
      <w:pPr>
        <w:ind w:left="40" w:right="599"/>
        <w:spacing w:after="0" w:line="268" w:lineRule="auto"/>
        <w:rPr>
          <w:sz w:val="20"/>
          <w:szCs w:val="20"/>
          <w:color w:val="auto"/>
        </w:rPr>
      </w:pPr>
      <w:r>
        <w:rPr>
          <w:rFonts w:ascii="Arial" w:cs="Arial" w:eastAsia="Arial" w:hAnsi="Arial"/>
          <w:sz w:val="17"/>
          <w:szCs w:val="17"/>
          <w:color w:val="auto"/>
        </w:rPr>
        <w:t>35.5% of our debt investments were secured by a second lien on the assets of the portfolio company. We expect our primary source of return to be the monthly cash interest we will collect on our debt investments. We also typically seek board observation rights with each portfolio company and we offer (and have historically provided) managerial and strategic assistance to these companies. We seek to further protect invested principal by negotiating appropriate affirmative, negative and financial covenants in our debt documents that are conservative enough to represent a prudent cushion at closing or to budgeted projections, but that are flexible enough to afford our portfolio companies and their financial sponsors sufficient latitude to allow them to grow their businesses. Typical covenants include default triggers and remedies (including penalties), lien protection, leverage and fixed charge coverage ratios, change of control provisions and put rights. Most of our loans feature call protection to enhance our total return on debt investments that are repaid prior to maturity.</w:t>
      </w:r>
    </w:p>
    <w:p>
      <w:pPr>
        <w:spacing w:after="0" w:line="74"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Most of our debt investments are structured as first lien loans, and as of December 31, 2017, 64.5% of the fair value of our debt investments consisted of such investments.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In some cases, first lien loans may be subordinated, solely with respect to the payment of cash interest, to an asset based revolving credit facility. Unitranche debt, a form of first lien loan, typically involves issuing one debt security that blends the risk and return profiles of both senior secured and subordinated debt in one debt security, bifurcating the loan into a first-out tranche and last-out tranche. As of December 31, 2017, 13.7% of our first lien loans consisted of last-out loans. We believe that unitranche debt can be attractive for many lower middle-market and traditional middle-market businesses, given the reduced structural complexity, single lender interface and elimination of intercreditor or potential agency conflicts among lenders.</w:t>
      </w:r>
    </w:p>
    <w:p>
      <w:pPr>
        <w:spacing w:after="0" w:line="61" w:lineRule="exact"/>
        <w:rPr>
          <w:sz w:val="20"/>
          <w:szCs w:val="20"/>
          <w:color w:val="auto"/>
        </w:rPr>
      </w:pPr>
    </w:p>
    <w:p>
      <w:pPr>
        <w:ind w:left="40" w:right="959" w:firstLine="270"/>
        <w:spacing w:after="0" w:line="259" w:lineRule="auto"/>
        <w:rPr>
          <w:sz w:val="20"/>
          <w:szCs w:val="20"/>
          <w:color w:val="auto"/>
        </w:rPr>
      </w:pPr>
      <w:r>
        <w:rPr>
          <w:rFonts w:ascii="Arial" w:cs="Arial" w:eastAsia="Arial" w:hAnsi="Arial"/>
          <w:sz w:val="18"/>
          <w:szCs w:val="18"/>
          <w:color w:val="auto"/>
        </w:rPr>
        <w:t>We may also invest in debt instruments structured as second lien loans. On a fair market value basis, 8.2% of our debt investments consisted of second lien loans as of December 31, 2017. Second lien loans are loans which have a second priority security interest in all or substantially all of the borrower’s assets, and which are not subject to the blockage of cash interest payments to us at the first lien lender’s discretion.</w:t>
      </w:r>
    </w:p>
    <w:p>
      <w:pPr>
        <w:spacing w:after="0" w:line="79"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In addition to first and second lien loans, we may also invest in subordinated loans. On a fair market value basis, 27.3% of our debt investments consisted of subordinated loans as of December 31, 2017. Subordinated loans typically have a second lien on all or substantially all of the borrower’s assets, and unlike second lien loans, may be subject to the interruption of cash interest payments upon certain events of default, at the discretion of the first lien lender. Our subordinated loans are typically issued with five year terms.</w:t>
      </w:r>
    </w:p>
    <w:p>
      <w:pPr>
        <w:spacing w:after="0" w:line="80"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Some of our debt investments have payment-in-kind (“PIK”) interest, which is a form of interest that is not paid currently in cash, but is accrued and added to the loan balance until paid at the end of the term. While we generally seek to minimize the percentage of our fixed return that is in the form of PIK interest, we sometimes receive PIK interest due to prevailing market conditions that do not support the overall blended interest yield on our debt investments being paid in all-cash interest. As of December 31, 2017, our weighted average PIK yield, exclusive of the impact on non-accrual debt investments, is 1.5%. As of December 31, 2017, the weighted average annualized cash yield on our debt portfolio was 11.3%, exclusive of the impact of non-accrual debt investments. In addition to yield in the form of current cash and PIK interest, some of our debt investments include an equity component, such as a warrant to purchase a common equity interest in the borrower for a nominal price.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When we make a debt investment, we may be granted equity participation in the form of detachable warrants to purchase common equity in the company in the same class of security that the owners or equity sponsors receive upon funding. In addition, we may make non-control equity co-investments in conjunction</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57" w:lineRule="auto"/>
        <w:rPr>
          <w:sz w:val="20"/>
          <w:szCs w:val="20"/>
          <w:color w:val="auto"/>
        </w:rPr>
      </w:pPr>
      <w:r>
        <w:rPr>
          <w:rFonts w:ascii="Arial" w:cs="Arial" w:eastAsia="Arial" w:hAnsi="Arial"/>
          <w:sz w:val="18"/>
          <w:szCs w:val="18"/>
          <w:color w:val="auto"/>
        </w:rPr>
        <w:t>with a loan transaction with a borrower. The Investment Advisor’s investment team generally seeks to structure our equity investments, such as direct equity co-investments, to provide us with minority rights provisions and, to the extent available, event-driven put rights. They also seek to obtain limited registration rights in connection with these investments, which may include “piggyback” registration rights. In addition to warrants and equity co-investments, our debt investments in the future may contain a synthetic equity position.</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PROCESS</w:t>
      </w:r>
    </w:p>
    <w:p>
      <w:pPr>
        <w:spacing w:after="0" w:line="121" w:lineRule="exact"/>
        <w:rPr>
          <w:sz w:val="20"/>
          <w:szCs w:val="20"/>
          <w:color w:val="auto"/>
        </w:rPr>
      </w:pPr>
    </w:p>
    <w:p>
      <w:pPr>
        <w:ind w:left="40" w:right="659" w:firstLine="270"/>
        <w:spacing w:after="0" w:line="286" w:lineRule="auto"/>
        <w:rPr>
          <w:sz w:val="20"/>
          <w:szCs w:val="20"/>
          <w:color w:val="auto"/>
        </w:rPr>
      </w:pPr>
      <w:r>
        <w:rPr>
          <w:rFonts w:ascii="Arial" w:cs="Arial" w:eastAsia="Arial" w:hAnsi="Arial"/>
          <w:sz w:val="16"/>
          <w:szCs w:val="16"/>
          <w:color w:val="auto"/>
        </w:rPr>
        <w:t>Our Investment Advisor’s investment team is led by its investment committee and is responsible for all aspects of our investment process. The current members of the investment committee are Joseph B. Alala, III, our chief executive officer, chairman of our Board and the managing partner and chief investment officer of our Investment Advisor, M. Hunt Broyhill, a partner of our Investment Advisor, and John F. McGlinn, our chief operating officer, secretary and treasurer, and a director of our Investment Advisor. Peter Sherman serves as chief risk officer and a director of our Investment Advisor. Richard Wheelahan, our chief compliance officer and general counsel, Christopher B. Norton, Michael S. Marr, Randall Fontes, Adam Richeson, Eric Althofer, and Davis Hutchens, serve as directors of our Investment Advisor, and Casey Swercheck, Danny Speake, Christian MacCarron, and Jack Vander Leeuw each serve as vice presidents of our Investment Advisor. While the investment strategy involves a team approach, whereby potential transactions are screened by various members of the investment team, Mr. Alala and one other member of the investment committee of the Investment Advisor must approve investments in order for them to proceed. Messrs. Alala and McGlinn meet weekly and, together with Mr. Broyhill, on an as needed basis, depending on the nature and volume of investment opportunities. The Investment Advisor’s investment committee has worked together for over fifteen years. The stages of our investment selection process are as follows: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Deal Generation/Origination</w:t>
      </w:r>
    </w:p>
    <w:p>
      <w:pPr>
        <w:spacing w:after="0" w:line="117"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Deal generation and origination is maximized through long-standing and extensive relationships with industry contacts, brokers, commercial and investment bankers, entrepreneurs, service providers (such as lawyers and accountants), as well as current and former clients, portfolio companies and investors. Our Investment Advisor’s investment team supplements these lead generators by also utilizing broader marketing efforts, such as attendance at prospective borrower industry conventions, an active calling effort to investment banking boutiques, private equity firms and independent sponsors that are also investing in high quality lower middle-market and traditional middle-market companies, and, most importantly, based on our Investment Advisor’s track record as a responsive, flexible, value-add lender and co-investor, as demonstrated by 126 investments in lower middle-market and traditional middle-market businesses and equity co-investments with reputed private equity firms since 2000. We believe we have developed a reputation as a knowledgeable and reliable source of capital, providing value-added industry advice and financing assistance to borrowers’ businesses and in executing financial sponsors’ growth strategies. Furthermore, with offices throughout the United States, we have the ability to cover a large geographical area and to market to unique groups from each office. Specifically, our Charlotte, Raleigh, Fort Lauderdale, Atlanta, and Los Angeles offices cover significant territory that is traditionally underserved, allowing us to source a high volume of direct deal flow.</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Screening</w:t>
      </w:r>
    </w:p>
    <w:p>
      <w:pPr>
        <w:spacing w:after="0" w:line="117"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All potential investments that are received are screened for suitability and consistency with our investment criteria (see “— Due Diligence and Underwriting,” below). In screening potential investments, our Investment Advisor’s investment team utilizes the same value-oriented investment philosophy they employed in their work with the Legacy Funds and commits resources to managing downside exposure. If a potential investment meets our basic investment criteria, a deal team is assigned to perform preliminary due diligence. In doing so, we consider some or all of the following factors:</w:t>
      </w:r>
    </w:p>
    <w:p>
      <w:pPr>
        <w:spacing w:after="0" w:line="64" w:lineRule="exact"/>
        <w:rPr>
          <w:sz w:val="20"/>
          <w:szCs w:val="20"/>
          <w:color w:val="auto"/>
        </w:rPr>
      </w:pPr>
    </w:p>
    <w:p>
      <w:pPr>
        <w:ind w:left="600" w:right="539" w:hanging="322"/>
        <w:spacing w:after="0" w:line="302"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comprehensive financial model that we prepare based on quantitative analysis of historical financial performance, financial projections made by management or the financial sponsor, and pro forma financial ratios assuming an investment consistent with possible structures. In analyzing our model, we test various investment structures, pricing options, downside scenarios and other sensitivities in order to better understand potential risks and possible financial covenant ratios;</w:t>
      </w:r>
    </w:p>
    <w:p>
      <w:pPr>
        <w:spacing w:after="0" w:line="200" w:lineRule="exact"/>
        <w:rPr>
          <w:sz w:val="20"/>
          <w:szCs w:val="20"/>
          <w:color w:val="auto"/>
        </w:rPr>
      </w:pPr>
    </w:p>
    <w:p>
      <w:pPr>
        <w:spacing w:after="0" w:line="29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competitive landscape and industry dynamics impacting the potential portfolio company;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Strengths and weaknesses of the potential investment’s business strategy and industry outlook; and</w:t>
      </w:r>
    </w:p>
    <w:p>
      <w:pPr>
        <w:spacing w:after="0" w:line="117"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a broad qualitative analysis of the company’s products or services, market position and outlook, customers, suppliers and quality of management.</w:t>
      </w:r>
    </w:p>
    <w:p>
      <w:pPr>
        <w:spacing w:after="0" w:line="62"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If the results of this preliminary due diligence are satisfactory, the deal team prepares an executive summary that is presented to our Investment Advisor’s investment committee in a meeting that includes all members of the portfolio and investment teams. This executive summary includes the following areas:</w:t>
      </w:r>
    </w:p>
    <w:p>
      <w:pPr>
        <w:spacing w:after="0" w:line="73"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Company history and summary of product(s) and/or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overview of investors, anticipated capital sources and transaction timing;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structure and expected returns, including initial projected financial ratios;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Analysis of historical financial results and key assumptions;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Analysis of the company’s business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Analysis of the financial sponsor’s relevant experience or expected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strengths, weaknesses and priority issues to be addressed in due diligence;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 forma capitalization and ownership.</w:t>
      </w:r>
    </w:p>
    <w:p>
      <w:pPr>
        <w:spacing w:after="0" w:line="117"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7"/>
          <w:szCs w:val="17"/>
          <w:color w:val="auto"/>
        </w:rPr>
        <w:t>If our investment committee recommends moving forward, we will issue a non-binding term sheet or indication of interest to the potential portfolio company and, when applicable, its financial sponsor. If a term sheet is successfully negotiated, we will begin more formal due diligence and underwriting as we progress towards the ultimate investment approval and closing.</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Due Diligence and Underwriting</w:t>
      </w:r>
    </w:p>
    <w:p>
      <w:pPr>
        <w:spacing w:after="0" w:line="117" w:lineRule="exact"/>
        <w:rPr>
          <w:sz w:val="20"/>
          <w:szCs w:val="20"/>
          <w:color w:val="auto"/>
        </w:rPr>
      </w:pPr>
    </w:p>
    <w:p>
      <w:pPr>
        <w:ind w:left="40" w:right="699" w:firstLine="270"/>
        <w:spacing w:after="0" w:line="271" w:lineRule="auto"/>
        <w:rPr>
          <w:sz w:val="20"/>
          <w:szCs w:val="20"/>
          <w:color w:val="auto"/>
        </w:rPr>
      </w:pPr>
      <w:r>
        <w:rPr>
          <w:rFonts w:ascii="Arial" w:cs="Arial" w:eastAsia="Arial" w:hAnsi="Arial"/>
          <w:sz w:val="17"/>
          <w:szCs w:val="17"/>
          <w:color w:val="auto"/>
        </w:rPr>
        <w:t>The completion of due diligence deliverables is led by at least two investment professionals. However, all investment and portfolio team members are regularly updated with due diligence progress, especially any issues that emerge. The two investment professionals leading the due diligence efforts are typically assigned to the original deal team that worked on the executive summary. However, post-term sheet deal teams sometimes contain one or more additional investment professionals and may include other professionals from business development, portfolio or other areas if a particular skill or experience set would be especially valuable in the due diligence process. The members of the underwriting team complete due diligence and analyze the relationships among the prospective portfolio company’s business plan, operations and expected financial performance. Due diligence consists of some or all of the following:</w:t>
      </w:r>
    </w:p>
    <w:p>
      <w:pPr>
        <w:spacing w:after="0" w:line="71"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On-site visits with management and relevant key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In-depth review of historical and projected financial statements, including covenant calculation work sheets;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Interviews with customers and suppliers;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background checks;</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reports by third-party accountants, outside counsel and other industry, operational or financial experts, whether retained by us or the financial sponsor;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material contracts;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financial sponsor’s due diligence package and internal executive summaries.</w:t>
      </w:r>
    </w:p>
    <w:p>
      <w:pPr>
        <w:spacing w:after="0" w:line="117"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Typically, we utilize outside experts to analyze the legal affairs, accounting systems and financial results and, where appropriate, we engage specialists to investigate certain issues. During the underwriting process, significant, ongoing attention is devoted to sensitivity analyses regarding whether a company might bear a significant “downside” case and remain profitable and in compliance with assumed financial covenants. These “downside” scenarios typically involve assumptions regarding the loss of key customers and/or suppliers, an</w:t>
      </w:r>
    </w:p>
    <w:p>
      <w:pPr>
        <w:spacing w:after="0" w:line="200" w:lineRule="exact"/>
        <w:rPr>
          <w:sz w:val="20"/>
          <w:szCs w:val="20"/>
          <w:color w:val="auto"/>
        </w:rPr>
      </w:pPr>
    </w:p>
    <w:p>
      <w:pPr>
        <w:spacing w:after="0" w:line="33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79"/>
        <w:spacing w:after="0" w:line="342" w:lineRule="auto"/>
        <w:rPr>
          <w:sz w:val="20"/>
          <w:szCs w:val="20"/>
          <w:color w:val="auto"/>
        </w:rPr>
      </w:pPr>
      <w:r>
        <w:rPr>
          <w:rFonts w:ascii="Arial" w:cs="Arial" w:eastAsia="Arial" w:hAnsi="Arial"/>
          <w:sz w:val="16"/>
          <w:szCs w:val="16"/>
          <w:color w:val="auto"/>
        </w:rPr>
        <w:t>economic downturn, adverse regulatory changes and other relevant stressors that we attempt to simulate in our quantitative and qualitative analyses. Further, we continually examine the effect of these scenarios on financial ratios and other metrics.</w:t>
      </w:r>
    </w:p>
    <w:p>
      <w:pPr>
        <w:spacing w:after="0" w:line="16" w:lineRule="exact"/>
        <w:rPr>
          <w:sz w:val="20"/>
          <w:szCs w:val="20"/>
          <w:color w:val="auto"/>
        </w:rPr>
      </w:pPr>
    </w:p>
    <w:p>
      <w:pPr>
        <w:jc w:val="both"/>
        <w:ind w:left="40" w:right="599" w:firstLine="270"/>
        <w:spacing w:after="0" w:line="312" w:lineRule="auto"/>
        <w:rPr>
          <w:sz w:val="20"/>
          <w:szCs w:val="20"/>
          <w:color w:val="auto"/>
        </w:rPr>
      </w:pPr>
      <w:r>
        <w:rPr>
          <w:rFonts w:ascii="Arial" w:cs="Arial" w:eastAsia="Arial" w:hAnsi="Arial"/>
          <w:sz w:val="16"/>
          <w:szCs w:val="16"/>
          <w:color w:val="auto"/>
        </w:rPr>
        <w:t>During the underwriting process, the executive summary that was completed for the initial investment committee presentation is updated and changes are presented at subsequent, weekly meetings of the investment committee for continued discussion and, to the extent applicable, the investment committee issues new instructions to the underwriting team from the investment committee.</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Approval, Documentation and Closing</w:t>
      </w:r>
    </w:p>
    <w:p>
      <w:pPr>
        <w:spacing w:after="0" w:line="117"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The underwriting team for the proposed investment presents the updated executive summary and key findings from due diligence to the investment committee on an ongoing, weekly basis. Prior to the commencement of documentation, approval from the investment committee is sought and, if approved, the underwriting professionals heretofore involved proceed to documentation.</w:t>
      </w:r>
    </w:p>
    <w:p>
      <w:pPr>
        <w:spacing w:after="0" w:line="39"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At all times during the documentation process, the underwriting professionals who conducted the due diligence remain involved; likewise, all extensively negotiated documentation decisions are made by the lead underwriting team member, in accordance with input from at least one investment committee member and guidance from outside counsel. As and to the extent necessary, key documentation challenges are brought before the investment committee for prompt discussion and resolution. Upon the completion of satisfactory documentation and the satisfaction of closing conditions, final approval is sought from the investment committee before closing and funding.</w:t>
      </w:r>
    </w:p>
    <w:p>
      <w:pPr>
        <w:spacing w:after="0" w:line="122" w:lineRule="exact"/>
        <w:rPr>
          <w:sz w:val="20"/>
          <w:szCs w:val="20"/>
          <w:color w:val="auto"/>
        </w:rPr>
      </w:pPr>
    </w:p>
    <w:p>
      <w:pPr>
        <w:ind w:left="40" w:right="4819"/>
        <w:spacing w:after="0" w:line="401" w:lineRule="auto"/>
        <w:rPr>
          <w:sz w:val="20"/>
          <w:szCs w:val="20"/>
          <w:color w:val="auto"/>
        </w:rPr>
      </w:pPr>
      <w:r>
        <w:rPr>
          <w:rFonts w:ascii="Arial" w:cs="Arial" w:eastAsia="Arial" w:hAnsi="Arial"/>
          <w:sz w:val="18"/>
          <w:szCs w:val="18"/>
          <w:b w:val="1"/>
          <w:bCs w:val="1"/>
          <w:color w:val="auto"/>
        </w:rPr>
        <w:t xml:space="preserve">ONGOING RELATIONSHIPS WITH PORTFOLIO COMPANIES </w:t>
      </w:r>
      <w:r>
        <w:rPr>
          <w:rFonts w:ascii="Arial" w:cs="Arial" w:eastAsia="Arial" w:hAnsi="Arial"/>
          <w:sz w:val="18"/>
          <w:szCs w:val="18"/>
          <w:b w:val="1"/>
          <w:bCs w:val="1"/>
          <w:i w:val="1"/>
          <w:iCs w:val="1"/>
          <w:color w:val="auto"/>
        </w:rPr>
        <w:t>Monitoring</w:t>
      </w:r>
    </w:p>
    <w:p>
      <w:pPr>
        <w:spacing w:after="0" w:line="1" w:lineRule="exact"/>
        <w:rPr>
          <w:sz w:val="20"/>
          <w:szCs w:val="20"/>
          <w:color w:val="auto"/>
        </w:rPr>
      </w:pPr>
    </w:p>
    <w:p>
      <w:pPr>
        <w:ind w:left="40" w:right="759" w:firstLine="270"/>
        <w:spacing w:after="0" w:line="290" w:lineRule="auto"/>
        <w:rPr>
          <w:sz w:val="20"/>
          <w:szCs w:val="20"/>
          <w:color w:val="auto"/>
        </w:rPr>
      </w:pPr>
      <w:r>
        <w:rPr>
          <w:rFonts w:ascii="Arial" w:cs="Arial" w:eastAsia="Arial" w:hAnsi="Arial"/>
          <w:sz w:val="16"/>
          <w:szCs w:val="16"/>
          <w:color w:val="auto"/>
        </w:rPr>
        <w:t>Our Investment Advisor monitors our portfolio companies on an ongoing basis. It monitors the financial trends of each portfolio company to determine if it is meeting its business plan and to assess the appropriate course of action for each company. We generally require our portfolio companies to provide annual audited financial statements and quarterly unaudited financial statements, in each case, with management discussion and analysis and covenant compliance certificates, and monthly unaudited financial statements. Using the monthly financial statements, we calculate and evaluate all financial covenants and additional financial coverage ratios that might not be part of our covenant package in the loan documents. For purposes of analyzing a portfolio company’s financial performance, we may adjust their financial statements to reflect pro forma results in the event of a recent change of control, sale, acquisition or anticipated cost savings.</w:t>
      </w:r>
    </w:p>
    <w:p>
      <w:pPr>
        <w:spacing w:after="0" w:line="58"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Our Investment Advisor has several methods of evaluating and monitoring the performance and fair value of our investments, including the following:</w:t>
      </w:r>
    </w:p>
    <w:p>
      <w:pPr>
        <w:spacing w:after="0" w:line="62" w:lineRule="exact"/>
        <w:rPr>
          <w:sz w:val="20"/>
          <w:szCs w:val="20"/>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Assessment of success in adhering to each portfolio company’s business plan and compliance with covenants;</w:t>
      </w:r>
    </w:p>
    <w:p>
      <w:pPr>
        <w:spacing w:after="0" w:line="117" w:lineRule="exact"/>
        <w:rPr>
          <w:rFonts w:ascii="Arial" w:cs="Arial" w:eastAsia="Arial" w:hAnsi="Arial"/>
          <w:sz w:val="18"/>
          <w:szCs w:val="18"/>
          <w:color w:val="auto"/>
        </w:rPr>
      </w:pPr>
    </w:p>
    <w:p>
      <w:pPr>
        <w:ind w:left="600" w:right="71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Comparisons to our other portfolio companies in the industry, if any;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Attendance at and participation in the board meetings;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17"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In addition to various risk management and monitoring tools, our Investment Advisor also uses an investment rating system to characterize and monitor our expected level of return on each investment in our portfolio.</w:t>
      </w:r>
    </w:p>
    <w:p>
      <w:pPr>
        <w:spacing w:after="0" w:line="62"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is used internally to estimate the probability of: (i) default on our debt</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699"/>
        <w:spacing w:after="0" w:line="286" w:lineRule="auto"/>
        <w:rPr>
          <w:sz w:val="20"/>
          <w:szCs w:val="20"/>
          <w:color w:val="auto"/>
        </w:rPr>
      </w:pPr>
      <w:r>
        <w:rPr>
          <w:rFonts w:ascii="Arial" w:cs="Arial" w:eastAsia="Arial" w:hAnsi="Arial"/>
          <w:sz w:val="17"/>
          <w:szCs w:val="17"/>
          <w:color w:val="auto"/>
        </w:rPr>
        <w:t>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167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13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80" w:type="dxa"/>
            <w:vAlign w:val="bottom"/>
          </w:tcPr>
          <w:p>
            <w:pPr>
              <w:jc w:val="center"/>
              <w:ind w:right="1328"/>
              <w:spacing w:after="0"/>
              <w:rPr>
                <w:sz w:val="20"/>
                <w:szCs w:val="20"/>
                <w:color w:val="auto"/>
              </w:rPr>
            </w:pPr>
            <w:r>
              <w:rPr>
                <w:rFonts w:ascii="Arial" w:cs="Arial" w:eastAsia="Arial" w:hAnsi="Arial"/>
                <w:sz w:val="14"/>
                <w:szCs w:val="14"/>
                <w:b w:val="1"/>
                <w:bCs w:val="1"/>
                <w:color w:val="auto"/>
                <w:w w:val="91"/>
              </w:rPr>
              <w:t>Investment</w:t>
            </w:r>
          </w:p>
        </w:tc>
        <w:tc>
          <w:tcPr>
            <w:tcW w:w="2760" w:type="dxa"/>
            <w:vAlign w:val="bottom"/>
            <w:vMerge w:val="restart"/>
          </w:tcPr>
          <w:p>
            <w:pPr>
              <w:ind w:left="1400"/>
              <w:spacing w:after="0"/>
              <w:rPr>
                <w:sz w:val="20"/>
                <w:szCs w:val="20"/>
                <w:color w:val="auto"/>
              </w:rPr>
            </w:pPr>
            <w:r>
              <w:rPr>
                <w:rFonts w:ascii="Arial" w:cs="Arial" w:eastAsia="Arial" w:hAnsi="Arial"/>
                <w:sz w:val="14"/>
                <w:szCs w:val="14"/>
                <w:b w:val="1"/>
                <w:bCs w:val="1"/>
                <w:color w:val="auto"/>
                <w:w w:val="92"/>
              </w:rPr>
              <w:t>Summary Description</w:t>
            </w:r>
          </w:p>
        </w:tc>
        <w:tc>
          <w:tcPr>
            <w:tcW w:w="0" w:type="dxa"/>
            <w:vAlign w:val="bottom"/>
          </w:tcPr>
          <w:p>
            <w:pPr>
              <w:spacing w:after="0"/>
              <w:rPr>
                <w:sz w:val="1"/>
                <w:szCs w:val="1"/>
                <w:color w:val="auto"/>
              </w:rPr>
            </w:pPr>
          </w:p>
        </w:tc>
      </w:tr>
      <w:tr>
        <w:trPr>
          <w:trHeight w:val="186"/>
        </w:trPr>
        <w:tc>
          <w:tcPr>
            <w:tcW w:w="2080" w:type="dxa"/>
            <w:vAlign w:val="bottom"/>
          </w:tcPr>
          <w:p>
            <w:pPr>
              <w:jc w:val="center"/>
              <w:ind w:right="1348"/>
              <w:spacing w:after="0"/>
              <w:rPr>
                <w:sz w:val="20"/>
                <w:szCs w:val="20"/>
                <w:color w:val="auto"/>
              </w:rPr>
            </w:pPr>
            <w:r>
              <w:rPr>
                <w:rFonts w:ascii="Arial" w:cs="Arial" w:eastAsia="Arial" w:hAnsi="Arial"/>
                <w:sz w:val="14"/>
                <w:szCs w:val="14"/>
                <w:b w:val="1"/>
                <w:bCs w:val="1"/>
                <w:color w:val="auto"/>
                <w:w w:val="96"/>
              </w:rPr>
              <w:t>Rating</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wp:posOffset>
            </wp:positionV>
            <wp:extent cx="47510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ind w:left="1340" w:right="2919" w:hanging="731"/>
        <w:spacing w:after="0" w:line="264" w:lineRule="auto"/>
        <w:tabs>
          <w:tab w:leader="none" w:pos="1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general, the investment may be performing above our internal expectations. Full return of principal and interest is expected. Capital gain is expected.</w:t>
      </w:r>
    </w:p>
    <w:p>
      <w:pPr>
        <w:spacing w:after="0" w:line="1" w:lineRule="exact"/>
        <w:rPr>
          <w:sz w:val="20"/>
          <w:szCs w:val="20"/>
          <w:color w:val="auto"/>
        </w:rPr>
      </w:pPr>
    </w:p>
    <w:p>
      <w:pPr>
        <w:ind w:left="1340" w:right="2839" w:hanging="731"/>
        <w:spacing w:after="0" w:line="265" w:lineRule="auto"/>
        <w:tabs>
          <w:tab w:leader="none" w:pos="1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 w:lineRule="exact"/>
        <w:rPr>
          <w:sz w:val="20"/>
          <w:szCs w:val="20"/>
          <w:color w:val="auto"/>
        </w:rPr>
      </w:pPr>
    </w:p>
    <w:p>
      <w:pPr>
        <w:ind w:left="1340" w:right="2699" w:hanging="731"/>
        <w:spacing w:after="0" w:line="281" w:lineRule="auto"/>
        <w:tabs>
          <w:tab w:leader="none" w:pos="1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general, the investment may be performing below our internal expectations and therefore, investments in this category may require closer internal monitoring; however, the valuation team believes that no loss of investment return (interest and/or</w:t>
      </w:r>
    </w:p>
    <w:p>
      <w:pPr>
        <w:spacing w:after="0" w:line="2" w:lineRule="exact"/>
        <w:rPr>
          <w:sz w:val="20"/>
          <w:szCs w:val="20"/>
          <w:color w:val="auto"/>
        </w:rPr>
      </w:pPr>
    </w:p>
    <w:p>
      <w:pPr>
        <w:ind w:left="1340" w:right="2939"/>
        <w:spacing w:after="0" w:line="250" w:lineRule="auto"/>
        <w:rPr>
          <w:sz w:val="20"/>
          <w:szCs w:val="20"/>
          <w:color w:val="auto"/>
        </w:rPr>
      </w:pPr>
      <w:r>
        <w:rPr>
          <w:rFonts w:ascii="Arial" w:cs="Arial" w:eastAsia="Arial" w:hAnsi="Arial"/>
          <w:sz w:val="18"/>
          <w:szCs w:val="18"/>
          <w:color w:val="auto"/>
        </w:rPr>
        <w:t>dividends) or principal is expected. The investment also may be out of compliance with certain financial covenants.</w:t>
      </w:r>
    </w:p>
    <w:p>
      <w:pPr>
        <w:spacing w:after="0" w:line="1" w:lineRule="exact"/>
        <w:rPr>
          <w:sz w:val="20"/>
          <w:szCs w:val="20"/>
          <w:color w:val="auto"/>
        </w:rPr>
      </w:pPr>
    </w:p>
    <w:p>
      <w:pPr>
        <w:ind w:left="1340" w:hanging="731"/>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w:t>
      </w:r>
    </w:p>
    <w:p>
      <w:pPr>
        <w:spacing w:after="0" w:line="9" w:lineRule="exact"/>
        <w:rPr>
          <w:sz w:val="20"/>
          <w:szCs w:val="20"/>
          <w:color w:val="auto"/>
        </w:rPr>
      </w:pPr>
    </w:p>
    <w:p>
      <w:pPr>
        <w:ind w:left="1340" w:right="2939"/>
        <w:spacing w:after="0" w:line="250" w:lineRule="auto"/>
        <w:rPr>
          <w:sz w:val="20"/>
          <w:szCs w:val="20"/>
          <w:color w:val="auto"/>
        </w:rPr>
      </w:pPr>
      <w:r>
        <w:rPr>
          <w:rFonts w:ascii="Arial" w:cs="Arial" w:eastAsia="Arial" w:hAnsi="Arial"/>
          <w:sz w:val="18"/>
          <w:szCs w:val="18"/>
          <w:color w:val="auto"/>
        </w:rPr>
        <w:t>quantitative or qualitative risks may have increased substantially since the original investment. Loss of some or all principal is expected.</w:t>
      </w:r>
    </w:p>
    <w:p>
      <w:pPr>
        <w:spacing w:after="0" w:line="1" w:lineRule="exact"/>
        <w:rPr>
          <w:sz w:val="20"/>
          <w:szCs w:val="20"/>
          <w:color w:val="auto"/>
        </w:rPr>
      </w:pPr>
    </w:p>
    <w:p>
      <w:pPr>
        <w:ind w:left="1340" w:right="2799" w:hanging="731"/>
        <w:spacing w:after="0" w:line="302" w:lineRule="auto"/>
        <w:tabs>
          <w:tab w:leader="none" w:pos="1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47" w:lineRule="exact"/>
        <w:rPr>
          <w:sz w:val="20"/>
          <w:szCs w:val="20"/>
          <w:color w:val="auto"/>
        </w:rPr>
      </w:pPr>
    </w:p>
    <w:p>
      <w:pPr>
        <w:ind w:left="180" w:right="579" w:firstLine="270"/>
        <w:spacing w:after="0" w:line="259"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79" w:lineRule="exact"/>
        <w:rPr>
          <w:sz w:val="20"/>
          <w:szCs w:val="20"/>
          <w:color w:val="auto"/>
        </w:rPr>
      </w:pPr>
    </w:p>
    <w:p>
      <w:pPr>
        <w:ind w:left="180" w:right="599" w:firstLine="27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as of December 31, 2017 and December 31, 2016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796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5"/>
              </w:rPr>
              <w:t>As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December 31, 2016</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Investments</w:t>
            </w:r>
          </w:p>
        </w:tc>
        <w:tc>
          <w:tcPr>
            <w:tcW w:w="160" w:type="dxa"/>
            <w:vAlign w:val="bottom"/>
          </w:tcPr>
          <w:p>
            <w:pPr>
              <w:spacing w:after="0"/>
              <w:rPr>
                <w:sz w:val="10"/>
                <w:szCs w:val="10"/>
                <w:color w:val="auto"/>
              </w:rPr>
            </w:pP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8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160" w:type="dxa"/>
            <w:vAlign w:val="bottom"/>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Rating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9"/>
              </w:rPr>
              <w:t>at Fair</w:t>
            </w: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at Fair</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9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w w:val="95"/>
              </w:rPr>
              <w:t>191,204</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183,826</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5"/>
              </w:rPr>
              <w:t>186,445</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215,058</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97,309</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125,381</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23.2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24,981</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17,374</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499,939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541,639</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9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-659765</wp:posOffset>
            </wp:positionV>
            <wp:extent cx="5213985"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AGREEMENTS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Advisory Agreement</w:t>
      </w:r>
    </w:p>
    <w:p>
      <w:pPr>
        <w:spacing w:after="0" w:line="121" w:lineRule="exact"/>
        <w:rPr>
          <w:sz w:val="20"/>
          <w:szCs w:val="20"/>
          <w:color w:val="auto"/>
        </w:rPr>
      </w:pPr>
    </w:p>
    <w:p>
      <w:pPr>
        <w:jc w:val="both"/>
        <w:ind w:left="40" w:right="599" w:firstLine="270"/>
        <w:spacing w:after="0" w:line="286" w:lineRule="auto"/>
        <w:rPr>
          <w:sz w:val="20"/>
          <w:szCs w:val="20"/>
          <w:color w:val="auto"/>
        </w:rPr>
      </w:pPr>
      <w:r>
        <w:rPr>
          <w:rFonts w:ascii="Arial" w:cs="Arial" w:eastAsia="Arial" w:hAnsi="Arial"/>
          <w:sz w:val="17"/>
          <w:szCs w:val="17"/>
          <w:color w:val="auto"/>
        </w:rPr>
        <w:t>Our Investment Advisor is registered as an investment adviser under the Advisers Act. Subject to the overall supervision of our Board, our Investment Advisor manages our day-to-day operations, and provides investment advisory and management services to us. Under the terms of our Investment Advisory Agreement, the Investment Advisor:</w:t>
      </w:r>
    </w:p>
    <w:p>
      <w:pPr>
        <w:spacing w:after="0" w:line="57" w:lineRule="exact"/>
        <w:rPr>
          <w:sz w:val="20"/>
          <w:szCs w:val="20"/>
          <w:color w:val="auto"/>
        </w:rPr>
      </w:pPr>
    </w:p>
    <w:p>
      <w:pPr>
        <w:ind w:left="600" w:right="1139" w:hanging="322"/>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600" w:right="819" w:hanging="322"/>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 Fee</w:t>
      </w:r>
    </w:p>
    <w:p>
      <w:pPr>
        <w:spacing w:after="0" w:line="117" w:lineRule="exact"/>
        <w:rPr>
          <w:sz w:val="20"/>
          <w:szCs w:val="20"/>
          <w:color w:val="auto"/>
        </w:rPr>
      </w:pPr>
    </w:p>
    <w:p>
      <w:pPr>
        <w:ind w:left="40" w:right="699" w:firstLine="270"/>
        <w:spacing w:after="0" w:line="308" w:lineRule="auto"/>
        <w:rPr>
          <w:sz w:val="20"/>
          <w:szCs w:val="20"/>
          <w:color w:val="auto"/>
        </w:rPr>
      </w:pPr>
      <w:r>
        <w:rPr>
          <w:rFonts w:ascii="Arial" w:cs="Arial" w:eastAsia="Arial" w:hAnsi="Arial"/>
          <w:sz w:val="17"/>
          <w:szCs w:val="17"/>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38"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The base management fee is calculated at an annual rate of 1.75% of our gross assets, which is our total assets as reflected on our consolidated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was initially calculated based on the value of our gross assets at the end of the first calendar quarter subsequent to our IPO, and thereafter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waived the portion of the base management fee payable on cash and cash equivalents held at the Capitala Finance level, excluding cash and cash equivalents held by the Legacy Funds that were acquired by Capitala Finance in connection with the Formation Transactions.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incentive fee consists of the following two parts:</w:t>
      </w:r>
    </w:p>
    <w:p>
      <w:pPr>
        <w:spacing w:after="0" w:line="117"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6"/>
          <w:szCs w:val="16"/>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an administration agreement between us and the administrator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308" w:lineRule="auto"/>
        <w:rPr>
          <w:sz w:val="20"/>
          <w:szCs w:val="20"/>
          <w:color w:val="auto"/>
        </w:rPr>
      </w:pPr>
      <w:r>
        <w:rPr>
          <w:rFonts w:ascii="Arial" w:cs="Arial" w:eastAsia="Arial" w:hAnsi="Arial"/>
          <w:sz w:val="17"/>
          <w:szCs w:val="17"/>
          <w:color w:val="auto"/>
        </w:rPr>
        <w:t>is also included in the amount of our gross assets used to calculate the 1.75% base management fee. We pay the Investment Advisor an incentive fee with respect to our pre-incentive fee net investment income in each calendar quarter as follows:</w:t>
      </w:r>
    </w:p>
    <w:p>
      <w:pPr>
        <w:spacing w:after="0" w:line="38" w:lineRule="exact"/>
        <w:rPr>
          <w:sz w:val="20"/>
          <w:szCs w:val="20"/>
          <w:color w:val="auto"/>
        </w:rPr>
      </w:pPr>
    </w:p>
    <w:p>
      <w:pPr>
        <w:ind w:left="600" w:right="57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net investment income does not exceed the hurdle of 2.0%;</w:t>
      </w:r>
    </w:p>
    <w:p>
      <w:pPr>
        <w:spacing w:after="0" w:line="62" w:lineRule="exact"/>
        <w:rPr>
          <w:rFonts w:ascii="Arial" w:cs="Arial" w:eastAsia="Arial" w:hAnsi="Arial"/>
          <w:sz w:val="18"/>
          <w:szCs w:val="18"/>
          <w:color w:val="auto"/>
        </w:rPr>
      </w:pPr>
    </w:p>
    <w:p>
      <w:pPr>
        <w:ind w:left="600" w:right="559" w:hanging="322"/>
        <w:spacing w:after="0" w:line="297"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Advisor with 20% of our pre-incentive fee net investment income as if a hurdle did not apply if this net investment income exceeds 2.5% in any calendar quarter; and</w:t>
      </w:r>
    </w:p>
    <w:p>
      <w:pPr>
        <w:spacing w:after="0" w:line="50" w:lineRule="exact"/>
        <w:rPr>
          <w:rFonts w:ascii="Arial" w:cs="Arial" w:eastAsia="Arial" w:hAnsi="Arial"/>
          <w:sz w:val="16"/>
          <w:szCs w:val="16"/>
          <w:color w:val="auto"/>
        </w:rPr>
      </w:pPr>
    </w:p>
    <w:p>
      <w:pPr>
        <w:ind w:left="600" w:right="539" w:hanging="322"/>
        <w:spacing w:after="0" w:line="264"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73"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The Investment Advisor has voluntarily agreed to waive all or such portion of the quarterly incentive fees earned by the Investment Advisor that would otherwise cause our quarterly net investment income to be less than the distribution payments declared by our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2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74295</wp:posOffset>
            </wp:positionV>
            <wp:extent cx="3267075" cy="4800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670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Percentage of pre-incentive fee net investment income allocated to the Capitala Investment Advisors</w:t>
      </w:r>
    </w:p>
    <w:p>
      <w:pPr>
        <w:spacing w:after="0" w:line="121"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pre-incentive fee net investment income.</w:t>
      </w:r>
    </w:p>
    <w:p>
      <w:pPr>
        <w:spacing w:after="0" w:line="64"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80"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spacing w:after="0" w:line="264" w:lineRule="auto"/>
        <w:rPr>
          <w:sz w:val="20"/>
          <w:szCs w:val="20"/>
          <w:color w:val="auto"/>
        </w:rPr>
      </w:pPr>
      <w:r>
        <w:rPr>
          <w:rFonts w:ascii="Arial" w:cs="Arial" w:eastAsia="Arial" w:hAnsi="Arial"/>
          <w:sz w:val="18"/>
          <w:szCs w:val="18"/>
          <w:color w:val="auto"/>
        </w:rPr>
        <w:t>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1:</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income (including interest, dividends, fees, etc.) = 1.25%</w:t>
      </w:r>
    </w:p>
    <w:p>
      <w:pPr>
        <w:ind w:left="4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4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40"/>
        <w:spacing w:after="0" w:line="18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income – (management fee + other expenses)) = 0.55%</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income (including interest, dividends, fees, etc.) = 2.9%</w:t>
      </w:r>
    </w:p>
    <w:p>
      <w:pPr>
        <w:ind w:left="4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4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40"/>
        <w:spacing w:after="0" w:line="18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income – (management fee + other expenses)) = 2.2%</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Incentive fee = 100% × pre-incentive fee net investment income, subject to the “catch-up”</w:t>
      </w:r>
      <w:r>
        <w:rPr>
          <w:rFonts w:ascii="Arial" w:cs="Arial" w:eastAsia="Arial" w:hAnsi="Arial"/>
          <w:sz w:val="30"/>
          <w:szCs w:val="30"/>
          <w:color w:val="auto"/>
          <w:vertAlign w:val="superscript"/>
        </w:rPr>
        <w:t>(4)</w:t>
      </w:r>
    </w:p>
    <w:p>
      <w:pPr>
        <w:spacing w:after="0" w:line="32" w:lineRule="exact"/>
        <w:rPr>
          <w:sz w:val="20"/>
          <w:szCs w:val="20"/>
          <w:color w:val="auto"/>
        </w:rPr>
      </w:pPr>
    </w:p>
    <w:p>
      <w:pPr>
        <w:ind w:left="1220" w:hanging="13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 × (2.2% – 2.0%)</w:t>
      </w:r>
    </w:p>
    <w:p>
      <w:pPr>
        <w:spacing w:after="0" w:line="101" w:lineRule="exact"/>
        <w:rPr>
          <w:rFonts w:ascii="Arial" w:cs="Arial" w:eastAsia="Arial" w:hAnsi="Arial"/>
          <w:sz w:val="18"/>
          <w:szCs w:val="18"/>
          <w:color w:val="auto"/>
        </w:rPr>
      </w:pPr>
    </w:p>
    <w:p>
      <w:pPr>
        <w:ind w:left="1220" w:hanging="13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0.20%</w:t>
      </w:r>
    </w:p>
    <w:p>
      <w:pPr>
        <w:spacing w:after="0" w:line="117"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0.20%.</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3:</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income (including interest, dividends, fees, etc.) = 3.50%</w:t>
      </w:r>
    </w:p>
    <w:p>
      <w:pPr>
        <w:ind w:left="4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4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40"/>
        <w:spacing w:after="0" w:line="18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income – (management fee + other expenses)) = 2.80%</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Incentive fee = 20% × pre-incentive fee net investment income, subject to “catch-up”</w:t>
      </w:r>
      <w:r>
        <w:rPr>
          <w:rFonts w:ascii="Arial" w:cs="Arial" w:eastAsia="Arial" w:hAnsi="Arial"/>
          <w:sz w:val="30"/>
          <w:szCs w:val="30"/>
          <w:color w:val="auto"/>
          <w:vertAlign w:val="superscript"/>
        </w:rPr>
        <w:t>(4)</w:t>
      </w:r>
    </w:p>
    <w:p>
      <w:pPr>
        <w:ind w:left="40"/>
        <w:spacing w:after="0"/>
        <w:rPr>
          <w:sz w:val="20"/>
          <w:szCs w:val="20"/>
          <w:color w:val="auto"/>
        </w:rPr>
      </w:pPr>
      <w:r>
        <w:rPr>
          <w:rFonts w:ascii="Arial" w:cs="Arial" w:eastAsia="Arial" w:hAnsi="Arial"/>
          <w:sz w:val="18"/>
          <w:szCs w:val="18"/>
          <w:color w:val="auto"/>
        </w:rPr>
        <w:t>Incentive fee = 100% × “catch-up” + (20% × (pre-incentive fee net investment income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176530</wp:posOffset>
            </wp:positionV>
            <wp:extent cx="617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hypothetical amount of pre-incentive fee net investment income shown is based on a percentage of total net assets.</w:t>
      </w:r>
    </w:p>
    <w:p>
      <w:pPr>
        <w:spacing w:after="0" w:line="200" w:lineRule="exact"/>
        <w:rPr>
          <w:rFonts w:ascii="Arial" w:cs="Arial" w:eastAsia="Arial" w:hAnsi="Arial"/>
          <w:sz w:val="17"/>
          <w:szCs w:val="17"/>
          <w:color w:val="auto"/>
        </w:rPr>
      </w:pPr>
    </w:p>
    <w:p>
      <w:pPr>
        <w:spacing w:after="0" w:line="387" w:lineRule="exact"/>
        <w:rPr>
          <w:rFonts w:ascii="Arial" w:cs="Arial" w:eastAsia="Arial" w:hAnsi="Arial"/>
          <w:sz w:val="17"/>
          <w:szCs w:val="17"/>
          <w:color w:val="auto"/>
        </w:rPr>
      </w:pPr>
    </w:p>
    <w:p>
      <w:pPr>
        <w:ind w:left="4560"/>
        <w:spacing w:after="0"/>
        <w:rPr>
          <w:rFonts w:ascii="Arial" w:cs="Arial" w:eastAsia="Arial" w:hAnsi="Arial"/>
          <w:sz w:val="17"/>
          <w:szCs w:val="17"/>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0" w:type="dxa"/>
            <w:vAlign w:val="bottom"/>
          </w:tcPr>
          <w:p>
            <w:pPr>
              <w:ind w:left="240"/>
              <w:spacing w:after="0"/>
              <w:rPr>
                <w:sz w:val="20"/>
                <w:szCs w:val="20"/>
                <w:color w:val="auto"/>
              </w:rPr>
            </w:pPr>
            <w:r>
              <w:rPr>
                <w:rFonts w:ascii="Arial" w:cs="Arial" w:eastAsia="Arial" w:hAnsi="Arial"/>
                <w:sz w:val="18"/>
                <w:szCs w:val="18"/>
                <w:color w:val="auto"/>
              </w:rPr>
              <w:t>Catch-up</w:t>
            </w: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 2.5% – 2.0%</w:t>
            </w:r>
          </w:p>
        </w:tc>
      </w:tr>
      <w:tr>
        <w:trPr>
          <w:trHeight w:val="230"/>
        </w:trPr>
        <w:tc>
          <w:tcPr>
            <w:tcW w:w="1000" w:type="dxa"/>
            <w:vAlign w:val="bottom"/>
          </w:tcPr>
          <w:p>
            <w:pPr>
              <w:spacing w:after="0"/>
              <w:rPr>
                <w:sz w:val="20"/>
                <w:szCs w:val="20"/>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 0.5%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5"/>
              </w:rPr>
              <w:t>Incentive fee</w:t>
            </w:r>
          </w:p>
        </w:tc>
        <w:tc>
          <w:tcPr>
            <w:tcW w:w="3300" w:type="dxa"/>
            <w:vAlign w:val="bottom"/>
            <w:gridSpan w:val="2"/>
          </w:tcPr>
          <w:p>
            <w:pPr>
              <w:ind w:left="80"/>
              <w:spacing w:after="0"/>
              <w:rPr>
                <w:sz w:val="20"/>
                <w:szCs w:val="20"/>
                <w:color w:val="auto"/>
              </w:rPr>
            </w:pPr>
            <w:r>
              <w:rPr>
                <w:rFonts w:ascii="Arial" w:cs="Arial" w:eastAsia="Arial" w:hAnsi="Arial"/>
                <w:sz w:val="18"/>
                <w:szCs w:val="18"/>
                <w:color w:val="auto"/>
                <w:w w:val="91"/>
              </w:rPr>
              <w:t>= (100% × 0.5%) + (20% × (2.80% – 2.5%))</w:t>
            </w:r>
          </w:p>
        </w:tc>
      </w:tr>
      <w:tr>
        <w:trPr>
          <w:trHeight w:val="324"/>
        </w:trPr>
        <w:tc>
          <w:tcPr>
            <w:tcW w:w="10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5"/>
              </w:rPr>
              <w:t>= 0.5%</w:t>
            </w:r>
          </w:p>
        </w:tc>
        <w:tc>
          <w:tcPr>
            <w:tcW w:w="2660" w:type="dxa"/>
            <w:vAlign w:val="bottom"/>
          </w:tcPr>
          <w:p>
            <w:pPr>
              <w:ind w:left="20"/>
              <w:spacing w:after="0"/>
              <w:rPr>
                <w:sz w:val="20"/>
                <w:szCs w:val="20"/>
                <w:color w:val="auto"/>
              </w:rPr>
            </w:pPr>
            <w:r>
              <w:rPr>
                <w:rFonts w:ascii="Arial" w:cs="Arial" w:eastAsia="Arial" w:hAnsi="Arial"/>
                <w:sz w:val="18"/>
                <w:szCs w:val="18"/>
                <w:color w:val="auto"/>
              </w:rPr>
              <w:t>+ (20%× 0.3%)</w:t>
            </w:r>
          </w:p>
        </w:tc>
      </w:tr>
      <w:tr>
        <w:trPr>
          <w:trHeight w:val="324"/>
        </w:trPr>
        <w:tc>
          <w:tcPr>
            <w:tcW w:w="10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5"/>
              </w:rPr>
              <w:t>= 0.5%</w:t>
            </w:r>
          </w:p>
        </w:tc>
        <w:tc>
          <w:tcPr>
            <w:tcW w:w="2660" w:type="dxa"/>
            <w:vAlign w:val="bottom"/>
          </w:tcPr>
          <w:p>
            <w:pPr>
              <w:ind w:left="20"/>
              <w:spacing w:after="0"/>
              <w:rPr>
                <w:sz w:val="20"/>
                <w:szCs w:val="20"/>
                <w:color w:val="auto"/>
              </w:rPr>
            </w:pPr>
            <w:r>
              <w:rPr>
                <w:rFonts w:ascii="Arial" w:cs="Arial" w:eastAsia="Arial" w:hAnsi="Arial"/>
                <w:sz w:val="18"/>
                <w:szCs w:val="18"/>
                <w:color w:val="auto"/>
              </w:rPr>
              <w:t>+ 0.06%</w:t>
            </w:r>
          </w:p>
        </w:tc>
      </w:tr>
    </w:tbl>
    <w:p>
      <w:pPr>
        <w:spacing w:after="0" w:line="9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0.56%</w:t>
      </w:r>
    </w:p>
    <w:p>
      <w:pPr>
        <w:spacing w:after="0" w:line="117" w:lineRule="exact"/>
        <w:rPr>
          <w:sz w:val="20"/>
          <w:szCs w:val="20"/>
          <w:color w:val="auto"/>
        </w:rPr>
      </w:pPr>
    </w:p>
    <w:p>
      <w:pPr>
        <w:ind w:left="40" w:right="979" w:firstLine="270"/>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17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8.0% annualized hurdle rate.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2.00% annualized management fee.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117" w:lineRule="exact"/>
        <w:rPr>
          <w:rFonts w:ascii="Arial" w:cs="Arial" w:eastAsia="Arial" w:hAnsi="Arial"/>
          <w:sz w:val="18"/>
          <w:szCs w:val="18"/>
          <w:color w:val="auto"/>
        </w:rPr>
      </w:pPr>
    </w:p>
    <w:p>
      <w:pPr>
        <w:ind w:left="280" w:right="539" w:hanging="272"/>
        <w:spacing w:after="0" w:line="264"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“catch-up” provision is intended to provide the Investment Advisor with an incentive fee of 20% on all of Capitala Finance’s pre-incentive fee net investment income as if a hurdle rate did not apply when its net investment income exceeds 2.5% in any calendar quarter.</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1:</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759" w:hanging="32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Year 2: Investment A sold for $50 million and fair market value (“FMV”) of Investment B determined to be $32 million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3: FMV of Investment B determined to be $25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4: Investment B sold for $31 million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2: Capital gains incentive fee of $6 million ($30 million realized capital gains on sale of Investment A multiplied by 20%)</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117"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$5 million (20% multiplied by ($30 million cumulative capital gains less $5 million cumulative capital depreciation)) less $6 million (previous capital gains fee paid in Year 2).</w:t>
      </w:r>
    </w:p>
    <w:p>
      <w:pPr>
        <w:spacing w:after="0" w:line="62" w:lineRule="exact"/>
        <w:rPr>
          <w:sz w:val="20"/>
          <w:szCs w:val="20"/>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4: Capital gains incentive fee of $200,000</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$6.2 million ($31 million cumulative realized capital gains multiplied by 20%) less $6 million (capital gains fee taken in Year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2:</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107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62" w:lineRule="exact"/>
        <w:rPr>
          <w:rFonts w:ascii="Arial" w:cs="Arial" w:eastAsia="Arial" w:hAnsi="Arial"/>
          <w:sz w:val="18"/>
          <w:szCs w:val="18"/>
          <w:color w:val="auto"/>
        </w:rPr>
      </w:pPr>
    </w:p>
    <w:p>
      <w:pPr>
        <w:ind w:left="600" w:right="65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3: FMV of Investment B determined to be $27 million and Investment C sold for $30 million</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4: FMV of Investment B determined to be $24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5: Investment B sold for $20 million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capital gains incentive fee, if any, would be:</w:t>
      </w:r>
    </w:p>
    <w:p>
      <w:pPr>
        <w:spacing w:after="0" w:line="117" w:lineRule="exact"/>
        <w:rPr>
          <w:sz w:val="20"/>
          <w:szCs w:val="20"/>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2: $5 million capital gains incentive fee</w:t>
      </w:r>
    </w:p>
    <w:p>
      <w:pPr>
        <w:spacing w:after="0" w:line="117"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20% multiplied by $25 million ($30 million realized capital gains on Investment A less unrealized capital depreciation on Investment B).</w:t>
      </w:r>
    </w:p>
    <w:p>
      <w:pPr>
        <w:spacing w:after="0" w:line="56" w:lineRule="exact"/>
        <w:rPr>
          <w:sz w:val="20"/>
          <w:szCs w:val="20"/>
          <w:color w:val="auto"/>
        </w:rPr>
      </w:pPr>
    </w:p>
    <w:p>
      <w:pPr>
        <w:ind w:left="600" w:hanging="322"/>
        <w:spacing w:after="0"/>
        <w:tabs>
          <w:tab w:leader="none" w:pos="600" w:val="left"/>
        </w:tabs>
        <w:numPr>
          <w:ilvl w:val="0"/>
          <w:numId w:val="26"/>
        </w:numPr>
        <w:rPr>
          <w:rFonts w:ascii="Arial" w:cs="Arial" w:eastAsia="Arial" w:hAnsi="Arial"/>
          <w:sz w:val="36"/>
          <w:szCs w:val="36"/>
          <w:color w:val="auto"/>
          <w:vertAlign w:val="superscript"/>
        </w:rPr>
      </w:pPr>
      <w:r>
        <w:rPr>
          <w:rFonts w:ascii="Arial" w:cs="Arial" w:eastAsia="Arial" w:hAnsi="Arial"/>
          <w:sz w:val="18"/>
          <w:szCs w:val="18"/>
          <w:color w:val="auto"/>
        </w:rPr>
        <w:t>Year 3: $1.4 million capital gains incentive fee</w:t>
      </w:r>
      <w:r>
        <w:rPr>
          <w:rFonts w:ascii="Arial" w:cs="Arial" w:eastAsia="Arial" w:hAnsi="Arial"/>
          <w:sz w:val="30"/>
          <w:szCs w:val="30"/>
          <w:color w:val="auto"/>
          <w:vertAlign w:val="superscript"/>
        </w:rPr>
        <w:t>(1)</w:t>
      </w:r>
    </w:p>
    <w:p>
      <w:pPr>
        <w:ind w:left="40" w:right="779" w:firstLine="270"/>
        <w:spacing w:after="0" w:line="259" w:lineRule="auto"/>
        <w:rPr>
          <w:sz w:val="20"/>
          <w:szCs w:val="20"/>
          <w:color w:val="auto"/>
        </w:rPr>
      </w:pPr>
      <w:r>
        <w:rPr>
          <w:rFonts w:ascii="Arial" w:cs="Arial" w:eastAsia="Arial" w:hAnsi="Arial"/>
          <w:sz w:val="18"/>
          <w:szCs w:val="18"/>
          <w:color w:val="auto"/>
        </w:rPr>
        <w:t>$6.4 million (20% multiplied by $32 million ($35 million cumulative realized capital gains less $3 million unrealized capital depreciation)) less $5 million capital gains fee received in Year 2.</w:t>
      </w:r>
    </w:p>
    <w:p>
      <w:pPr>
        <w:spacing w:after="0" w:line="77" w:lineRule="exact"/>
        <w:rPr>
          <w:sz w:val="20"/>
          <w:szCs w:val="20"/>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117"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$5 million (20% multiplied by $25 million (cumulative realized capital gains of $35 million less realized capital losses of $10 million)) less $6.4 million cumulative capital gains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17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80" w:right="559" w:hanging="272"/>
        <w:spacing w:after="0" w:line="264"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illustrated in Year 3 of Alternative 2 above, if the Company were to be wound up on a date other than December 31 of any year, the Company may have paid aggregate capital gain incentive fees that are more than the amount of such fees that would be payable if the Company had been wound up on December 31 of such year.</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3: Application of the Incentive Fee Deferral Mechanism</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679" w:hanging="322"/>
        <w:spacing w:after="0" w:line="276"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each of Years 1 through 4 in this example pre-incentive fee net investment income equals $40.0 million per year, which we recognized evenly in each quarter of each year and paid quarterly. This amount exceeds the hurdle rate and the requirement of the “catch-up” provision in each quarter of such year. As a result, the annual income related portion of the incentive fee, before the application of the deferral mechanism in any year is $8.0 million ($40.0 million multiplied by 20%). All income-related incentive fees were paid quarterly in arrears.</w:t>
      </w:r>
    </w:p>
    <w:p>
      <w:pPr>
        <w:spacing w:after="0" w:line="64" w:lineRule="exact"/>
        <w:rPr>
          <w:rFonts w:ascii="Arial" w:cs="Arial" w:eastAsia="Arial" w:hAnsi="Arial"/>
          <w:sz w:val="17"/>
          <w:szCs w:val="17"/>
          <w:color w:val="auto"/>
        </w:rPr>
      </w:pPr>
    </w:p>
    <w:p>
      <w:pPr>
        <w:ind w:left="600" w:right="899" w:hanging="322"/>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each year preceding Year 1, we did not generate realized or unrealized capital gains or losses, no capital gain-related incentive fee was paid and there was no deferral of incentive fees.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 1: We did not generate realized or unrealized capital gains or losses.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Year 2: We realized a $30.0 million capital gain and did not otherwise generate realized or unrealized capital gains or losses.</w:t>
      </w:r>
    </w:p>
    <w:p>
      <w:pPr>
        <w:spacing w:after="0" w:line="140" w:lineRule="exact"/>
        <w:rPr>
          <w:rFonts w:ascii="Arial" w:cs="Arial" w:eastAsia="Arial" w:hAnsi="Arial"/>
          <w:sz w:val="16"/>
          <w:szCs w:val="16"/>
          <w:color w:val="auto"/>
        </w:rPr>
      </w:pPr>
    </w:p>
    <w:p>
      <w:pPr>
        <w:ind w:left="600" w:right="619" w:hanging="322"/>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 3: We recognized $5.0 million of unrealized capital depreciation and did not otherwise generate realized or unrealized capital gains or losses.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Year 4: We realized a $6.0 million capital gain and did not otherwise generate realized or unrealized capital gains or losses.</w:t>
      </w:r>
    </w:p>
    <w:p>
      <w:pPr>
        <w:spacing w:after="0" w:line="200" w:lineRule="exact"/>
        <w:rPr>
          <w:sz w:val="20"/>
          <w:szCs w:val="20"/>
          <w:color w:val="auto"/>
        </w:rPr>
      </w:pPr>
    </w:p>
    <w:p>
      <w:pPr>
        <w:spacing w:after="0" w:line="39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68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Income Related</w:t>
            </w:r>
          </w:p>
        </w:tc>
        <w:tc>
          <w:tcPr>
            <w:tcW w:w="80" w:type="dxa"/>
            <w:vAlign w:val="bottom"/>
          </w:tcPr>
          <w:p>
            <w:pPr>
              <w:spacing w:after="0"/>
              <w:rPr>
                <w:sz w:val="24"/>
                <w:szCs w:val="2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Capital Gains Related</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Incentive Fee</w:t>
            </w:r>
          </w:p>
        </w:tc>
        <w:tc>
          <w:tcPr>
            <w:tcW w:w="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Accrued Before</w:t>
            </w:r>
          </w:p>
        </w:tc>
        <w:tc>
          <w:tcPr>
            <w:tcW w:w="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Fee</w:t>
            </w: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Application of</w:t>
            </w:r>
          </w:p>
        </w:tc>
        <w:tc>
          <w:tcPr>
            <w:tcW w:w="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Accrued Before</w:t>
            </w:r>
          </w:p>
        </w:tc>
        <w:tc>
          <w:tcPr>
            <w:tcW w:w="80" w:type="dxa"/>
            <w:vAlign w:val="bottom"/>
          </w:tcPr>
          <w:p>
            <w:pPr>
              <w:spacing w:after="0"/>
              <w:rPr>
                <w:sz w:val="12"/>
                <w:szCs w:val="12"/>
                <w:color w:val="auto"/>
              </w:rPr>
            </w:pPr>
          </w:p>
        </w:tc>
        <w:tc>
          <w:tcPr>
            <w:tcW w:w="18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Incentive Fee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Deferral</w:t>
            </w:r>
          </w:p>
        </w:tc>
        <w:tc>
          <w:tcPr>
            <w:tcW w:w="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Application of</w:t>
            </w:r>
          </w:p>
        </w:tc>
        <w:tc>
          <w:tcPr>
            <w:tcW w:w="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0" w:type="dxa"/>
            <w:vAlign w:val="bottom"/>
            <w:vMerge w:val="restart"/>
          </w:tcPr>
          <w:p>
            <w:pPr>
              <w:spacing w:after="0"/>
              <w:rPr>
                <w:sz w:val="20"/>
                <w:szCs w:val="20"/>
                <w:color w:val="auto"/>
              </w:rPr>
            </w:pPr>
            <w:r>
              <w:rPr>
                <w:rFonts w:ascii="Arial" w:cs="Arial" w:eastAsia="Arial" w:hAnsi="Arial"/>
                <w:sz w:val="18"/>
                <w:szCs w:val="18"/>
                <w:color w:val="auto"/>
              </w:rPr>
              <w:t>Year 1</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Deferral Mechanism</w:t>
            </w:r>
          </w:p>
        </w:tc>
        <w:tc>
          <w:tcPr>
            <w:tcW w:w="80" w:type="dxa"/>
            <w:vAlign w:val="bottom"/>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Calculations</w:t>
            </w:r>
          </w:p>
        </w:tc>
        <w:tc>
          <w:tcPr>
            <w:tcW w:w="0" w:type="dxa"/>
            <w:vAlign w:val="bottom"/>
          </w:tcPr>
          <w:p>
            <w:pPr>
              <w:spacing w:after="0"/>
              <w:rPr>
                <w:sz w:val="1"/>
                <w:szCs w:val="1"/>
                <w:color w:val="auto"/>
              </w:rPr>
            </w:pPr>
          </w:p>
        </w:tc>
      </w:tr>
      <w:tr>
        <w:trPr>
          <w:trHeight w:val="195"/>
        </w:trPr>
        <w:tc>
          <w:tcPr>
            <w:tcW w:w="680" w:type="dxa"/>
            <w:vAlign w:val="bottom"/>
            <w:vMerge w:val="continue"/>
          </w:tcPr>
          <w:p>
            <w:pPr>
              <w:spacing w:after="0"/>
              <w:rPr>
                <w:sz w:val="16"/>
                <w:szCs w:val="16"/>
                <w:color w:val="auto"/>
              </w:rPr>
            </w:pPr>
          </w:p>
        </w:tc>
        <w:tc>
          <w:tcPr>
            <w:tcW w:w="1800" w:type="dxa"/>
            <w:vAlign w:val="bottom"/>
            <w:gridSpan w:val="2"/>
          </w:tcPr>
          <w:p>
            <w:pPr>
              <w:spacing w:after="0" w:line="195" w:lineRule="exact"/>
              <w:rPr>
                <w:sz w:val="20"/>
                <w:szCs w:val="20"/>
                <w:color w:val="auto"/>
              </w:rPr>
            </w:pPr>
            <w:r>
              <w:rPr>
                <w:rFonts w:ascii="Arial" w:cs="Arial" w:eastAsia="Arial" w:hAnsi="Arial"/>
                <w:sz w:val="18"/>
                <w:szCs w:val="18"/>
                <w:color w:val="auto"/>
              </w:rPr>
              <w:t>$8.0 million ($40.0</w:t>
            </w:r>
          </w:p>
        </w:tc>
        <w:tc>
          <w:tcPr>
            <w:tcW w:w="80" w:type="dxa"/>
            <w:vAlign w:val="bottom"/>
          </w:tcPr>
          <w:p>
            <w:pPr>
              <w:spacing w:after="0"/>
              <w:rPr>
                <w:sz w:val="16"/>
                <w:szCs w:val="16"/>
                <w:color w:val="auto"/>
              </w:rPr>
            </w:pPr>
          </w:p>
        </w:tc>
        <w:tc>
          <w:tcPr>
            <w:tcW w:w="1820" w:type="dxa"/>
            <w:vAlign w:val="bottom"/>
          </w:tcPr>
          <w:p>
            <w:pPr>
              <w:ind w:left="20"/>
              <w:spacing w:after="0" w:line="195" w:lineRule="exact"/>
              <w:rPr>
                <w:sz w:val="20"/>
                <w:szCs w:val="20"/>
                <w:color w:val="auto"/>
              </w:rPr>
            </w:pPr>
            <w:r>
              <w:rPr>
                <w:rFonts w:ascii="Arial" w:cs="Arial" w:eastAsia="Arial" w:hAnsi="Arial"/>
                <w:sz w:val="18"/>
                <w:szCs w:val="18"/>
                <w:color w:val="auto"/>
              </w:rPr>
              <w:t>None</w:t>
            </w:r>
          </w:p>
        </w:tc>
        <w:tc>
          <w:tcPr>
            <w:tcW w:w="80" w:type="dxa"/>
            <w:vAlign w:val="bottom"/>
          </w:tcPr>
          <w:p>
            <w:pPr>
              <w:spacing w:after="0"/>
              <w:rPr>
                <w:sz w:val="16"/>
                <w:szCs w:val="16"/>
                <w:color w:val="auto"/>
              </w:rPr>
            </w:pPr>
          </w:p>
        </w:tc>
        <w:tc>
          <w:tcPr>
            <w:tcW w:w="1800" w:type="dxa"/>
            <w:vAlign w:val="bottom"/>
          </w:tcPr>
          <w:p>
            <w:pPr>
              <w:spacing w:after="0" w:line="195" w:lineRule="exact"/>
              <w:rPr>
                <w:sz w:val="20"/>
                <w:szCs w:val="20"/>
                <w:color w:val="auto"/>
              </w:rPr>
            </w:pPr>
            <w:r>
              <w:rPr>
                <w:rFonts w:ascii="Arial" w:cs="Arial" w:eastAsia="Arial" w:hAnsi="Arial"/>
                <w:sz w:val="18"/>
                <w:szCs w:val="18"/>
                <w:color w:val="auto"/>
              </w:rPr>
              <w:t>$8.0 million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million multiplied by</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Year 2</w:t>
            </w:r>
          </w:p>
        </w:tc>
        <w:tc>
          <w:tcPr>
            <w:tcW w:w="1800" w:type="dxa"/>
            <w:vAlign w:val="bottom"/>
            <w:gridSpan w:val="2"/>
          </w:tcPr>
          <w:p>
            <w:pPr>
              <w:spacing w:after="0"/>
              <w:rPr>
                <w:sz w:val="20"/>
                <w:szCs w:val="20"/>
                <w:color w:val="auto"/>
              </w:rPr>
            </w:pPr>
            <w:r>
              <w:rPr>
                <w:rFonts w:ascii="Arial" w:cs="Arial" w:eastAsia="Arial" w:hAnsi="Arial"/>
                <w:sz w:val="18"/>
                <w:szCs w:val="18"/>
                <w:color w:val="auto"/>
              </w:rPr>
              <w:t>$8.0 million ($40.0</w:t>
            </w: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$6.0 million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$14.0 million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million multiplied by</w:t>
            </w: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Year 3</w:t>
            </w:r>
          </w:p>
        </w:tc>
        <w:tc>
          <w:tcPr>
            <w:tcW w:w="1800" w:type="dxa"/>
            <w:vAlign w:val="bottom"/>
            <w:gridSpan w:val="2"/>
          </w:tcPr>
          <w:p>
            <w:pPr>
              <w:spacing w:after="0"/>
              <w:rPr>
                <w:sz w:val="20"/>
                <w:szCs w:val="20"/>
                <w:color w:val="auto"/>
              </w:rPr>
            </w:pPr>
            <w:r>
              <w:rPr>
                <w:rFonts w:ascii="Arial" w:cs="Arial" w:eastAsia="Arial" w:hAnsi="Arial"/>
                <w:sz w:val="18"/>
                <w:szCs w:val="18"/>
                <w:color w:val="auto"/>
              </w:rPr>
              <w:t>$8.0 million ($40.0</w:t>
            </w: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None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4"/>
              </w:rPr>
              <w:t>$7.0 million (20% of the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million multiplied by</w:t>
            </w: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cumulative net capital</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sum of (a) our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gains of $25.0 million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pre-incentive fee net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($30.0 million in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7"/>
              </w:rPr>
              <w:t>investment income, (b)</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cumulative realized</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our net unrealized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w w:val="91"/>
              </w:rPr>
              <w:t>gains less $5.0 million in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appreciation or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cumulative unrealized</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0"/>
              </w:rPr>
              <w:t>depreciation during such</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w w:val="89"/>
              </w:rPr>
              <w:t>capital depreciation) less</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period and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$6.0 million of capital</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 our net realized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gains fee paid</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capital gains or losses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 Year 2)</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during Year 3)</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Year 4</w:t>
            </w:r>
          </w:p>
        </w:tc>
        <w:tc>
          <w:tcPr>
            <w:tcW w:w="1800" w:type="dxa"/>
            <w:vAlign w:val="bottom"/>
            <w:gridSpan w:val="2"/>
          </w:tcPr>
          <w:p>
            <w:pPr>
              <w:spacing w:after="0"/>
              <w:rPr>
                <w:sz w:val="20"/>
                <w:szCs w:val="20"/>
                <w:color w:val="auto"/>
              </w:rPr>
            </w:pPr>
            <w:r>
              <w:rPr>
                <w:rFonts w:ascii="Arial" w:cs="Arial" w:eastAsia="Arial" w:hAnsi="Arial"/>
                <w:sz w:val="18"/>
                <w:szCs w:val="18"/>
                <w:color w:val="auto"/>
              </w:rPr>
              <w:t>$8.0 million ($40.0</w:t>
            </w: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$0.2 million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$8.2 million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million multiplied by</w:t>
            </w: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cumulative net capital</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gains of $31.0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($36.0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cumulative realized</w:t>
            </w: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-3669665</wp:posOffset>
            </wp:positionV>
            <wp:extent cx="39878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8"/>
          <w:szCs w:val="18"/>
          <w:color w:val="auto"/>
        </w:rPr>
        <w:t>capital gains less $5.0</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million cumulative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unrealized capital</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depreciation) less $6.0</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million of capital gains</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fee paid</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in Year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879"/>
        <w:spacing w:after="0"/>
        <w:rPr>
          <w:sz w:val="20"/>
          <w:szCs w:val="20"/>
          <w:color w:val="auto"/>
        </w:rPr>
      </w:pPr>
      <w:r>
        <w:rPr>
          <w:rFonts w:ascii="Arial" w:cs="Arial" w:eastAsia="Arial" w:hAnsi="Arial"/>
          <w:sz w:val="14"/>
          <w:szCs w:val="14"/>
          <w:b w:val="1"/>
          <w:bCs w:val="1"/>
          <w:color w:val="auto"/>
        </w:rPr>
        <w:t>Incentive Fees Paid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1174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jc w:val="center"/>
        <w:ind w:right="1879"/>
        <w:spacing w:after="0"/>
        <w:rPr>
          <w:sz w:val="20"/>
          <w:szCs w:val="20"/>
          <w:color w:val="auto"/>
        </w:rPr>
      </w:pPr>
      <w:r>
        <w:rPr>
          <w:rFonts w:ascii="Arial" w:cs="Arial" w:eastAsia="Arial" w:hAnsi="Arial"/>
          <w:sz w:val="14"/>
          <w:szCs w:val="14"/>
          <w:b w:val="1"/>
          <w:bCs w:val="1"/>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174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Incentive fees of $8.0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million paid;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deferred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of $14.0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paid;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deferred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of $7.0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million paid; $8.0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 incentive fees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payment restricted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$7.0 million; $1.0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million of incentive fees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of $9.2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million paid ($8.2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million of incentive fees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accrued in Year 4 plus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million of deferred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deferred</w:t>
      </w:r>
    </w:p>
    <w:p>
      <w:pPr>
        <w:spacing w:after="0" w:line="1210" w:lineRule="exact"/>
        <w:rPr>
          <w:sz w:val="20"/>
          <w:szCs w:val="20"/>
          <w:color w:val="auto"/>
        </w:rPr>
      </w:pPr>
    </w:p>
    <w:p>
      <w:pPr>
        <w:sectPr>
          <w:pgSz w:w="11900" w:h="16838" w:orient="portrait"/>
          <w:cols w:equalWidth="0" w:num="2">
            <w:col w:w="6260" w:space="100"/>
            <w:col w:w="3719"/>
          </w:cols>
          <w:pgMar w:left="380" w:top="789" w:right="1440" w:bottom="1440" w:gutter="0" w:footer="0" w:header="0"/>
        </w:sectPr>
      </w:pPr>
    </w:p>
    <w:p>
      <w:pPr>
        <w:ind w:left="4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investment team of our Investment Advisor and their respective staffs, when and to the extent engaged in providing investment advisory and management services, and the compensation and routine overhead expenses of such personnel allocable to such services, are provided and paid for by the Investment Advisor. We bear all other costs and expenses of our operations and transactions, including (without limitation):</w:t>
      </w:r>
    </w:p>
    <w:p>
      <w:pPr>
        <w:spacing w:after="0" w:line="79" w:lineRule="exact"/>
        <w:rPr>
          <w:sz w:val="20"/>
          <w:szCs w:val="20"/>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117" w:lineRule="exact"/>
        <w:rPr>
          <w:rFonts w:ascii="Arial" w:cs="Arial" w:eastAsia="Arial" w:hAnsi="Arial"/>
          <w:sz w:val="18"/>
          <w:szCs w:val="18"/>
          <w:color w:val="auto"/>
        </w:rPr>
      </w:pPr>
    </w:p>
    <w:p>
      <w:pPr>
        <w:ind w:left="600" w:right="839" w:hanging="322"/>
        <w:spacing w:after="0" w:line="26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89" w:right="1440"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17" w:lineRule="exact"/>
        <w:rPr>
          <w:rFonts w:ascii="Arial" w:cs="Arial" w:eastAsia="Arial" w:hAnsi="Arial"/>
          <w:sz w:val="18"/>
          <w:szCs w:val="18"/>
          <w:color w:val="auto"/>
        </w:rPr>
      </w:pPr>
    </w:p>
    <w:p>
      <w:pPr>
        <w:ind w:left="600" w:right="559" w:hanging="322"/>
        <w:spacing w:after="0" w:line="342"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the Securities Exchange Act of 1934, as amended (the “1934 Act”), and other applicable federal and state securities laws, and ongoing stock exchange listing fees;</w:t>
      </w:r>
    </w:p>
    <w:p>
      <w:pPr>
        <w:spacing w:after="0" w:line="1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117" w:lineRule="exact"/>
        <w:rPr>
          <w:rFonts w:ascii="Arial" w:cs="Arial" w:eastAsia="Arial" w:hAnsi="Arial"/>
          <w:sz w:val="18"/>
          <w:szCs w:val="18"/>
          <w:color w:val="auto"/>
        </w:rPr>
      </w:pPr>
    </w:p>
    <w:p>
      <w:pPr>
        <w:ind w:left="600" w:right="1099" w:hanging="32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117" w:lineRule="exact"/>
        <w:rPr>
          <w:rFonts w:ascii="Arial" w:cs="Arial" w:eastAsia="Arial" w:hAnsi="Arial"/>
          <w:sz w:val="18"/>
          <w:szCs w:val="18"/>
          <w:color w:val="auto"/>
        </w:rPr>
      </w:pPr>
    </w:p>
    <w:p>
      <w:pPr>
        <w:ind w:left="600" w:right="679" w:hanging="322"/>
        <w:spacing w:after="0" w:line="255"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The Investment Advisory Agreement was initially approved by the Board on June 10, 2013 and signed on September 24, 2013. The Investment Advisory Agreement was most recently re-approved by the Board, including by a majority of our non-interested directors, at an in-person meeting on August 3, 2017. Unless earlier terminated as described below, the Investment Advisory Agreement will remain in effect from year to year if approved annually by our Board or by the affirmative vote of the holders of a majority of our outstanding voting securities, including, in either case, approval by a majority of our directors who are not parties to such agreement or who are not “interested persons” of any such party, as such term is defined in Section 2(a)(19) of the 1940 Act. The Investment Advisory Agreement will automatically terminate in the event of its assignment. The Investment Advisory Agreement may also be terminated by either party without penalty upon not less than 60 days’ written notice to the other party. See “Risk Factors — Risks Relating to Our Business and Structure — Capitala Investment Advisors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The Investment Advisory Agreement provides that, absent willful misfeasance, bad faith or gross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 the rendering of the Investment Advisor’s services under the Investment Advisory Agreement or otherwise as an investment adviser of Capitala Finance.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 of the Investment Advisor</w:t>
      </w:r>
    </w:p>
    <w:p>
      <w:pPr>
        <w:spacing w:after="0" w:line="117"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The Investment Advisor is a Delaware limited liability company. The principal executive offices of the Investment Advisor are located at 4201 Congress Street, Suite 360, Charlotte, North Carolina 28209.</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left="40" w:right="579" w:firstLine="270"/>
        <w:spacing w:after="0" w:line="284" w:lineRule="auto"/>
        <w:rPr>
          <w:sz w:val="20"/>
          <w:szCs w:val="20"/>
          <w:color w:val="auto"/>
        </w:rPr>
      </w:pPr>
      <w:r>
        <w:rPr>
          <w:rFonts w:ascii="Arial" w:cs="Arial" w:eastAsia="Arial" w:hAnsi="Arial"/>
          <w:sz w:val="16"/>
          <w:szCs w:val="16"/>
          <w:color w:val="auto"/>
        </w:rPr>
        <w:t>Capitala Advisors Corp., a North Carolina corporation, serves as our administrator. The principal executive offices of our Administrator are located at 4201 Congress Street, Suite 360, Charlotte, North Carolina 28209. The Administrator, pursuant to a sub-administration agreement, has engaged U.S. Bancorp Fund Services, LLC to act on behalf of the Administrator in its performance of certain administrative services for us. The principal office of U.S. Bancorp Fund Services, LLC is 777 East Wisconsin Avenue, Milwaukee, WI 53202. Pursuant to the Administration Agreement, our administrator furnishes us with office facilities, equipment and clerical, bookkeeping and record keeping services at such facilities. Under the Administration Agreement,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Administration Agreement, our Administrator will also provide on our behalf managerial assistance to those portfolio companies that request such assistance. Unless terminated earlier in accordance with its terms, the Administration Agreement will remain in effect if approved annually by our Board. On August 3, 2017, the Board approved the renewal of the Administration Agreement.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74"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Our Administrator also provides administrative services to our Investment Advisor. As a result, the Investment Advisor will also reimburse our Administrator for its allocable portion of our Administrator’s overhead, including rent, the fees and expenses associated with performing compliance functions for the Investment Advisor, and its allocable portion of the compensation of any administrative support staff.</w:t>
      </w:r>
    </w:p>
    <w:p>
      <w:pPr>
        <w:spacing w:after="0" w:line="79" w:lineRule="exact"/>
        <w:rPr>
          <w:sz w:val="20"/>
          <w:szCs w:val="20"/>
          <w:color w:val="auto"/>
        </w:rPr>
      </w:pPr>
    </w:p>
    <w:p>
      <w:pPr>
        <w:ind w:left="40" w:right="759" w:firstLine="270"/>
        <w:spacing w:after="0" w:line="255"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 the rendering of our Administrator’s services under the Administration Agreement or otherwise as administrator for Capitala Finance.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 Under this agreement, we have a right to use the Capitala name for so long as the Investment Advisory Agreement with the Investment Advisor is in effect. Other than with respect to this limited license, we will have no legal right to the “Capitala” name.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Staffing</w:t>
      </w:r>
    </w:p>
    <w:p>
      <w:pPr>
        <w:spacing w:after="0" w:line="121" w:lineRule="exact"/>
        <w:rPr>
          <w:sz w:val="20"/>
          <w:szCs w:val="20"/>
          <w:color w:val="auto"/>
        </w:rPr>
      </w:pPr>
    </w:p>
    <w:p>
      <w:pPr>
        <w:ind w:left="40" w:right="819" w:firstLine="270"/>
        <w:spacing w:after="0" w:line="286" w:lineRule="auto"/>
        <w:rPr>
          <w:sz w:val="20"/>
          <w:szCs w:val="20"/>
          <w:color w:val="auto"/>
        </w:rPr>
      </w:pPr>
      <w:r>
        <w:rPr>
          <w:rFonts w:ascii="Arial" w:cs="Arial" w:eastAsia="Arial" w:hAnsi="Arial"/>
          <w:sz w:val="17"/>
          <w:szCs w:val="17"/>
          <w:color w:val="auto"/>
        </w:rPr>
        <w:t>Capitala Finance has no employees. Mr. Alala, through his financial interests in the Investment Advisor, will be entitled to a portion of any investment advisory fees paid by Capitala Finance to the Investment Advisor. Our other executive officers are employees of our Administrator and perform their functions under the terms of our Administration Agreement.</w:t>
      </w:r>
    </w:p>
    <w:p>
      <w:pPr>
        <w:spacing w:after="0" w:line="57"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Our day-to-day investment operations are managed by the Investment Advisor. The Investment Advisor’s investment team currently consists of the members of its investment committee, Messrs. Alala, McGlinn and</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999"/>
        <w:spacing w:after="0" w:line="277" w:lineRule="auto"/>
        <w:rPr>
          <w:sz w:val="20"/>
          <w:szCs w:val="20"/>
          <w:color w:val="auto"/>
        </w:rPr>
      </w:pPr>
      <w:r>
        <w:rPr>
          <w:rFonts w:ascii="Arial" w:cs="Arial" w:eastAsia="Arial" w:hAnsi="Arial"/>
          <w:sz w:val="18"/>
          <w:szCs w:val="18"/>
          <w:color w:val="auto"/>
        </w:rPr>
        <w:t>Broyhill, and a team of nineteen additional investment professionals. The Investment Advisor may hire additional investment professionals, based upon its needs, in the future. See “— Investment Advisory Agreement.”</w:t>
      </w:r>
    </w:p>
    <w:p>
      <w:pPr>
        <w:spacing w:after="0" w:line="62"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In addition, we reimburse our Administrator for our allocable portion of overhead and other expenses incurred by it in performing its obligations under the Administration Agreement, including rent, the fees and expenses associated with performing compliance functions, and the compensation of our chief financial officer, chief compliance officer, and their respective administrative support staff. See “— Administration Agreement.”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VALUATION PROCESS AND DETERMINATION OF NET ASSET VALUE</w:t>
      </w:r>
    </w:p>
    <w:p>
      <w:pPr>
        <w:spacing w:after="0" w:line="12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We determine the net asset value of our investment portfolio each quarter by subtracting our total liabilities from the fair value of our gross assets.</w:t>
      </w:r>
    </w:p>
    <w:p>
      <w:pPr>
        <w:spacing w:after="0" w:line="62" w:lineRule="exact"/>
        <w:rPr>
          <w:sz w:val="20"/>
          <w:szCs w:val="20"/>
          <w:color w:val="auto"/>
        </w:rPr>
      </w:pPr>
    </w:p>
    <w:p>
      <w:pPr>
        <w:jc w:val="both"/>
        <w:ind w:left="40" w:right="759" w:firstLine="270"/>
        <w:spacing w:after="0" w:line="264" w:lineRule="auto"/>
        <w:rPr>
          <w:sz w:val="20"/>
          <w:szCs w:val="20"/>
          <w:color w:val="auto"/>
        </w:rPr>
      </w:pPr>
      <w:r>
        <w:rPr>
          <w:rFonts w:ascii="Arial" w:cs="Arial" w:eastAsia="Arial" w:hAnsi="Arial"/>
          <w:sz w:val="18"/>
          <w:szCs w:val="18"/>
          <w:color w:val="auto"/>
        </w:rPr>
        <w:t>We conduct the valuation of our assets, pursuant to which our net asset value shall be determined, at all times consistent with U.S. generally accepted accounting principles (“U.S. GAAP”) and the 1940 Act. Our valuation procedures are set forth in more detail below:</w:t>
      </w:r>
    </w:p>
    <w:p>
      <w:pPr>
        <w:spacing w:after="0" w:line="73"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Securities for which market quotations are readily available on an exchange shall be valued at such price as of the closing price on the day of valuation. We may also obtain quotes with respect to certain of our investments from pricing services or brokers or dealers in order to value assets. When doing so, we determine whether the quote obtained is sufficient according to U.S. GAAP to determine the fair value of the security. If determined adequate, we use the quote obtained.</w:t>
      </w:r>
    </w:p>
    <w:p>
      <w:pPr>
        <w:spacing w:after="0" w:line="63"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our Investment Advisor or the Board, does not represent fair value, which we expect will represent a substantial majority of the investments in our portfolio, shall be valued as follows: (i) each portfolio company or investment is initially valued by the investment professionals responsible for the portfolio investment; (ii) preliminary valuation conclusions are documented and discussed with our senior management; (iii) independent third-party valuation firms engaged by, or on behalf of, the Board will conduct independent appraisals, review management’s preliminary valuations and prepare separate preliminary valuation conclusions on a selected basis such that each portfolio investment shall be independently reviewed at least annually (investments will not be selected for such review, however, if they (a) have a value as of the previous quarter of less than 1.0% of our gross assets as of the previous quarter, or (b) have a value as of the current quarter of less than 1.0% of our gross assets as of the previous quarter, after taking into account any repayment of principal during the current quarter); and (iv) the Board will discuss valuations and determine the fair value of each investment in our portfolio in good faith based on the input of the Investment Advisor and, where appropriate, the respective third-party valuation firms.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recommendation of fair value will generally be based on the following factors, as relevant:</w:t>
      </w:r>
    </w:p>
    <w:p>
      <w:pPr>
        <w:spacing w:after="0" w:line="117" w:lineRule="exact"/>
        <w:rPr>
          <w:sz w:val="20"/>
          <w:szCs w:val="20"/>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portfolio company’s ability to make payments;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portfolio company’s earnings and discounted cash flow;</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markets in which the issuer does business;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comparisons to publicly traded securities.</w:t>
      </w:r>
    </w:p>
    <w:p>
      <w:pPr>
        <w:spacing w:after="0" w:line="117"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Securities for which market quotations are not readily available or for which a pricing source is not sufficient may include, but are not limited to, the following:</w:t>
      </w:r>
    </w:p>
    <w:p>
      <w:pPr>
        <w:spacing w:after="0" w:line="62" w:lineRule="exact"/>
        <w:rPr>
          <w:sz w:val="20"/>
          <w:szCs w:val="20"/>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private placements and restricted securities that do not have an active trading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securities whose trading has been suspended or for which market quotes are no longer available;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debt securities that have recently gone into default and for which there is no current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securities whose prices are stale;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securities affected by significant events;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securities that the Investment Advisor believes were priced incorrectly.</w:t>
      </w:r>
    </w:p>
    <w:p>
      <w:pPr>
        <w:spacing w:after="0" w:line="117" w:lineRule="exact"/>
        <w:rPr>
          <w:sz w:val="20"/>
          <w:szCs w:val="20"/>
          <w:color w:val="auto"/>
        </w:rPr>
      </w:pPr>
    </w:p>
    <w:p>
      <w:pPr>
        <w:ind w:left="40" w:right="779" w:firstLine="270"/>
        <w:spacing w:after="0" w:line="279" w:lineRule="auto"/>
        <w:rPr>
          <w:sz w:val="20"/>
          <w:szCs w:val="20"/>
          <w:color w:val="auto"/>
        </w:rPr>
      </w:pPr>
      <w:r>
        <w:rPr>
          <w:rFonts w:ascii="Arial" w:cs="Arial" w:eastAsia="Arial" w:hAnsi="Arial"/>
          <w:sz w:val="17"/>
          <w:szCs w:val="17"/>
          <w:color w:val="auto"/>
        </w:rPr>
        <w:t>Determination of fair value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 In addition, the SBA has established certain valuation guidelines for SBICs to follow when valuing portfolio investments.</w:t>
      </w:r>
    </w:p>
    <w:p>
      <w:pPr>
        <w:spacing w:after="0" w:line="63"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In making the good faith determination of the value of these securities, we start with the cost basis of the security, which includes the amortized original issue discount and PIK interest or dividends, if any. We prepare the valuations of our investments in portfolio companies using the most recent portfolio company financial statements and forecasts. We also consult updates that we receive from senior management members at portfolio companies, whether solicited for valuation purposes, or received in the ordinary course of our portfolio monitoring or due diligence process. These updates include information such as industry trends, new product development or service offerings and other operational or strategic issues.</w:t>
      </w:r>
    </w:p>
    <w:p>
      <w:pPr>
        <w:spacing w:after="0" w:line="70"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For debt securities that are not publicly traded or for which there is no market, we begin with our investment rating of the security as described above. Using this investment rating, we seek to determine the value of the security as if we intended to sell the security in a current sale. The factors that may be taken into account in arriving at fair value include the following, as applicable: the portfolio company’s ability to service its interest and principal payment obligations, its estimated earnings and projected discounted cash flows, the nature and realizable value of any collateral, the financial environment in which the portfolio company operates, comparisons to securities of similar publicly traded companies, statistical ratios compared to lending standards and to other similarly situated securities, and other relevant factors.</w:t>
      </w:r>
    </w:p>
    <w:p>
      <w:pPr>
        <w:spacing w:after="0" w:line="81"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As part of the valuation process, the audit committee reviews the preliminary evaluations prepared by the independent valuation firm engaged by the Board, as well as management’s valuation recommendations. Management and the independent valuation firm respond to the preliminary evaluation to reflect comments provided by the audit committee. The audit committee reviews the final valuation report and management’s valuation recommendations and makes a recommendation to the Board based on its analysis of the methodologies employed and the various weights that should be accorded to each portion of the valuation as well as factors that the independent valuation firm and management may not have considered in their evaluation process. The Board then evaluates the audit committee recommendations and undertakes a similar analysis to determine the fair value of each investment in the portfolio in good faith.</w:t>
      </w:r>
    </w:p>
    <w:p>
      <w:pPr>
        <w:spacing w:after="0" w:line="7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 Additionally, changes in the market environment and other events that may occur over the life of the investments may cause the gains or losses ultimately realized on these investments to differ from the valuations assigned at any time. For a discussion of the risks inherent in determining the fair value of securities for which readily available market values do not exist, see “Risk Factors.”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jc w:val="both"/>
        <w:ind w:left="40" w:right="559" w:firstLine="270"/>
        <w:spacing w:after="0" w:line="259" w:lineRule="auto"/>
        <w:rPr>
          <w:sz w:val="20"/>
          <w:szCs w:val="20"/>
          <w:color w:val="auto"/>
        </w:rPr>
      </w:pPr>
      <w:r>
        <w:rPr>
          <w:rFonts w:ascii="Arial" w:cs="Arial" w:eastAsia="Arial" w:hAnsi="Arial"/>
          <w:sz w:val="18"/>
          <w:szCs w:val="18"/>
          <w:color w:val="auto"/>
        </w:rPr>
        <w:t>In connection with certain future offerings of shares of our common stock, our Board, or an authorized committee thereof, will be required to make the determination that we are not selling shares of our common stock at a price below the then current net asset value of our common stock at the time at which the sale is made. Our Board, or an authorized committee thereof, will consider the following factors, among others, in making such a determination:</w:t>
      </w:r>
    </w:p>
    <w:p>
      <w:pPr>
        <w:spacing w:after="0" w:line="79" w:lineRule="exact"/>
        <w:rPr>
          <w:sz w:val="20"/>
          <w:szCs w:val="20"/>
          <w:color w:val="auto"/>
        </w:rPr>
      </w:pPr>
    </w:p>
    <w:p>
      <w:pPr>
        <w:ind w:left="600" w:hanging="32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560"/>
        <w:spacing w:after="0"/>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619" w:hanging="322"/>
        <w:spacing w:after="0" w:line="259"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as of a time within 48 hours (excluding Sundays and holidays) of the sale of our common stock; and</w:t>
      </w:r>
    </w:p>
    <w:p>
      <w:pPr>
        <w:spacing w:after="0" w:line="78" w:lineRule="exact"/>
        <w:rPr>
          <w:rFonts w:ascii="Arial" w:cs="Arial" w:eastAsia="Arial" w:hAnsi="Arial"/>
          <w:sz w:val="18"/>
          <w:szCs w:val="18"/>
          <w:color w:val="auto"/>
        </w:rPr>
      </w:pPr>
    </w:p>
    <w:p>
      <w:pPr>
        <w:ind w:left="600" w:right="619" w:hanging="322"/>
        <w:spacing w:after="0" w:line="273"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magnitude of the difference between (i) a value that our Board, or an authorized committee thereof, has determined reflects the current (as of a time within 48 hours, excluding Sundays and holidays) net asset value of our common stock, which is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70"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Moreover, to the extent that there is even a remote possibility that we may (i) issue shares of our common stock at a price per share below the then 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of our common stock fluctuates by certain amounts in certain circumstances until the prospectus is amended, our Board will elect, in the case of clause (i) above, either to postpone the offering until such time that there is no longer the possibility of the occurrence of such event or to undertake to determine the net asset value per share of our common stock within two days prior to any such sale to ensure that such sale will not be below our then current net asset value per share and, in the case of clause (ii) above, to comply with such undertaking or to undertake to determine the net asset value per share of our common stock to ensure that such undertaking has not been triggered.</w:t>
      </w:r>
    </w:p>
    <w:p>
      <w:pPr>
        <w:spacing w:after="0" w:line="59"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We compete for investments with other BDCs and investment funds (including private equity funds, private credit funds, mezzanine funds and other SBICs), as well as traditional financial services companies such as commercial banks and other sources of funding. Additionally, competition for investment opportunities has emerged among alternative investment vehicles, such as collateralized loan obligations (“CLOs”) and other BDCs, some of which are sponsored by other alternative asset investors, as these entities have begun to focus on making investments in lower middle-market and traditional middle-market companies. As a result of these new entrants, competition for our investment opportunities may intensify. Many of these entities have greater financial and managerial resources than we do. We believe we will be able to compete with these entities primarily on the basis of our experience and reputation, our willingness to make smaller investments than other specialty finance companies, the contacts and relationships of our Investment Advisor, our responsive and efficient investment analysis and decision-making processes, and the investment terms we offer.</w:t>
      </w:r>
    </w:p>
    <w:p>
      <w:pPr>
        <w:spacing w:after="0" w:line="70" w:lineRule="exact"/>
        <w:rPr>
          <w:sz w:val="20"/>
          <w:szCs w:val="20"/>
          <w:color w:val="auto"/>
        </w:rPr>
      </w:pPr>
    </w:p>
    <w:p>
      <w:pPr>
        <w:ind w:left="40" w:right="679" w:firstLine="270"/>
        <w:spacing w:after="0" w:line="276" w:lineRule="auto"/>
        <w:rPr>
          <w:sz w:val="20"/>
          <w:szCs w:val="20"/>
          <w:color w:val="auto"/>
        </w:rPr>
      </w:pPr>
      <w:r>
        <w:rPr>
          <w:rFonts w:ascii="Arial" w:cs="Arial" w:eastAsia="Arial" w:hAnsi="Arial"/>
          <w:sz w:val="17"/>
          <w:szCs w:val="17"/>
          <w:color w:val="auto"/>
        </w:rPr>
        <w:t>We believe that certain of our competitors may make first lien and second lien loans with interest rates and returns that will be comparable to or lower than the rates and returns that we will target. Therefore, we will not seek to compete solely on the interest rates and returns that we offer to potential portfolio companies.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40" w:right="539" w:firstLine="270"/>
        <w:spacing w:after="0" w:line="302" w:lineRule="auto"/>
        <w:rPr>
          <w:sz w:val="20"/>
          <w:szCs w:val="20"/>
          <w:color w:val="auto"/>
        </w:rPr>
      </w:pPr>
      <w:r>
        <w:rPr>
          <w:rFonts w:ascii="Arial" w:cs="Arial" w:eastAsia="Arial" w:hAnsi="Arial"/>
          <w:sz w:val="16"/>
          <w:szCs w:val="16"/>
          <w:color w:val="auto"/>
        </w:rPr>
        <w:t>As a BDC, the Company has elected to be treated, and intends to comply with the requirements to continue to qualify annually, as a RIC under subchapter M of the Code. As a RIC, we generally will not have to pay corporate-level U.S. federal income taxes on any income that we distribute to our stockholders as dividends. To qualify as a RIC, we must, among other things, meet certain source-of-income and asset diversification requirements (as described below). In addition, to qualify for RIC tax treatment we must</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39"/>
        <w:spacing w:after="0" w:line="264" w:lineRule="auto"/>
        <w:rPr>
          <w:sz w:val="20"/>
          <w:szCs w:val="20"/>
          <w:color w:val="auto"/>
        </w:rPr>
      </w:pPr>
      <w:r>
        <w:rPr>
          <w:rFonts w:ascii="Arial" w:cs="Arial" w:eastAsia="Arial" w:hAnsi="Arial"/>
          <w:sz w:val="18"/>
          <w:szCs w:val="18"/>
          <w:color w:val="auto"/>
        </w:rPr>
        <w:t>distribute to our stockholders, for each taxable year, at least 90% of our “investment company taxable income,” which generally is our ordinary income plus the excess of our realized net short-term capital gains over our realized net long-term capital losses (the “Annual Distribution Requirement”).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any taxable year in which we:</w:t>
      </w:r>
    </w:p>
    <w:p>
      <w:pPr>
        <w:spacing w:after="0" w:line="117" w:lineRule="exact"/>
        <w:rPr>
          <w:sz w:val="20"/>
          <w:szCs w:val="20"/>
          <w:color w:val="auto"/>
        </w:rPr>
      </w:pPr>
    </w:p>
    <w:p>
      <w:pPr>
        <w:ind w:left="600" w:hanging="32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17" w:lineRule="exact"/>
        <w:rPr>
          <w:sz w:val="20"/>
          <w:szCs w:val="20"/>
          <w:color w:val="auto"/>
        </w:rPr>
      </w:pPr>
    </w:p>
    <w:p>
      <w:pPr>
        <w:jc w:val="both"/>
        <w:ind w:left="40" w:right="679"/>
        <w:spacing w:after="0" w:line="342" w:lineRule="auto"/>
        <w:rPr>
          <w:sz w:val="20"/>
          <w:szCs w:val="20"/>
          <w:color w:val="auto"/>
        </w:rPr>
      </w:pPr>
      <w:r>
        <w:rPr>
          <w:rFonts w:ascii="Arial" w:cs="Arial" w:eastAsia="Arial" w:hAnsi="Arial"/>
          <w:sz w:val="16"/>
          <w:szCs w:val="16"/>
          <w:color w:val="auto"/>
        </w:rPr>
        <w:t>we generally will not be subject to U.S. federal income tax on the portion of our income we distribute to stockholders. We will be subject to U.S. federal income tax at the regular corporate rates on any income or capital gains not distributed to our stockholders.</w:t>
      </w:r>
    </w:p>
    <w:p>
      <w:pPr>
        <w:spacing w:after="0" w:line="16"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recognized, but not distributed, in preceding years and on which we paid no corporate-level U.S. federal income tax (the “Excise Tax Distribution Requirement”).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order to qualify as a RIC for U.S. federal income tax purposes, we must, among other things:</w:t>
      </w:r>
    </w:p>
    <w:p>
      <w:pPr>
        <w:spacing w:after="0" w:line="117" w:lineRule="exact"/>
        <w:rPr>
          <w:sz w:val="20"/>
          <w:szCs w:val="20"/>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 to qualify as a BDC under the 1940 Act at all times during each taxable year;</w:t>
      </w:r>
    </w:p>
    <w:p>
      <w:pPr>
        <w:spacing w:after="0" w:line="117" w:lineRule="exact"/>
        <w:rPr>
          <w:rFonts w:ascii="Arial" w:cs="Arial" w:eastAsia="Arial" w:hAnsi="Arial"/>
          <w:sz w:val="18"/>
          <w:szCs w:val="18"/>
          <w:color w:val="auto"/>
        </w:rPr>
      </w:pPr>
    </w:p>
    <w:p>
      <w:pPr>
        <w:ind w:left="600" w:right="619" w:hanging="322"/>
        <w:spacing w:after="0" w:line="259"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loans of certain securities, gains from the sale or other disposition of stock, securities or foreign currencies, net income from certain “qualified publicly traded partnerships,” or other income derived with respect to our business of investing in such stock or securities (the “90% Income Test”); and</w:t>
      </w:r>
    </w:p>
    <w:p>
      <w:pPr>
        <w:spacing w:after="0" w:line="78"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ind w:left="880" w:right="579" w:hanging="332"/>
        <w:spacing w:after="0" w:line="286" w:lineRule="auto"/>
        <w:tabs>
          <w:tab w:leader="none" w:pos="8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7" w:lineRule="exact"/>
        <w:rPr>
          <w:rFonts w:ascii="Arial" w:cs="Arial" w:eastAsia="Arial" w:hAnsi="Arial"/>
          <w:sz w:val="17"/>
          <w:szCs w:val="17"/>
          <w:color w:val="auto"/>
        </w:rPr>
      </w:pPr>
    </w:p>
    <w:p>
      <w:pPr>
        <w:ind w:left="880" w:right="679" w:hanging="332"/>
        <w:spacing w:after="0" w:line="259"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79"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Qualified earnings may exclude such income as management fees received in connection with our SBIC subsidiaries or other potential outside managed funds and certain other fees.</w:t>
      </w:r>
    </w:p>
    <w:p>
      <w:pPr>
        <w:spacing w:after="0" w:line="62"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We have no current intention of paying dividends in shares of our stock in accordance with these Treasury regulations or private letter rulings.</w:t>
      </w:r>
    </w:p>
    <w:p>
      <w:pPr>
        <w:spacing w:after="0" w:line="74"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original issue</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90" w:lineRule="auto"/>
        <w:rPr>
          <w:sz w:val="20"/>
          <w:szCs w:val="20"/>
          <w:color w:val="auto"/>
        </w:rPr>
      </w:pPr>
      <w:r>
        <w:rPr>
          <w:rFonts w:ascii="Arial" w:cs="Arial" w:eastAsia="Arial" w:hAnsi="Arial"/>
          <w:sz w:val="16"/>
          <w:szCs w:val="16"/>
          <w:color w:val="auto"/>
        </w:rPr>
        <w:t>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58"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Gain or loss realized by us from the sale or exchange of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3"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Distribution Requirement, we may make such dispositions at times that, from an investment standpoint, are not advantageous. If we are prohibited from making distributions or are unable to obtain cash from other sources to make the distributions, we may fail to qualify as a RIC, which would result in us becoming subject to corporate-level U.S. federal income tax.</w:t>
      </w:r>
    </w:p>
    <w:p>
      <w:pPr>
        <w:spacing w:after="0" w:line="89"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In addition, we will be partially dependent on our SBIC subsidiaries for cash distributions to enable us to meet the RIC distribution requirements. Our SBIC subsidiaries may be limited by the Small Business Investment Act of 1958, and SBA regulations governing SBICs, from making certain distributions to us that may be necessary to maintain our tax treatment as a RIC. We may have to request a waiver of the SBA’s restrictions for our SBIC subsidiaries to make certain distributions to maintain our RIC tax treatment. We cannot assure you that the SBA will grant such waiver. If our SBIC subsidiaries are unable to obtain a waiver, compliance with the SBA regulations may cause us to fail to qualify for tax treatment as a RIC, which would result in us becoming subject to corporate-level U.S. federal income tax.</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remainder of this discussion assumes that we will qualify as a RIC and have satisfied the Annual Distribution Requirement.</w:t>
      </w:r>
    </w:p>
    <w:p>
      <w:pPr>
        <w:spacing w:after="0" w:line="140"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Any transactions in options, futures contracts, constructive sales, hedging, straddle, conversion or similar transactions, and forward contracts will be subject to special tax rules, the effect of which may be to accelerate income to us, defer losses, cause adjustments to the holding periods of our investments, convert long-term capital gains into short-term capital gains, convert short-term capital losses into long-term capital losses or have other tax consequences. These rules could affect the amount, timing and character of distributions to stockholders. We do not currently intend to engage in these types of transactions.</w:t>
      </w:r>
    </w:p>
    <w:p>
      <w:pPr>
        <w:spacing w:after="0" w:line="50"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A RIC is limited in its ability to deduct expenses in excess of its “investment company taxable income” (which is, generally, ordinary income plus net realized short-term capital gains in excess of net realized long-term capital losses). If our expenses in a given year exceed gross taxable income (e.g., as the result of large amounts of equity-based compensation),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are often as high as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spacing w:after="0" w:line="70"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If we acquire stock in certain foreign corporations that receive at least 75% of their annual gross income from passive sources (such as interest, dividends, rents, royalties or capital gain) or hold at least 50% of their total assets in investments producing such passive income (“passive foreign investment companies”), we could be subject to U.S. federal income tax and additional interest charges on “excess distributions” received from such companies or gain from the sale of stock in such companies, even if all income or gain actually received by us is timely distributed to our stockholders. We would not be able to pass through to our stockholders any credit or deduction for such a tax. Certain elections may, if available, ameliorate these adverse tax consequences, but any such election requires us to recognize taxable income or gain without the concurrent receipt of cash. We intend to limit and/or manage our holdings in passive foreign investment companies to minimize our tax liability. In addition, under recently proposed regulations, income required to be included as a result of such an election would not be qualifying income for purposes of the 90% Income Test unless we receive a distribution of such income from the passive foreign investment company in the same taxable year to which the inclusion relates.</w:t>
      </w:r>
    </w:p>
    <w:p>
      <w:pPr>
        <w:spacing w:after="0" w:line="75"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“qualifying income” from which a RIC must derive at least 90% of its annual gross income.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ACQUISITION OF PORTFOLIO ASSETS OF THE LEGACY FUNDS</w:t>
      </w:r>
    </w:p>
    <w:p>
      <w:pPr>
        <w:spacing w:after="0" w:line="12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We believe that our acquisition of the Legacy Funds’ portfolio assets in exchange for shares of our common stock generally was tax free to us and the Legacy Funds. As a result, our initial adjusted basis in the Legacy Funds’ portfolio assets was equal to the Legacy Funds’ adjusted basis in such assets immediately prior to our acquisition of such assets increased by any gain recognized by the Legacy Funds as a result of such transaction. Such adjusted basis will be used in determining the amount of our taxable gain or loss upon a sale or other disposition of such assets. To the extent that such assets had built-in gain (i.e., assets whose fair market value exceeds our tax basis at the time we acquired them) on the date of acquisition, when such gain is recognized by us upon a sale or other disposition such assets, we will be required to distribute such gain to our stockholders in order to eliminate our liability for corporate-level U.S. federal income tax on such gain and possibly to maintain our qualification as a RIC under the Code. Investors will be subject to tax on the distribution even though such gain accrued prior to our acquisition of such assets and even though the distribution effectively represents a return of their investment.</w:t>
      </w:r>
    </w:p>
    <w:p>
      <w:pPr>
        <w:spacing w:after="0" w:line="70" w:lineRule="exact"/>
        <w:rPr>
          <w:sz w:val="20"/>
          <w:szCs w:val="20"/>
          <w:color w:val="auto"/>
        </w:rPr>
      </w:pPr>
    </w:p>
    <w:p>
      <w:pPr>
        <w:ind w:left="40" w:right="519" w:firstLine="270"/>
        <w:spacing w:after="0" w:line="254" w:lineRule="auto"/>
        <w:rPr>
          <w:sz w:val="20"/>
          <w:szCs w:val="20"/>
          <w:color w:val="auto"/>
        </w:rPr>
      </w:pPr>
      <w:r>
        <w:rPr>
          <w:rFonts w:ascii="Arial" w:cs="Arial" w:eastAsia="Arial" w:hAnsi="Arial"/>
          <w:sz w:val="18"/>
          <w:szCs w:val="18"/>
          <w:color w:val="auto"/>
        </w:rPr>
        <w:t>In addition, to the extent that any beneficial owner of interests in the Legacy Funds on the date of our acquisition of the Legacy Funds’ portfolio assets was a C corporation (a “corporate partner”), we will be required to pay a corporate-level U.S. federal income tax on the net amount of any such built-in gains attributable to the corporate partners that we recognize during the ten-year period (or shorter applicable period) beginning on the date of acquisition. Alternatively, we may make a special election to cause the gain to be recognized at the time of the acquisition. In that event, the Legacy Funds would be required to recognize such built-in gain as if a proportionate share of such Funds’ assets were sold at the time of the acquisition. We do not anticipate making this election at this time. Any corporate-level built-in gain tax is payable at the time the built-in gains are recognized (which generally will be the years in which the built-in</w:t>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57" w:lineRule="auto"/>
        <w:rPr>
          <w:sz w:val="20"/>
          <w:szCs w:val="20"/>
          <w:color w:val="auto"/>
        </w:rPr>
      </w:pPr>
      <w:r>
        <w:rPr>
          <w:rFonts w:ascii="Arial" w:cs="Arial" w:eastAsia="Arial" w:hAnsi="Arial"/>
          <w:sz w:val="18"/>
          <w:szCs w:val="18"/>
          <w:color w:val="auto"/>
        </w:rPr>
        <w:t>gain assets are sold in a taxable transaction). The amount of this tax will vary depending on the assets that are actually sold by us in this 10-year period (or shorter applicable period), the actual amount of net built-in gain or loss present in those assets as of the acquisition date and effective tax rates. The payment of any such corporate-level U.S. federal income tax on built-in gains will be a company expense that will be borne by all stockholders (not just any former corporate partners) and will reduce the amount available for distribution to stockholders.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73"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to the extent of our current and accumulated earnings and profits and, subject to certain limitations, may be eligible for the 20% maximum rate for noncorporate taxpayers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corporate-level U.S. federal income tax on such built-in gain at the time of our requalification as a RIC.</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A BDC is regulated under the 1940 Act. A BDC must be organized in the U.S.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80"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85"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50"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As a BDC, we are generally required to meet an asset coverage ratio, defined under the 1940 Act as the ratio of our gross assets (less all liabilities and indebtedness not represented by senior securities) to our</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69" w:lineRule="auto"/>
        <w:rPr>
          <w:sz w:val="20"/>
          <w:szCs w:val="20"/>
          <w:color w:val="auto"/>
        </w:rPr>
      </w:pPr>
      <w:r>
        <w:rPr>
          <w:rFonts w:ascii="Arial" w:cs="Arial" w:eastAsia="Arial" w:hAnsi="Arial"/>
          <w:sz w:val="17"/>
          <w:szCs w:val="17"/>
          <w:color w:val="auto"/>
        </w:rPr>
        <w:t>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 On June 1, 2016, the SEC issued the Order, which permits us and certain of our affiliates to co-invest with one or more other affiliated investment funds, including future affiliated investment funds, where co-investing would otherwise be prohibited under the 1940 Act. Pursuant to the Order, the Company is permitted to co-invest with its affiliates if a “required majority” (as defined in Section 57(o) of the 1940 Act) of the Company’s independent directors make certain conclusions in connection with a co-investment transaction, including, but not limited to, that (1) the terms of the potential co-investment transaction, including the consideration to be paid, are reasonable and fair to the Company and its stockholders and do not involve overreaching in respect of the Company or its stockholders on the part of any person concerned, and (2) the potential co-investment transaction is consistent with the interests of the Company’s stockholders and is consistent with its then-current investment objectives and strategies.</w:t>
      </w:r>
    </w:p>
    <w:p>
      <w:pPr>
        <w:spacing w:after="0" w:line="75"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are generally not permitted to issue and sell our common stock at a price below net asset value per share.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We may, however, sell our common stock, or warrants, options or rights to acquire our common stock, at a price below the then-current net asset value of our common stock if our Board determines that such sale is in our best interests and the best interests of our stockholders, and our stockholders approve our policy and practice of making such sales. In any such case, under such circumstances, the price at which our common stock is to be issued and sold may not be less than a price which, in the determination of our Board, closely approximates the market value of such common stock. In addition, we may generally issue new shares of our common stock at a price below net asset value in rights offerings to existing stockholders, in payment of dividends and in certain other limited circumstances.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17" w:lineRule="exact"/>
        <w:rPr>
          <w:sz w:val="20"/>
          <w:szCs w:val="20"/>
          <w:color w:val="auto"/>
        </w:rPr>
      </w:pPr>
    </w:p>
    <w:p>
      <w:pPr>
        <w:ind w:left="40" w:right="1319" w:firstLine="270"/>
        <w:spacing w:after="0" w:line="277" w:lineRule="auto"/>
        <w:rPr>
          <w:sz w:val="20"/>
          <w:szCs w:val="20"/>
          <w:color w:val="auto"/>
        </w:rPr>
      </w:pPr>
      <w:r>
        <w:rPr>
          <w:rFonts w:ascii="Arial" w:cs="Arial" w:eastAsia="Arial" w:hAnsi="Arial"/>
          <w:sz w:val="18"/>
          <w:szCs w:val="18"/>
          <w:color w:val="auto"/>
        </w:rPr>
        <w:t>As a BDC, we are subject to certain risks and uncertainties. See “Risk Factors — Risks Relating to Our Business and Structure.”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left="40" w:right="819" w:firstLine="270"/>
        <w:spacing w:after="0" w:line="291" w:lineRule="auto"/>
        <w:rPr>
          <w:sz w:val="20"/>
          <w:szCs w:val="20"/>
          <w:color w:val="auto"/>
        </w:rPr>
      </w:pPr>
      <w:r>
        <w:rPr>
          <w:rFonts w:ascii="Arial" w:cs="Arial" w:eastAsia="Arial" w:hAnsi="Arial"/>
          <w:sz w:val="16"/>
          <w:szCs w:val="16"/>
          <w:color w:val="auto"/>
        </w:rPr>
        <w:t>Under the 1940 Act, a BDC may not acquire any asset other than assets of the type listed in Section 55(a) of the 1940 Act, which are referred to as qualifying assets, unless, immediately after such acquisition is made, qualifying assets represent at least</w:t>
      </w:r>
    </w:p>
    <w:p>
      <w:pPr>
        <w:ind w:left="40"/>
        <w:spacing w:after="0"/>
        <w:rPr>
          <w:sz w:val="20"/>
          <w:szCs w:val="20"/>
          <w:color w:val="auto"/>
        </w:rPr>
      </w:pPr>
      <w:r>
        <w:rPr>
          <w:rFonts w:ascii="Arial" w:cs="Arial" w:eastAsia="Arial" w:hAnsi="Arial"/>
          <w:sz w:val="16"/>
          <w:szCs w:val="16"/>
          <w:color w:val="auto"/>
        </w:rPr>
        <w:t>70% of the BDC’s gross assets. The principal categories of qualifying assets relevant to our proposed business are the following:</w:t>
      </w:r>
    </w:p>
    <w:p>
      <w:pPr>
        <w:spacing w:after="0" w:line="126" w:lineRule="exact"/>
        <w:rPr>
          <w:sz w:val="20"/>
          <w:szCs w:val="20"/>
          <w:color w:val="auto"/>
        </w:rPr>
      </w:pPr>
    </w:p>
    <w:p>
      <w:pPr>
        <w:ind w:left="600" w:hanging="322"/>
        <w:spacing w:after="0"/>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the issuer of which is an eligible portfolio company;</w:t>
      </w:r>
    </w:p>
    <w:p>
      <w:pPr>
        <w:spacing w:after="0" w:line="140" w:lineRule="exact"/>
        <w:rPr>
          <w:rFonts w:ascii="Arial" w:cs="Arial" w:eastAsia="Arial" w:hAnsi="Arial"/>
          <w:sz w:val="16"/>
          <w:szCs w:val="16"/>
          <w:color w:val="auto"/>
        </w:rPr>
      </w:pPr>
    </w:p>
    <w:p>
      <w:pPr>
        <w:ind w:left="600" w:right="679" w:hanging="322"/>
        <w:spacing w:after="0" w:line="277"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with respect to securities described in the bullet above or pursuant to the exercise of options, warrants or rights relating to such securities; and</w:t>
      </w:r>
    </w:p>
    <w:p>
      <w:pPr>
        <w:spacing w:after="0" w:line="62" w:lineRule="exact"/>
        <w:rPr>
          <w:rFonts w:ascii="Arial" w:cs="Arial" w:eastAsia="Arial" w:hAnsi="Arial"/>
          <w:sz w:val="18"/>
          <w:szCs w:val="18"/>
          <w:color w:val="auto"/>
        </w:rPr>
      </w:pPr>
    </w:p>
    <w:p>
      <w:pPr>
        <w:ind w:left="600" w:right="759" w:hanging="322"/>
        <w:spacing w:after="0" w:line="277"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cash items, government securities or high quality debt securities (within the meaning of the 1940 Act), maturing in one year or less from the time of investment.</w:t>
      </w:r>
    </w:p>
    <w:p>
      <w:pPr>
        <w:spacing w:after="0" w:line="62"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color w:val="auto"/>
        </w:rPr>
        <w:t>An eligible portfolio company is generally a domestic company that is not an investment company (other than a SBIC wholly owned by a BDC) and that:</w:t>
      </w:r>
    </w:p>
    <w:p>
      <w:pPr>
        <w:spacing w:after="0" w:line="62" w:lineRule="exact"/>
        <w:rPr>
          <w:sz w:val="20"/>
          <w:szCs w:val="20"/>
          <w:color w:val="auto"/>
        </w:rPr>
      </w:pPr>
    </w:p>
    <w:p>
      <w:pPr>
        <w:ind w:left="600" w:right="859" w:hanging="322"/>
        <w:spacing w:after="0" w:line="277"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does not have a class of securities with respect to which a broker may extend margin credit at the time the acquisition is made;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controlled by the BDC and has an affiliate of the BDC on its board;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a public company that lists its securities on a national securities exchange with a market capitalization of less than $250 million; or</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meets such other criteria as may be established by the SEC.</w:t>
      </w:r>
    </w:p>
    <w:p>
      <w:pPr>
        <w:spacing w:after="0" w:line="117"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Control, as defined by the 1940 Act, is presumed to exist where a BDC beneficially owns more than 25% of the outstanding voting securities of the portfolio company.</w:t>
      </w:r>
    </w:p>
    <w:p>
      <w:pPr>
        <w:spacing w:after="0" w:line="62" w:lineRule="exact"/>
        <w:rPr>
          <w:sz w:val="20"/>
          <w:szCs w:val="20"/>
          <w:color w:val="auto"/>
        </w:rPr>
      </w:pPr>
    </w:p>
    <w:p>
      <w:pPr>
        <w:ind w:left="40" w:right="639" w:firstLine="270"/>
        <w:spacing w:after="0" w:line="342" w:lineRule="auto"/>
        <w:rPr>
          <w:sz w:val="20"/>
          <w:szCs w:val="20"/>
          <w:color w:val="auto"/>
        </w:rPr>
      </w:pPr>
      <w:r>
        <w:rPr>
          <w:rFonts w:ascii="Arial" w:cs="Arial" w:eastAsia="Arial" w:hAnsi="Arial"/>
          <w:sz w:val="16"/>
          <w:szCs w:val="16"/>
          <w:color w:val="auto"/>
        </w:rPr>
        <w:t>In addition, a BDC must have been organized and have its principal place of business in the U.S. and must be operated for the purpose of making investments in eligible portfolio companies, or in other securities that are consistent with its purpose as a BDC.</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MANAGERIAL ASSISTANCE TO PORTFOLIO COMPANIES</w:t>
      </w:r>
    </w:p>
    <w:p>
      <w:pPr>
        <w:spacing w:after="0" w:line="121" w:lineRule="exact"/>
        <w:rPr>
          <w:sz w:val="20"/>
          <w:szCs w:val="20"/>
          <w:color w:val="auto"/>
        </w:rPr>
      </w:pPr>
    </w:p>
    <w:p>
      <w:pPr>
        <w:ind w:left="40" w:right="719" w:firstLine="270"/>
        <w:spacing w:after="0" w:line="293" w:lineRule="auto"/>
        <w:rPr>
          <w:sz w:val="20"/>
          <w:szCs w:val="20"/>
          <w:color w:val="auto"/>
        </w:rPr>
      </w:pPr>
      <w:r>
        <w:rPr>
          <w:rFonts w:ascii="Arial" w:cs="Arial" w:eastAsia="Arial" w:hAnsi="Arial"/>
          <w:sz w:val="16"/>
          <w:szCs w:val="16"/>
          <w:color w:val="auto"/>
        </w:rPr>
        <w:t>BDCs generally must offer to make available to the issuer of the securities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40" w:right="659" w:firstLine="270"/>
        <w:spacing w:after="0" w:line="269"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under the Code. Thus, we do not intend to enter into repurchase agreements with a single counterparty in excess of this limit. Our Investment Advisor will monitor the creditworthiness of the counterparties with which we enter into repurchase agreement transactions.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at least equal to 200% immediately after each such issuance. On June 10, 2014, we received an exemptive order from the SEC granting relief from the asset coverage requirements for certain indebtedness issued by Fund II and Fund III as SBICs.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 xml:space="preserve">We and our Investment Advisor have adopted a code of ethics pursuant to Rule 17j-1 under the 1940 Act and Rule 204A-1 under the Advisers Act that establishes procedures for personal investments and restricts certain transactions by our personnel. Our code of ethics generally does not permit investments by our employees in securities that may be purchased or held by us. You may read and copy our code of ethics at the SEC’s Public Reference Room in Washington, D.C. You may obtain information on the operation of the Public Reference Room by calling the SEC at 1-800-SEC-0330. You may also obtain copies of the code of ethics, after paying a duplicating fee, by electronic request at the following email address: publicinfo@sec.gov, or by writing the SEC’s Public Reference Section, 100 F Street, N.E., Washington, D.C. 20549. Our code of ethics is also available on our website at </w:t>
      </w:r>
      <w:r>
        <w:rPr>
          <w:rFonts w:ascii="Arial" w:cs="Arial" w:eastAsia="Arial" w:hAnsi="Arial"/>
          <w:sz w:val="18"/>
          <w:szCs w:val="18"/>
          <w:i w:val="1"/>
          <w:iCs w:val="1"/>
          <w:color w:val="auto"/>
        </w:rPr>
        <w:t>www.Capitalagroup.com</w:t>
      </w:r>
      <w:r>
        <w:rPr>
          <w:rFonts w:ascii="Arial" w:cs="Arial" w:eastAsia="Arial" w:hAnsi="Arial"/>
          <w:sz w:val="18"/>
          <w:szCs w:val="18"/>
          <w:color w:val="auto"/>
        </w:rPr>
        <w:t>.</w:t>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We and our Investment Advisor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Richard G. Wheelahan, III currently serves as our chief compliance officer.</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The Sarbanes-Oxley Act of 2002 (the “Sarbanes-Oxley Act”) imposes a wide variety of regulatory requirements on publicly-held companies and their insiders. Many of these requirements affect us. For example:</w:t>
      </w:r>
    </w:p>
    <w:p>
      <w:pPr>
        <w:spacing w:after="0" w:line="62" w:lineRule="exact"/>
        <w:rPr>
          <w:sz w:val="20"/>
          <w:szCs w:val="20"/>
          <w:color w:val="auto"/>
        </w:rPr>
      </w:pPr>
    </w:p>
    <w:p>
      <w:pPr>
        <w:ind w:left="600" w:right="619" w:hanging="322"/>
        <w:spacing w:after="0" w:line="27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pursuant to Rule 13a-14 of the 1934 Act, our chief executive officer and chief financial officer must certify the accuracy of the financial statements contained in our periodic reports;</w:t>
      </w:r>
    </w:p>
    <w:p>
      <w:pPr>
        <w:spacing w:after="0" w:line="62"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62" w:lineRule="exact"/>
        <w:rPr>
          <w:rFonts w:ascii="Arial" w:cs="Arial" w:eastAsia="Arial" w:hAnsi="Arial"/>
          <w:sz w:val="18"/>
          <w:szCs w:val="18"/>
          <w:color w:val="auto"/>
        </w:rPr>
      </w:pPr>
    </w:p>
    <w:p>
      <w:pPr>
        <w:ind w:left="600" w:right="639" w:hanging="322"/>
        <w:spacing w:after="0" w:line="259"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pursuant to Rule 13a-15 of the 1934 Act, our management is required to prepare an annual report regarding its assessment of our internal control over financial reporting. When we are no longer an emerging growth company under the JOBS Act, our independent registered public accounting firm will be required to audit our internal controls over financial reporting; and</w:t>
      </w:r>
    </w:p>
    <w:p>
      <w:pPr>
        <w:spacing w:after="0" w:line="78" w:lineRule="exact"/>
        <w:rPr>
          <w:rFonts w:ascii="Arial" w:cs="Arial" w:eastAsia="Arial" w:hAnsi="Arial"/>
          <w:sz w:val="18"/>
          <w:szCs w:val="18"/>
          <w:color w:val="auto"/>
        </w:rPr>
      </w:pPr>
    </w:p>
    <w:p>
      <w:pPr>
        <w:ind w:left="600" w:right="659" w:hanging="322"/>
        <w:spacing w:after="0" w:line="259"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79" w:lineRule="exact"/>
        <w:rPr>
          <w:sz w:val="20"/>
          <w:szCs w:val="20"/>
          <w:color w:val="auto"/>
        </w:rPr>
      </w:pPr>
    </w:p>
    <w:p>
      <w:pPr>
        <w:ind w:left="40" w:right="699" w:firstLine="270"/>
        <w:spacing w:after="0" w:line="312" w:lineRule="auto"/>
        <w:rPr>
          <w:sz w:val="20"/>
          <w:szCs w:val="20"/>
          <w:color w:val="auto"/>
        </w:rPr>
      </w:pPr>
      <w:r>
        <w:rPr>
          <w:rFonts w:ascii="Arial" w:cs="Arial" w:eastAsia="Arial" w:hAnsi="Arial"/>
          <w:sz w:val="16"/>
          <w:szCs w:val="16"/>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We have delegated our proxy voting responsibility to the Investment Advisor. The proxy voting policies and procedures of the Investment Advisor are set forth below. The guidelines will be reviewed periodically by the Investment Advisor and our non-interested directors, and, accordingly, are subject to change. For purposes of the proxy voting policies and procedures described below, “we,” “our” and “us” refers to the Investment Advisor.</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73"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Proxy Policies</w:t>
      </w:r>
    </w:p>
    <w:p>
      <w:pPr>
        <w:spacing w:after="0" w:line="117" w:lineRule="exact"/>
        <w:rPr>
          <w:sz w:val="20"/>
          <w:szCs w:val="20"/>
          <w:color w:val="auto"/>
        </w:rPr>
      </w:pPr>
    </w:p>
    <w:p>
      <w:pPr>
        <w:ind w:left="40" w:right="679" w:firstLine="270"/>
        <w:spacing w:after="0" w:line="302" w:lineRule="auto"/>
        <w:rPr>
          <w:sz w:val="20"/>
          <w:szCs w:val="20"/>
          <w:color w:val="auto"/>
        </w:rPr>
      </w:pPr>
      <w:r>
        <w:rPr>
          <w:rFonts w:ascii="Arial" w:cs="Arial" w:eastAsia="Arial" w:hAnsi="Arial"/>
          <w:sz w:val="16"/>
          <w:szCs w:val="16"/>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Capitala Investment Advisors, LLC, 4201 Congress Street, Suite 360, Charlotte, North Carolina 28209.</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left="40" w:right="919" w:firstLine="270"/>
        <w:spacing w:after="0" w:line="279" w:lineRule="auto"/>
        <w:rPr>
          <w:sz w:val="20"/>
          <w:szCs w:val="20"/>
          <w:color w:val="auto"/>
        </w:rPr>
      </w:pPr>
      <w:r>
        <w:rPr>
          <w:rFonts w:ascii="Arial" w:cs="Arial" w:eastAsia="Arial" w:hAnsi="Arial"/>
          <w:sz w:val="17"/>
          <w:szCs w:val="17"/>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63"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Advisor and its affiliates with a legitimate business need for the information. We maintain physical, electronic and procedural safeguards designed to protect the non-public personal information of our stockholders.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SMALL BUSINESS INVESTMENT COMPANY REGULATIONS</w:t>
      </w:r>
    </w:p>
    <w:p>
      <w:pPr>
        <w:spacing w:after="0" w:line="121"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Fund II and Fund III, which are our wholly owned subsidiaries, are licensed to act as SBICs and are regulated by the SBA. As of December 31, 2017, investments in Fund II and Fund III accounted for approximately 11.2% and 51.7%, respectively, of our total portfolio. As of December 31, 2017, Fund II and Fund III had $20.7 million and $150.0 million, respectively, of SBA-guaranteed debentures outstanding under the SBIC program. Fund II and Fund III are fully drawn and may not make borrowings in excess of their aggregate $170.7 million of SBA-guaranteed debentures outstanding as of December 31, 2017.</w:t>
      </w:r>
    </w:p>
    <w:p>
      <w:pPr>
        <w:spacing w:after="0" w:line="64"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The SBIC licenses allow our SBIC subsidiaries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 SBA-guaranteed debentures are non-recourse, interest-only debentures with interest payable semi-annually and have a ten year maturity. The principal amount of SBA-guaranteed debentures is not required to be paid prior to maturity but may be prepaid at any time without penalty. The interest rate of SBA-guaranteed debentures is fixed at the time of issuance at a market-driven spread over U.S. Treasury Notes with 10-year maturities.</w:t>
      </w:r>
    </w:p>
    <w:p>
      <w:pPr>
        <w:spacing w:after="0" w:line="70"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SBICs are designed to stimulate the flow of private equity capital to eligible small businesses. Under current SBA regulations, a licensed SBIC may provide capital to those entities that have a tangible net worth not exceeding $19.5 million and an average annual net income after U.S. federal income taxes not exceeding $6.5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factors such as the number of employees and gross sales. The SBA regulations permit licensed SBICs to make long-term loans to small</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79" w:lineRule="auto"/>
        <w:rPr>
          <w:sz w:val="20"/>
          <w:szCs w:val="20"/>
          <w:color w:val="auto"/>
        </w:rPr>
      </w:pPr>
      <w:r>
        <w:rPr>
          <w:rFonts w:ascii="Arial" w:cs="Arial" w:eastAsia="Arial" w:hAnsi="Arial"/>
          <w:sz w:val="17"/>
          <w:szCs w:val="17"/>
          <w:color w:val="auto"/>
        </w:rPr>
        <w:t>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a few prohibited industries. Compliance with SBA requirements may cause Fund II and Fund III to forego attractive investment opportunities that are not permitted under SBA regulations.</w:t>
      </w:r>
    </w:p>
    <w:p>
      <w:pPr>
        <w:spacing w:after="0" w:line="63"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Further, the SBA regulations require that a licensed SBIC be periodically examined and audited by the SBA to determine its compliance with the relevant SBA regulations. The SBA prohibits, without prior SBA approval, a “change of control” of an SBIC or transfers that would result in any person (or a group of persons acting in concert) owning 10.0% or more of a class of capital stock of a licensed SBIC. If either Fund II or Fund III fails to comply with applicable SBA regulations, the SBA could, depending on the severity of the violation, limit or prohibit Fund II’s and Fund III’s use of debentures, declare outstanding debentures immediately due and payable, and/or limit Fund II and Fund III from making new investments. Such actions by the SBA would, in turn, negatively affect us because Fund II and Fund III are our wholly owned subsidiaries. Fund II and Fund III were in compliance with the terms of the SBA’s leverage as of December 31, 2017 as a result of having sufficient capital as defined under the SBA regulations.</w:t>
      </w:r>
    </w:p>
    <w:p>
      <w:pPr>
        <w:spacing w:after="0" w:line="89" w:lineRule="exact"/>
        <w:rPr>
          <w:sz w:val="20"/>
          <w:szCs w:val="20"/>
          <w:color w:val="auto"/>
        </w:rPr>
      </w:pPr>
    </w:p>
    <w:p>
      <w:pPr>
        <w:ind w:left="40" w:right="679" w:firstLine="270"/>
        <w:spacing w:after="0" w:line="272" w:lineRule="auto"/>
        <w:rPr>
          <w:sz w:val="20"/>
          <w:szCs w:val="20"/>
          <w:color w:val="auto"/>
        </w:rPr>
      </w:pPr>
      <w:r>
        <w:rPr>
          <w:rFonts w:ascii="Arial" w:cs="Arial" w:eastAsia="Arial" w:hAnsi="Arial"/>
          <w:sz w:val="17"/>
          <w:szCs w:val="17"/>
          <w:color w:val="auto"/>
        </w:rPr>
        <w:t>In December 2015, the 2016 omnibus spending bill approved by Congress and signed into law by the President increased the amount of SBA-guaranteed debentures that affiliated SBIC funds can have outstanding from $225.0 million to $350.0 million, subject to SBA approval. SBA regulations currently limit the amount that an SBIC subsidiary may borrow to a maximum of $150 million when it has at least $75 million in regulatory capital. Affiliated SBICs are permitted to issue up to a combined maximum amount of $350 million when they have at least $175 million in regulatory capital. As of December 31, 2017, Fund II had $26.2 million in regulatory capital and $20.7 million in SBA-guaranteed debentures outstanding and Fund III had $75.0 million in regulatory capital and $150.0 million in SBA-guaranteed debentures outstanding.</w:t>
      </w:r>
    </w:p>
    <w:p>
      <w:pPr>
        <w:spacing w:after="0" w:line="7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On June 10, 2014, we received exemptive relief from the SEC to permit us to exclude the debt of our SBIC subsidiaries guaranteed by the SBA from the definition of senior securities in the 200% asset coverage test under the 1940 Act. This provides us with increased flexibility under the 200% asset coverage test by permitting us to borrow up to $170.7 million more than we would otherwise be able to absent the receipt of this exemptive relief.</w:t>
      </w:r>
    </w:p>
    <w:p>
      <w:pPr>
        <w:spacing w:after="0" w:line="79" w:lineRule="exact"/>
        <w:rPr>
          <w:sz w:val="20"/>
          <w:szCs w:val="20"/>
          <w:color w:val="auto"/>
        </w:rPr>
      </w:pPr>
    </w:p>
    <w:p>
      <w:pPr>
        <w:ind w:left="40" w:right="699" w:firstLine="270"/>
        <w:spacing w:after="0" w:line="273" w:lineRule="auto"/>
        <w:rPr>
          <w:sz w:val="20"/>
          <w:szCs w:val="20"/>
          <w:color w:val="auto"/>
        </w:rPr>
      </w:pPr>
      <w:r>
        <w:rPr>
          <w:rFonts w:ascii="Arial" w:cs="Arial" w:eastAsia="Arial" w:hAnsi="Arial"/>
          <w:sz w:val="17"/>
          <w:szCs w:val="17"/>
          <w:color w:val="auto"/>
        </w:rPr>
        <w:t>Our SBIC subsidiaries are subject to regulation and oversight by the SBA, including requirements with respect to maintaining certain minimum financial ratios and other covenants. Receipt of SBIC licenses does not assure that our SBIC subsidiaries will receive SBA-guaranteed debenture funding, which is dependent upon our SBIC subsidiaries continuing to be in compliance with SBA regulations and policies. The SBA, as a creditor, will have a superior claim to our SBIC subsidiaries’ assets over our stockholders in the event we liquidate our SBIC subsidiaries or the SBA exercises its remedies under the SBA-guaranteed debentures issued by our SBIC subsidiaries upon an event of default.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NASDAQ GLOBAL SELECT MARKET REQUIREMENTS</w:t>
      </w:r>
    </w:p>
    <w:p>
      <w:pPr>
        <w:spacing w:after="0" w:line="121"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We have adopted certain policies and procedures intended to comply with the NASDAQ Global Select Market’s corporate governance rules. We will continue to monitor our compliance with all future listing standards that are approved by the SEC and will take actions necessary to ensure that we are in compliance therewith.</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 xml:space="preserve">Our executive offices are located at 4201 Congress Street, Suite 360, Charlotte, NC 28209. We maintain a website located at </w:t>
      </w:r>
      <w:r>
        <w:rPr>
          <w:rFonts w:ascii="Arial" w:cs="Arial" w:eastAsia="Arial" w:hAnsi="Arial"/>
          <w:sz w:val="16"/>
          <w:szCs w:val="16"/>
          <w:i w:val="1"/>
          <w:iCs w:val="1"/>
          <w:color w:val="auto"/>
        </w:rPr>
        <w:t xml:space="preserve">www.Capitalagroup.com </w:t>
      </w:r>
      <w:r>
        <w:rPr>
          <w:rFonts w:ascii="Arial" w:cs="Arial" w:eastAsia="Arial" w:hAnsi="Arial"/>
          <w:sz w:val="16"/>
          <w:szCs w:val="16"/>
          <w:color w:val="auto"/>
        </w:rPr>
        <w:t>and our phone number is (704) 376-5502. We make available free of charge on our website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annual report on Form 10-K, quarterly reports on Form 10-Q, current reports on Form 8-K, and amendments to those reports as soon as reasonably practical after we file such material with, or furnish to, the SEC.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 xml:space="preserve">The SEC also maintains a website that contains reports, proxy and information statements and other information we file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 Copies of these reports, proxy and information statements and other information may also be obtained, after paying a duplicating fee, by electronic request at publicinfo@sec.gov, or by writing to the SEC’s Public Reference Section, 100 F Street, N.E., Washington, D.C. 20549-0102. Information on the operation of the Public Reference Room may be obtained by calling the SEC at 1-800-SEC-0330.</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i w:val="1"/>
          <w:iCs w:val="1"/>
          <w:color w:val="auto"/>
        </w:rPr>
        <w:t>Investing in our securities involves a number of significant risks. Before you invest in our securities, you should be aware of various risks, including those described below and elsewhere in this Annual Report on Form 10-K. You should carefully consider these risk factors, together with all of the other information included in this Annual Report on Form 10-K,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securities could decline, and you may lose all or part of your investment. The risk factors described below are the principal risk factors associated with an investment in us as well as those factors generally associated with an investment company with investment objectives, investment policies, capital structure, or trading markets similar to ours.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a limited operating history as a BDC.</w:t>
      </w:r>
    </w:p>
    <w:p>
      <w:pPr>
        <w:spacing w:after="0" w:line="117"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Capitala Finance was formed in February 2013 and has only operated as a BDC since September 2013. As a result, we are subject to many of the business risks and uncertainties associated with recently formed businesses, including the risk that we will not achieve our investment objective and that the value of your investment could decline substantially. As a BDC, we are subject to the regulatory requirements of the SEC, in addition to the specific regulatory requirements applicable to BDCs under the 1940 Act and RICs under the Code. Our management and that of the Investment Advisor did not have any prior experience operating under this regulatory framework, and we incur substantial costs, and expend significant time or other resources, to operate under this regulatory framework. From time to time, the Investment Advisor may pursue investment opportunities in which it has more limited experience. We may also be unable to replicate the historical performance of prior investment funds managed by our management team. In addition, we may be unable to generate sufficient revenue from our operations to make or sustain distributions to our stockholders.</w:t>
      </w:r>
    </w:p>
    <w:p>
      <w:pPr>
        <w:spacing w:after="0" w:line="97" w:lineRule="exact"/>
        <w:rPr>
          <w:sz w:val="20"/>
          <w:szCs w:val="20"/>
          <w:color w:val="auto"/>
        </w:rPr>
      </w:pPr>
    </w:p>
    <w:p>
      <w:pPr>
        <w:jc w:val="both"/>
        <w:ind w:left="40" w:right="959"/>
        <w:spacing w:after="0" w:line="264" w:lineRule="auto"/>
        <w:rPr>
          <w:sz w:val="20"/>
          <w:szCs w:val="20"/>
          <w:color w:val="auto"/>
        </w:rPr>
      </w:pPr>
      <w:r>
        <w:rPr>
          <w:rFonts w:ascii="Arial" w:cs="Arial" w:eastAsia="Arial" w:hAnsi="Arial"/>
          <w:sz w:val="18"/>
          <w:szCs w:val="18"/>
          <w:b w:val="1"/>
          <w:bCs w:val="1"/>
          <w:i w:val="1"/>
          <w:iCs w:val="1"/>
          <w:color w:val="auto"/>
        </w:rPr>
        <w:t>Our investment portfolio is recorded at fair value, with our Board having final responsibility for overseeing, reviewing and approving, in good faith, its estimate of fair value and, as a result, there may be uncertainty as to the value of our portfolio investments.</w:t>
      </w:r>
    </w:p>
    <w:p>
      <w:pPr>
        <w:spacing w:after="0" w:line="73"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Under the 1940 Act, we are required to carry our portfolio investments at market value or, if there is no readily available market value, at fair value as determined by us, with our Board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our audit committee, and with the oversight, review and approval of our Board.</w:t>
      </w:r>
    </w:p>
    <w:p>
      <w:pPr>
        <w:spacing w:after="0" w:line="50"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The determination of fair value and, consequently, the amount of unrealized gains and losses in our portfolio, are to a certain degree, subjective and dependent on a valuation process approved by our Board.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fair value determinations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would receive a lower price for their shares than the value of our investments might warrant. In addition, we may not be able to realize the values on our investments needed to pay interest on our borrowings.</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financial condition and results of operations depend on our ability to effectively manage and deploy capital.</w:t>
      </w:r>
    </w:p>
    <w:p>
      <w:pPr>
        <w:spacing w:after="0" w:line="12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Our ability to achieve our investment objective depends on our ability to effectively manage and deploy capital, which depends, in turn, on our Investment Advisor’s ability to identify, evaluate and monitor, and our ability to finance and invest in, companies that meet our investment criteria.</w:t>
      </w:r>
    </w:p>
    <w:p>
      <w:pPr>
        <w:spacing w:after="0" w:line="73"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Accomplishing our investment objective on a cost-effective basis is largely a function of our Investment Advisor’s handling of the investment process, its ability to provide competent, attentive and efficient services and our access to investments offering acceptable terms. In addition to monitoring the performance of our existing investments, our Investment Advisor’s investment team may also be called upon, from time to time, to provide managerial assistance to some of our portfolio companies as well as other funds that they manage. These demands on their time may distract them or slow our rate of investment. See also “— There are significant potential conflicts of interest that could negatively affect our investment returns.”</w:t>
      </w:r>
    </w:p>
    <w:p>
      <w:pPr>
        <w:spacing w:after="0" w:line="70"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Even if we are able to grow and build upon our investment operations, any failure to manage our growth effectively could have a material adverse effect on our business, financial condition, results of operations and prospects. The results of our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it could negatively impact our ability to make distributions.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depend upon Capitala Investment Advisors’ key personnel for our future success.</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depend on the diligence, skill and network of business contacts of Joseph B. Alala, III, M. Hunt Broyhill and John F. McGlinn, who serve as the members of the investment committee of the Investment Advisor and lead the Investment Advisor’s investment team. Our success depends on the continued service of these individuals and the other senior investment professionals available to the Investment Advisor. We cannot assure you that unforeseen business, medical, personal or other circumstances would not lead Messrs. Alala, Broyhill or McGlinn or any other such individual to terminate his relationship with us. Additionally, we cannot assure you that a reduction in revenue to the Investment Advisor, including as a result of fee waivers or a decrease in our assets, would not lead to a loss of investment professionals in the future. Such loss of members of the Investment Advisor’s investment committee and other investment professionals could have a material adverse effect on our ability to achieve our investment objective as well as on our financial condition and results of operations. In addition, we can offer no assurance that the Investment Advisor will continue indefinitely as our investment adviser.</w:t>
      </w:r>
    </w:p>
    <w:p>
      <w:pPr>
        <w:spacing w:after="0" w:line="70"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members of the Investment Advisor’s investment team are and may in the future become affiliated with entities engaged in business activities similar to those intended to be conducted by us, and may have conflicts of interest in allocating their time. For example, an affiliate of the Investment Advisor also manages Fund V, a private investment limited partnership providing financing solutions to the lower middle-market and traditional middle-market. Mr. Alala dedicates a significant portion of his time to the activities of Capitala Finance; however, he may become engaged in other business activities that could divert his time and attention in the future.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operate in a highly competitive market for investment opportunities, which could reduce returns and result in losses.</w:t>
      </w:r>
    </w:p>
    <w:p>
      <w:pPr>
        <w:spacing w:after="0" w:line="140"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We compete for investments with other BDCs with similar investment strategies, private equity funds with similar investment strategies, venture lending funds, finance companies with venture lending units and banks focused on venture lending. Many of our potential competitors are substantially larger and have considerably greater financial, technical and marketing resources than we have. For example, some competitors may have a lower cost of capital and access to funding sources that are not available to us. In addition, some of our competitors have higher risk tolerances or different risk assessments than we have. These characteristics might allow our competitors to consider a wider variety of investments, establish more relationships or offer better pricing and more flexible structuring than we are able to offer. We may lose investment opportunities if we do not match our competitors’ pricing, terms or structure. If we are forced to match our competitors’ pricing, terms or structure, we may not be able to achieve acceptable returns on our</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79"/>
        <w:spacing w:after="0" w:line="297" w:lineRule="auto"/>
        <w:rPr>
          <w:sz w:val="20"/>
          <w:szCs w:val="20"/>
          <w:color w:val="auto"/>
        </w:rPr>
      </w:pPr>
      <w:r>
        <w:rPr>
          <w:rFonts w:ascii="Arial" w:cs="Arial" w:eastAsia="Arial" w:hAnsi="Arial"/>
          <w:sz w:val="16"/>
          <w:szCs w:val="16"/>
          <w:color w:val="auto"/>
        </w:rPr>
        <w:t>investments or may bear substantial risk of capital loss. We believe a significant part of our competitive advantage stems from the fact that the market for investments in lower and traditional middle-market companies is underserved by traditional commercial banks and other financing sources. A significant increase in the number and/or the size of our competitors in this target market could force us to accept less attractive investment terms. Furthermore, many of our potential competitors have greater experience operating under, or will not be subject to, the regulatory restrictions that the 1940 Act impose on us as a BDC.</w:t>
      </w:r>
    </w:p>
    <w:p>
      <w:pPr>
        <w:spacing w:after="0" w:line="77" w:lineRule="exact"/>
        <w:rPr>
          <w:sz w:val="20"/>
          <w:szCs w:val="20"/>
          <w:color w:val="auto"/>
        </w:rPr>
      </w:pPr>
    </w:p>
    <w:p>
      <w:pPr>
        <w:ind w:left="40" w:right="819"/>
        <w:spacing w:after="0" w:line="277" w:lineRule="auto"/>
        <w:rPr>
          <w:sz w:val="20"/>
          <w:szCs w:val="20"/>
          <w:color w:val="auto"/>
        </w:rPr>
      </w:pPr>
      <w:r>
        <w:rPr>
          <w:rFonts w:ascii="Arial" w:cs="Arial" w:eastAsia="Arial" w:hAnsi="Arial"/>
          <w:sz w:val="18"/>
          <w:szCs w:val="18"/>
          <w:b w:val="1"/>
          <w:bCs w:val="1"/>
          <w:i w:val="1"/>
          <w:iCs w:val="1"/>
          <w:color w:val="auto"/>
        </w:rPr>
        <w:t>Any inability of our Capitala Investment Advisors to maintain or develop strong referral relationships, or the failure of these relationships to generate investment opportunities, could adversely affect our business.</w:t>
      </w:r>
    </w:p>
    <w:p>
      <w:pPr>
        <w:spacing w:after="0" w:line="62"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We depend upon our Investment Advisor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our Investment Advisor fails to maintain such relationships, or to develop new relationships with other sources of investment opportunities, we will not be able to grow our investment portfolio. In addition, individuals with whom our Investment Advisor has relationships are not obligated to provide us with investment opportunities, and we can offer no assurance that these relationships will generate investment opportunities for us in the future.</w:t>
      </w:r>
    </w:p>
    <w:p>
      <w:pPr>
        <w:spacing w:after="0" w:line="122"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b w:val="1"/>
          <w:bCs w:val="1"/>
          <w:i w:val="1"/>
          <w:iCs w:val="1"/>
          <w:color w:val="auto"/>
        </w:rPr>
        <w:t>Our success depends on the ability of Capitala Investment Advisors to attract and retain qualified personnel in a competitive environment.</w:t>
      </w:r>
    </w:p>
    <w:p>
      <w:pPr>
        <w:spacing w:after="0" w:line="62"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Our growth requires that the Investment Advisor retain and attract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with which the Investment Advisor competes for experienced personnel, including investment funds (such as private equity funds, credit funds and mezzanine funds) and traditional financial services companies, have greater resources than the Investment Advisor has. We cannot assure you that a reduction in revenue to the Investment Advisor, including as a result of fee waivers or a decrease in our assets, would not lead to a loss of investment professionals in the future.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that could negatively affect our investment returns.</w:t>
      </w:r>
    </w:p>
    <w:p>
      <w:pPr>
        <w:spacing w:after="0" w:line="117" w:lineRule="exact"/>
        <w:rPr>
          <w:sz w:val="20"/>
          <w:szCs w:val="20"/>
          <w:color w:val="auto"/>
        </w:rPr>
      </w:pPr>
    </w:p>
    <w:p>
      <w:pPr>
        <w:ind w:left="40" w:right="779" w:firstLine="270"/>
        <w:spacing w:after="0" w:line="293" w:lineRule="auto"/>
        <w:rPr>
          <w:sz w:val="20"/>
          <w:szCs w:val="20"/>
          <w:color w:val="auto"/>
        </w:rPr>
      </w:pPr>
      <w:r>
        <w:rPr>
          <w:rFonts w:ascii="Arial" w:cs="Arial" w:eastAsia="Arial" w:hAnsi="Arial"/>
          <w:sz w:val="16"/>
          <w:szCs w:val="16"/>
          <w:color w:val="auto"/>
        </w:rPr>
        <w:t>The members of the Investment Advisor’s investment team also monitor and service other affiliated investment funds. In addition, our executive officers and directors, as well as the current and future members of our Investment Advisor’s investment team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However, the Investment Advisor’s investment team does not intend to sponsor or manage another BDC with an investment strategy that is substantially similar to our investment strategy.</w:t>
      </w:r>
    </w:p>
    <w:p>
      <w:pPr>
        <w:spacing w:after="0" w:line="57" w:lineRule="exact"/>
        <w:rPr>
          <w:sz w:val="20"/>
          <w:szCs w:val="20"/>
          <w:color w:val="auto"/>
        </w:rPr>
      </w:pPr>
    </w:p>
    <w:p>
      <w:pPr>
        <w:ind w:left="40" w:right="639" w:firstLine="270"/>
        <w:spacing w:after="0" w:line="268" w:lineRule="auto"/>
        <w:rPr>
          <w:sz w:val="20"/>
          <w:szCs w:val="20"/>
          <w:color w:val="auto"/>
        </w:rPr>
      </w:pPr>
      <w:r>
        <w:rPr>
          <w:rFonts w:ascii="Arial" w:cs="Arial" w:eastAsia="Arial" w:hAnsi="Arial"/>
          <w:sz w:val="17"/>
          <w:szCs w:val="17"/>
          <w:color w:val="auto"/>
        </w:rPr>
        <w:t>In the course of our investing activities, we pay management and incentive fees to the Investment Advisor and reimburse the Investment Advisor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Advisor will have interests that differ from those of our stockholders, giving rise to a conflict. The Investment Advisor will not be reimbursed for any performance-related compensation for its employees. We have entered into a royalty-free license agreement with our Investment Advisor, pursuant to which the Investment Advisor grants us a non-exclusive royalty-free license to use the name “Capitala.” Under the license agreement, we have the right to use the “Capitala” name for so long as the Investment Advisor or one of its affiliates remains our Investment Advisor. In addition, we pay our Administrator our allocable portion of overhead and other expenses incurred by our Administrator in performing its obligations under the Administration Agreement, including rent, the fees and expenses associated with performing compliance functions, and our allocable portion of the compensation of our chief financial officer, chief compliance officer and their respective administrative support staff. These arrangements create conflicts of interest that our Board must monitor.</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firstLine="270"/>
        <w:spacing w:after="0" w:line="286" w:lineRule="auto"/>
        <w:rPr>
          <w:sz w:val="20"/>
          <w:szCs w:val="20"/>
          <w:color w:val="auto"/>
        </w:rPr>
      </w:pPr>
      <w:r>
        <w:rPr>
          <w:rFonts w:ascii="Arial" w:cs="Arial" w:eastAsia="Arial" w:hAnsi="Arial"/>
          <w:sz w:val="16"/>
          <w:szCs w:val="16"/>
          <w:color w:val="auto"/>
        </w:rPr>
        <w:t>In addition, an affiliate of the Investment Advisor also manages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Fund V, a private investment limited partnership providing financing solutions to the lower middle-market and traditional middle-market. The Investment Advisor and its affiliates may also manage other funds in the future that may have investment mandates that are similar, in whole or in part to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 However, we do expect to make co-investments with Fund V given its similar investment strategy.</w:t>
      </w:r>
    </w:p>
    <w:p>
      <w:pPr>
        <w:spacing w:after="0" w:line="64"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As a BDC, we are substantially limited in our ability to co-invest in privately negotiated transactions with affiliated funds unless we obtain an exemptive order from the SEC. 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permitting this relief. This exemptive relief is subject to certain conditions designed to ensure that the participation by one investment fund in a co-investment transaction would not be on a basis different from or less advantageous than that of other affiliated investment funds.</w:t>
      </w:r>
    </w:p>
    <w:p>
      <w:pPr>
        <w:spacing w:after="0" w:line="84"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and us, companies controlled by us or our executive officers and directors. We will not enter into any agreements unless and until we are satisfied that doing so will not raise concerns under the 1940 Act or, if such concerns exist, we have taken appropriate actions to seek review and approval by our Board or exemptive relief for such transaction. Our Board will review these procedures on an annual basis.</w:t>
      </w:r>
    </w:p>
    <w:p>
      <w:pPr>
        <w:spacing w:after="0" w:line="97" w:lineRule="exact"/>
        <w:rPr>
          <w:sz w:val="20"/>
          <w:szCs w:val="20"/>
          <w:color w:val="auto"/>
        </w:rPr>
      </w:pPr>
    </w:p>
    <w:p>
      <w:pPr>
        <w:ind w:left="40" w:right="699"/>
        <w:spacing w:after="0" w:line="342" w:lineRule="auto"/>
        <w:rPr>
          <w:sz w:val="20"/>
          <w:szCs w:val="20"/>
          <w:color w:val="auto"/>
        </w:rPr>
      </w:pPr>
      <w:r>
        <w:rPr>
          <w:rFonts w:ascii="Arial" w:cs="Arial" w:eastAsia="Arial" w:hAnsi="Arial"/>
          <w:sz w:val="16"/>
          <w:szCs w:val="16"/>
          <w:b w:val="1"/>
          <w:bCs w:val="1"/>
          <w:i w:val="1"/>
          <w:iCs w:val="1"/>
          <w:color w:val="auto"/>
        </w:rPr>
        <w:t>The investment committee and other investment professionals of Capitala Investment Advisors may, from time to time, possess material non-public information about or related to our portfolio companies, limiting our investment discretion.</w:t>
      </w:r>
    </w:p>
    <w:p>
      <w:pPr>
        <w:spacing w:after="0" w:line="16"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Members of our Investment Advisor’s investment committee and other investment professionals of the Investment Advisor may serve as directors of, or in a similar capacity to, portfolio companies in which we invest.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involvement of our interested directors in the valuation process may create conflicts of interest.</w:t>
      </w:r>
    </w:p>
    <w:p>
      <w:pPr>
        <w:spacing w:after="0" w:line="117"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We make many of our portfolio investments in the form of loans and securities that are not publicly traded and for which no market-based price quotation is available. As a result, our Board determines the fair value of these loans and securities in good faith as described in the section titled “Valuation of Investments” in Note 2 to our Consolidated Financial Statements. In connection with that determination, investment professionals from the Investment Advisor may provide our Board with valuations based upon the most recent portfolio company financial statements available and projected financial results of each portfolio company. While the valuation for certain portfolio investments is reviewed by an independent valuation firm quarterly,</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59" w:lineRule="auto"/>
        <w:rPr>
          <w:sz w:val="20"/>
          <w:szCs w:val="20"/>
          <w:color w:val="auto"/>
        </w:rPr>
      </w:pPr>
      <w:r>
        <w:rPr>
          <w:rFonts w:ascii="Arial" w:cs="Arial" w:eastAsia="Arial" w:hAnsi="Arial"/>
          <w:sz w:val="18"/>
          <w:szCs w:val="18"/>
          <w:color w:val="auto"/>
        </w:rPr>
        <w:t>the ultimate determination of fair value is made by our Board, including our interested directors, and not by such third-party valuation firm. The participation of the Investment Advisor’s investment professionals in our valuation process could result in conflicts of interest as the Investment Advisor’s management fee is based, in part, on the value of our gross assets, and its incentive fees will be based, in part, on realized and unrealized gains and depreciation.</w:t>
      </w:r>
    </w:p>
    <w:p>
      <w:pPr>
        <w:spacing w:after="0" w:line="106" w:lineRule="exact"/>
        <w:rPr>
          <w:sz w:val="20"/>
          <w:szCs w:val="20"/>
          <w:color w:val="auto"/>
        </w:rPr>
      </w:pPr>
    </w:p>
    <w:p>
      <w:pPr>
        <w:ind w:left="40" w:right="539"/>
        <w:spacing w:after="0" w:line="302" w:lineRule="auto"/>
        <w:rPr>
          <w:sz w:val="20"/>
          <w:szCs w:val="20"/>
          <w:color w:val="auto"/>
        </w:rPr>
      </w:pPr>
      <w:r>
        <w:rPr>
          <w:rFonts w:ascii="Arial" w:cs="Arial" w:eastAsia="Arial" w:hAnsi="Arial"/>
          <w:sz w:val="16"/>
          <w:szCs w:val="16"/>
          <w:b w:val="1"/>
          <w:bCs w:val="1"/>
          <w:i w:val="1"/>
          <w:iCs w:val="1"/>
          <w:color w:val="auto"/>
        </w:rPr>
        <w:t>The terms of the Investment Advisory Agreement with Capitala Investment Advisors and the Administration Agreement with our Administrator were not negotiated on an arm’s length basis and may not be as favorable to us as if they had been negotiated with an unaffiliated third-party, including an incentive fee structure that may induce Capitala Investment Advisors to pursue speculative investments, and to use leverage when it may be unwise to do so.</w:t>
      </w:r>
    </w:p>
    <w:p>
      <w:pPr>
        <w:spacing w:after="0" w:line="46"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Investment Advisory Agreement and the Administration Agreement were negotiated between related parties. Consequently, their terms, including fees payable to the Investment Advisor and the Administrator, may not be as favorable to us as if they had been negotiated with an unaffiliated third-party.</w:t>
      </w:r>
    </w:p>
    <w:p>
      <w:pPr>
        <w:spacing w:after="0" w:line="73"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The incentive fee payable by us to the Investment Advisor may create an incentive for the Investment Advisor to pursue investments on our behalf that are riskier or more speculative than would be the case in the absence of such compensation arrangement. The incentive fee payable to our Investment Advisor is calculated based on a percentage of our return on invested capital. This may encourage our Investment Advisor to use leverage to increase the return on our investments. Under certain circumstances, the use of leverage may increase the likelihood of default, which would impair the value of our common stock. In addition, our Investment Advisor receives the incentive fee based, in part, upon net capital gains realized on our investments. Unlike that portion of the incentive fee based on income, there is no hurdle rate applicable to the portion of the incentive fee based on net capital gains. As a result, the Investment Advisor may have a tendency to invest more capital in investments that are likely to result in capital gains as compared to income-producing securities. Such a practice could result in our investing in more speculative securities than would otherwise be the case, which could result in higher investment losses, particularly during economic downturns.</w:t>
      </w:r>
    </w:p>
    <w:p>
      <w:pPr>
        <w:spacing w:after="0" w:line="85" w:lineRule="exact"/>
        <w:rPr>
          <w:sz w:val="20"/>
          <w:szCs w:val="20"/>
          <w:color w:val="auto"/>
        </w:rPr>
      </w:pPr>
    </w:p>
    <w:p>
      <w:pPr>
        <w:ind w:left="40" w:right="739" w:firstLine="270"/>
        <w:spacing w:after="0" w:line="272" w:lineRule="auto"/>
        <w:rPr>
          <w:sz w:val="20"/>
          <w:szCs w:val="20"/>
          <w:color w:val="auto"/>
        </w:rPr>
      </w:pPr>
      <w:r>
        <w:rPr>
          <w:rFonts w:ascii="Arial" w:cs="Arial" w:eastAsia="Arial" w:hAnsi="Arial"/>
          <w:sz w:val="17"/>
          <w:szCs w:val="17"/>
          <w:color w:val="auto"/>
        </w:rPr>
        <w:t>Although we currently do not anticipate doing so, we may invest, to the extent permitted by law, in the securities and instruments of other investment companies, including private funds, and, to the extent we so invest, will bear our ratable share of any such investment company’s expenses, including management and performance fees. We also remain obligated to pay management and incentive fees to our Investment Advisor with respect to the assets invested in the securities and instruments of other investment companies. With respect to each of these investments, each of our stockholders will bear his or her share of the management and our Investment Advisor’s incentive fee as well as indirectly bearing the management and performance fees and other expenses of any investment companies in which we invest.</w:t>
      </w:r>
    </w:p>
    <w:p>
      <w:pPr>
        <w:spacing w:after="0" w:line="110"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b w:val="1"/>
          <w:bCs w:val="1"/>
          <w:i w:val="1"/>
          <w:iCs w:val="1"/>
          <w:color w:val="auto"/>
        </w:rPr>
        <w:t>Capitala Investment Advisors’ liability is limited under the Investment Advisory Agreement, and we have agreed to indemnify Capitala Investment Advisors against certain liabilities, which may lead Capitala Investment Advisors to act in a riskier manner on our behalf than it would when acting for its own account.</w:t>
      </w:r>
    </w:p>
    <w:p>
      <w:pPr>
        <w:spacing w:after="0" w:line="73"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Under the Investment Advisory Agreement, the Investment Advisor has not assumed any responsibility to us other than to render the services called for under that agreement. It is not responsible for any action of our Board in following or declining to follow the Investment Advisor’s advice or recommendations. Under the Investment Advisory Agreement, the Investment Advisor, its officers, members and personnel, and any person controlling or controlled by the Investment Advisor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misfeasance, bad faith or reckless disregard of the duties that the Investment Advisor owes to us under the Investment Advisory Agreement. In addition, as part of the Investment Advisory Agreement, we have agreed to indemnify the Investment Advisor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w:t>
      </w:r>
    </w:p>
    <w:p>
      <w:pPr>
        <w:spacing w:after="0" w:line="200" w:lineRule="exact"/>
        <w:rPr>
          <w:sz w:val="20"/>
          <w:szCs w:val="20"/>
          <w:color w:val="auto"/>
        </w:rPr>
      </w:pPr>
    </w:p>
    <w:p>
      <w:pPr>
        <w:spacing w:after="0" w:line="32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64" w:lineRule="auto"/>
        <w:rPr>
          <w:sz w:val="20"/>
          <w:szCs w:val="20"/>
          <w:color w:val="auto"/>
        </w:rPr>
      </w:pPr>
      <w:r>
        <w:rPr>
          <w:rFonts w:ascii="Arial" w:cs="Arial" w:eastAsia="Arial" w:hAnsi="Arial"/>
          <w:sz w:val="18"/>
          <w:szCs w:val="18"/>
          <w:color w:val="auto"/>
        </w:rPr>
        <w:t>attributable to gross negligence, willful misfeasance, bad faith or reckless disregard of such person’s duties under the Investment Advisory Agreement. These protections may lead the Investment Advisor to act in a riskier manner when acting on our behalf than it would when acting for its own account.</w:t>
      </w:r>
    </w:p>
    <w:p>
      <w:pPr>
        <w:spacing w:after="0" w:line="100"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our Investment Advisor to receive incentive fees, without necessarily resulting in an increase in our net earnings.</w:t>
      </w:r>
    </w:p>
    <w:p>
      <w:pPr>
        <w:spacing w:after="0" w:line="62"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Under the structure of our Investment Advisory Agreement with our Investment Advisor, any general increase in interest rates will likely have the effect of making it easier for our Investment Advisor to meet the quarterly hurdle rate for payment of income incentive fees under the Investment Advisory Agreement without any additional increase in relative performance on the part of our Investment Advisor. In addition, in view of the catch-up provision applicable to income incentive fees under the Investment Advisory Agreement, our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Advisor’s income incentive fee resulting from such a general increase in interest rates.</w:t>
      </w:r>
    </w:p>
    <w:p>
      <w:pPr>
        <w:spacing w:after="0" w:line="125"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PIK interest payments we receive will increase our assets under management and, as a result, will increase the amount of base management fees and incentive fees payable by us to Capitala Investment Advisors.</w:t>
      </w:r>
    </w:p>
    <w:p>
      <w:pPr>
        <w:spacing w:after="0" w:line="62" w:lineRule="exact"/>
        <w:rPr>
          <w:sz w:val="20"/>
          <w:szCs w:val="20"/>
          <w:color w:val="auto"/>
        </w:rPr>
      </w:pPr>
    </w:p>
    <w:p>
      <w:pPr>
        <w:ind w:left="40" w:right="639" w:firstLine="270"/>
        <w:spacing w:after="0" w:line="291" w:lineRule="auto"/>
        <w:rPr>
          <w:sz w:val="20"/>
          <w:szCs w:val="20"/>
          <w:color w:val="auto"/>
        </w:rPr>
      </w:pPr>
      <w:r>
        <w:rPr>
          <w:rFonts w:ascii="Arial" w:cs="Arial" w:eastAsia="Arial" w:hAnsi="Arial"/>
          <w:sz w:val="16"/>
          <w:szCs w:val="16"/>
          <w:color w:val="auto"/>
        </w:rPr>
        <w:t>Certain of our debt investments contain provisions providing for the payment of contractual PIK interest. Because PIK interest results in an increase in the size of the loan balance of the underlying loan, the receipt by us of PIK interest will have the effect of increasing our assets under management. As a result, because the base management fee that we pay to the Investment Advisor is based on the value of our gross assets, the receipt by us of PIK interest will result in an increase in the amount of the base management fee payable by us. In addition, any such increase in a loan balance due to the receipt of PIK interest will cause such loan to accrue interest on the higher loan balance, which will result in an increase in our pre-incentive fee net investment income and, as a result, an increase in incentive fees that are payable by us to the Investment Advisor.</w:t>
      </w:r>
    </w:p>
    <w:p>
      <w:pPr>
        <w:spacing w:after="0" w:line="100" w:lineRule="exact"/>
        <w:rPr>
          <w:sz w:val="20"/>
          <w:szCs w:val="20"/>
          <w:color w:val="auto"/>
        </w:rPr>
      </w:pPr>
    </w:p>
    <w:p>
      <w:pPr>
        <w:jc w:val="both"/>
        <w:ind w:left="40" w:right="719"/>
        <w:spacing w:after="0" w:line="264" w:lineRule="auto"/>
        <w:rPr>
          <w:sz w:val="20"/>
          <w:szCs w:val="20"/>
          <w:color w:val="auto"/>
        </w:rPr>
      </w:pPr>
      <w:r>
        <w:rPr>
          <w:rFonts w:ascii="Arial" w:cs="Arial" w:eastAsia="Arial" w:hAnsi="Arial"/>
          <w:sz w:val="18"/>
          <w:szCs w:val="18"/>
          <w:b w:val="1"/>
          <w:bCs w:val="1"/>
          <w:i w:val="1"/>
          <w:iCs w:val="1"/>
          <w:color w:val="auto"/>
        </w:rPr>
        <w:t>Capitala Investment Advisors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73"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Our Investment Advisor has the right, under the Investment Advisory Agreement, to resign at any time on 60 days’ written notice, whether we have found a replacement or not. If our Investment Advisor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88"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b w:val="1"/>
          <w:bCs w:val="1"/>
          <w:i w:val="1"/>
          <w:iCs w:val="1"/>
          <w:color w:val="auto"/>
        </w:rPr>
        <w:t>Capitala Investment Advisors may not be able to achieve the same or similar returns as those achieved by its investment team while they were employed at prior positions.</w:t>
      </w:r>
    </w:p>
    <w:p>
      <w:pPr>
        <w:spacing w:after="0" w:line="62"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Although in the past Mr. Alala and other members of our Investment Advisor’s investment team have held senior positions at a number of investment firms, including the Legacy Funds, their track record and achievements are not necessarily indicative of future results that will be achieved by our Investment Advisor. We cannot assure you that we will be able to achieve the results realized by prior vehicles managed by our Investment Advisor’s investment team, including the Legacy Funds.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We have elected to be regulated as a BDC under the 1940 Act. The 1940 Act imposes numerous constraints on the operations of BDCs. For example, BDCs are required to invest at least 70% of their gross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54" w:lineRule="auto"/>
        <w:rPr>
          <w:sz w:val="20"/>
          <w:szCs w:val="20"/>
          <w:color w:val="auto"/>
        </w:rPr>
      </w:pPr>
      <w:r>
        <w:rPr>
          <w:rFonts w:ascii="Arial" w:cs="Arial" w:eastAsia="Arial" w:hAnsi="Arial"/>
          <w:sz w:val="18"/>
          <w:szCs w:val="18"/>
          <w:color w:val="auto"/>
        </w:rPr>
        <w:t>assets in specified types of securities, primarily in private companies or thinly traded U.S. public companies, 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11" w:lineRule="exact"/>
        <w:rPr>
          <w:sz w:val="20"/>
          <w:szCs w:val="20"/>
          <w:color w:val="auto"/>
        </w:rPr>
      </w:pPr>
    </w:p>
    <w:p>
      <w:pPr>
        <w:ind w:left="40" w:right="619"/>
        <w:spacing w:after="0" w:line="375" w:lineRule="auto"/>
        <w:rPr>
          <w:sz w:val="20"/>
          <w:szCs w:val="20"/>
          <w:color w:val="auto"/>
        </w:rPr>
      </w:pPr>
      <w:r>
        <w:rPr>
          <w:rFonts w:ascii="Arial" w:cs="Arial" w:eastAsia="Arial" w:hAnsi="Arial"/>
          <w:sz w:val="15"/>
          <w:szCs w:val="15"/>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permitted, as a BDC,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74"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As of December 31, 2017, we had $170.7 million of outstanding SBA-guaranteed debentures, $75.0 million of 6.0% fixed rate notes due May 31, 2022 (the “2022 Notes”) outstanding, $52.1 million of 5.75% fixed rate convertible notes due May 31, 2022 (the “2022 Convertible Notes”) outstanding, and $9.0 million outstanding under the Credit Facility that provides for borrowings of up to $114.5 million on a revolving basis and may be increased up to $200.0 million pursuant to its “accordion” feature. We have received an exemptive order from the SEC granting relief from the asset coverage requirements for certain indebtedness issued by Fund II and Fund III as SBICs.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70"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We generally may not issue and sell our common stock at a price below net asset value per share. We may, however, sell our common stock, or warrants, options or rights to acquire our common stock, at a price below the then-current net asset value per share of our common stock if our Board determines that such sale is in our best interests and in the best interests of our stockholders, and our stockholders approve such sale. In any such case, the price at which our securities are to be issued and sold may not be less than a price that, in the determination of our Board, closely approximates the market value of such securities (less any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71"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At our 2017 Annual Stockholders Meeting, subject to certain determinations required to be made by our Board, our stockholders approved our ability to sell or otherwise issue shares of our common stock, not exceeding 25% of our then outstanding common stock immediately prior to each such offering, at a price below the then current net asset value per share during a period beginning on May 3, 2017 and expiring on the earlier of the one year anniversary of the date of the 2017 Annual Stockholders Meeting and the date of our 2018 Annual Stockholders Meeting, which is expected to be held in April 2018.</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firstLine="270"/>
        <w:spacing w:after="0" w:line="272" w:lineRule="auto"/>
        <w:rPr>
          <w:sz w:val="20"/>
          <w:szCs w:val="20"/>
          <w:color w:val="auto"/>
        </w:rPr>
      </w:pPr>
      <w:r>
        <w:rPr>
          <w:rFonts w:ascii="Arial" w:cs="Arial" w:eastAsia="Arial" w:hAnsi="Arial"/>
          <w:sz w:val="17"/>
          <w:szCs w:val="17"/>
          <w:color w:val="auto"/>
        </w:rPr>
        <w:t>In certain limited circumstances, pursuant to an SEC staff interpretation, we may also issue shares at a price below net asset value in connection with a transferable rights offering so long as: (1) the offer does not discriminate among stockholders; (2) we use our best efforts to ensure an adequate trading market exists for the rights; and (3) the ratio of the offering does not exceed one new share for each three rights held.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97" w:lineRule="exact"/>
        <w:rPr>
          <w:sz w:val="20"/>
          <w:szCs w:val="20"/>
          <w:color w:val="auto"/>
        </w:rPr>
      </w:pPr>
    </w:p>
    <w:p>
      <w:pPr>
        <w:jc w:val="both"/>
        <w:ind w:left="40" w:right="639"/>
        <w:spacing w:after="0" w:line="286" w:lineRule="auto"/>
        <w:rPr>
          <w:sz w:val="20"/>
          <w:szCs w:val="20"/>
          <w:color w:val="auto"/>
        </w:rPr>
      </w:pPr>
      <w:r>
        <w:rPr>
          <w:rFonts w:ascii="Arial" w:cs="Arial" w:eastAsia="Arial" w:hAnsi="Arial"/>
          <w:sz w:val="17"/>
          <w:szCs w:val="17"/>
          <w:b w:val="1"/>
          <w:bCs w:val="1"/>
          <w:i w:val="1"/>
          <w:iCs w:val="1"/>
          <w:color w:val="auto"/>
        </w:rPr>
        <w:t>We borrow money, which magnifies the potential for gain or loss on amounts invested and may increase the risk of investing in us, and the calculation of our base management fee, which is based upon our gross assets, may have the effect of encouraging our Investment Advisor to utilize leverage when it may not be advisable to do so.</w:t>
      </w:r>
    </w:p>
    <w:p>
      <w:pPr>
        <w:spacing w:after="0" w:line="57"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The use of leverage magnifies the potential for gain or loss on amounts invested and, therefore, increases the risks associated with investing in our securities. In addition to the existing SBA-guaranteed debentures, the 2022 Notes, the 2022 Convertible Notes and the Credit Facility,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leverage would cause net asset value to decline more sharply than it otherwise would have had we not been leveraged. Similarly, any decrease in our income would cause net income to decline more sharply than it would have had we not borrowed. Such a decline could also negatively affect our ability to make distributions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our Investment Advisor will be payable based on our gross assets, including those assets acquired through the use of leverage, our Investment Advisor will have a financial incentive to incur leverage that may not be consistent with our stockholders’ interests. In addition, our common stockholders will bear the burden of any increase in our expenses as a result of leverage, including any increase in the management fee payable to our Investment Advisor.</w:t>
      </w:r>
    </w:p>
    <w:p>
      <w:pPr>
        <w:spacing w:after="0" w:line="64"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The Credit Facility, and any other credit facility into which we may enter, imposes financial and operating covenants that restrict our business activities, including limitations that could hinder our ability to finance additional loans and investments or to make the distributions required to maintain our tax treatment as a RIC under the Code.</w:t>
      </w:r>
    </w:p>
    <w:p>
      <w:pPr>
        <w:spacing w:after="0" w:line="114" w:lineRule="exact"/>
        <w:rPr>
          <w:sz w:val="20"/>
          <w:szCs w:val="20"/>
          <w:color w:val="auto"/>
        </w:rPr>
      </w:pPr>
    </w:p>
    <w:p>
      <w:pPr>
        <w:ind w:left="40" w:right="1059"/>
        <w:spacing w:after="0" w:line="277" w:lineRule="auto"/>
        <w:rPr>
          <w:sz w:val="20"/>
          <w:szCs w:val="20"/>
          <w:color w:val="auto"/>
        </w:rPr>
      </w:pPr>
      <w:r>
        <w:rPr>
          <w:rFonts w:ascii="Arial" w:cs="Arial" w:eastAsia="Arial" w:hAnsi="Arial"/>
          <w:sz w:val="18"/>
          <w:szCs w:val="18"/>
          <w:b w:val="1"/>
          <w:bCs w:val="1"/>
          <w:i w:val="1"/>
          <w:iCs w:val="1"/>
          <w:color w:val="auto"/>
        </w:rPr>
        <w:t>To the extent we borrow money to finance our investments, changes in interest rates will affect our cost of capital and net investment income.</w:t>
      </w:r>
    </w:p>
    <w:p>
      <w:pPr>
        <w:spacing w:after="0" w:line="62"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To the extent we borrow money to finance our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borrow money to finance our investments. In periods of rising interest rates, our cost of funds would increase, which could reduce our net investment income. We expect that our long-term fixed-rate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 Our Investment Advisor does not have significant experience with utilizing these techniques and did not implement these techniques to any significant extent with our portfolio. If we do not implement these techniques properly, we could experience losses on our hedging positions, which could be material.</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939"/>
        <w:spacing w:after="0" w:line="277" w:lineRule="auto"/>
        <w:rPr>
          <w:sz w:val="20"/>
          <w:szCs w:val="20"/>
          <w:color w:val="auto"/>
        </w:rPr>
      </w:pPr>
      <w:r>
        <w:rPr>
          <w:rFonts w:ascii="Arial" w:cs="Arial" w:eastAsia="Arial" w:hAnsi="Arial"/>
          <w:sz w:val="18"/>
          <w:szCs w:val="18"/>
          <w:b w:val="1"/>
          <w:bCs w:val="1"/>
          <w:i w:val="1"/>
          <w:iCs w:val="1"/>
          <w:color w:val="auto"/>
        </w:rPr>
        <w:t>A disruption in the capital markets and the credit markets could impair our ability to raise capital and negatively affect our business.</w:t>
      </w:r>
    </w:p>
    <w:p>
      <w:pPr>
        <w:spacing w:after="0" w:line="62" w:lineRule="exact"/>
        <w:rPr>
          <w:sz w:val="20"/>
          <w:szCs w:val="20"/>
          <w:color w:val="auto"/>
        </w:rPr>
      </w:pPr>
    </w:p>
    <w:p>
      <w:pPr>
        <w:ind w:left="40" w:right="519" w:firstLine="270"/>
        <w:spacing w:after="0" w:line="264" w:lineRule="auto"/>
        <w:rPr>
          <w:sz w:val="20"/>
          <w:szCs w:val="20"/>
          <w:color w:val="auto"/>
        </w:rPr>
      </w:pPr>
      <w:r>
        <w:rPr>
          <w:rFonts w:ascii="Arial" w:cs="Arial" w:eastAsia="Arial" w:hAnsi="Arial"/>
          <w:sz w:val="18"/>
          <w:szCs w:val="18"/>
          <w:color w:val="auto"/>
        </w:rPr>
        <w:t>As a BDC, we have to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73"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In the past, the capital markets and the credit markets have experienced periods of extreme volatility and disruption and, accordingly, there has been and may continue to be uncertainty in the financial markets in general. Continuing U.S. debt ceiling and budget deficit concerns, including automatic spending cuts stemming from sequestration, together with signs of deteriorating sovereign debt conditions in Europe, have increased the possibility of additional credit-rating downgrades and economic slowdowns, or a recession in the U.S. The impact of this or any further downgrades to the U.S. government’s sovereign credit rating or its perceived creditworthiness could adversely affect the U.S. and global financial markets and economic conditions.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 Any further disruptive conditions in the financial industry and the impact of new legislation in response to those conditions could restrict our business operations and could adversely impact our results of operations and financial condition.</w:t>
      </w:r>
    </w:p>
    <w:p>
      <w:pPr>
        <w:spacing w:after="0" w:line="75"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85"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have fully drawn on our SBA-guaranteed debentures and, absent changes to legislation or regulation, may not make borrowings in excess of their aggregate $170.7 million of SBA-guaranteed debentures outstanding as of December 31, 2017. We also had approximately $75.0 million and $52.1 million, respectively, of the 2022 Notes and 2022 Convertible Notes outstanding as of December 31, 2017. In addition, as of December 31, 2017, we had approximately $9.0 million outstanding under the Credit Facility that provides for borrowings of up to $114.5 million on a revolving basis and may be increased up to $200.0 million pursuant to its “accordion” feature. If we are unable to secure additional debt financing on commercially reasonable terms, our liquidity could be reduced significantly. If we are unable to repay amounts outstanding under any debt facilities we may obtain and are declared in default or are unable to renew or refinance these facilities, we may not be able to operate our business in the normal course. These situations may arise due to circumstances that we may be unable to control, such as lack of access to the credit markets, a severe decline in the value of the U.S. dollar, another economic downturn or an operational problem that affects third parties or us, and could materially damage our business.</w:t>
      </w:r>
    </w:p>
    <w:p>
      <w:pPr>
        <w:spacing w:after="0" w:line="75"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our pre-incentive fee net investment income.</w:t>
      </w:r>
    </w:p>
    <w:p>
      <w:pPr>
        <w:spacing w:after="0" w:line="119" w:lineRule="exact"/>
        <w:rPr>
          <w:sz w:val="20"/>
          <w:szCs w:val="20"/>
          <w:color w:val="auto"/>
        </w:rPr>
      </w:pPr>
    </w:p>
    <w:p>
      <w:pPr>
        <w:ind w:left="40" w:right="1219"/>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may adversely affect our business, results of operations and financial condition, including our revenue growth and profitability.</w:t>
      </w:r>
    </w:p>
    <w:p>
      <w:pPr>
        <w:spacing w:after="0" w:line="62"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The current worldwide financial market situation, as well as various social and political tensions in the U.S. and around the world, may contribute to increased market volatility, may have long-term effects on the U.S. and worldwide financial markets, and may cause economic uncertainties or deterioration in the United States and worldwide. The U.S. and global capital markets experienced extreme volatility and disruption during the economic downturn that began in mid-2007, and the U.S. economy was in a recession for several consecutive calendar quarters during the same period. In 2010, a financial crisis emerged in</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86" w:lineRule="auto"/>
        <w:rPr>
          <w:sz w:val="20"/>
          <w:szCs w:val="20"/>
          <w:color w:val="auto"/>
        </w:rPr>
      </w:pPr>
      <w:r>
        <w:rPr>
          <w:rFonts w:ascii="Arial" w:cs="Arial" w:eastAsia="Arial" w:hAnsi="Arial"/>
          <w:sz w:val="16"/>
          <w:szCs w:val="16"/>
          <w:color w:val="auto"/>
        </w:rPr>
        <w:t>Europe, triggered by high budget deficits and rising direct and contingent sovereign debt, which created concerns about the ability of certain nations to continue to service their sovereign debt obligations. Risks resulting from such debt crisis, including any austerity measures taken in exchange for bailout of certain nations, and any future debt crisis in Europe or any similar crisis elsewhere could have a detrimental impact on the global economic recovery, sovereign and non-sovereign debt in certain countries and the financial condition of financial institutions generally. In June 2016, the United Kingdom held a referendum in which voters approved an exit from the European Union (“Brexit”), and, accordingly, on February 1, 2017, the U.K. Parliament voted in favor of allowing the U.K. government to begin the formal process of Brexit. The initial negotiations on Brexit commenced in June 2017. Brexit created political and economic uncertainty and instability in the global markets (including currency and credit markets), and especially in the United Kingdom and the European Union, and this uncertainty and instability may last indefinitely. Because of the election results in the U.K. in June 2017, there is increased uncertainty on the timing of Brexit. There is continued concern about national-level support for the Euro and the accompanying coordination of fiscal and wage policy among European Economic and Monetary Union member countries. In addition, the fiscal and monetary policies of foreign nations, such as Russia and China, may have a severe impact on the worldwide and U.S. financial markets.</w:t>
      </w:r>
    </w:p>
    <w:p>
      <w:pPr>
        <w:spacing w:after="0" w:line="67"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As a result of the 2016 U.S. election, the Republican Party currently controls both the executive and legislative branches of government, which increases the likelihood that legislation may be adopted that could significantly affect the regulation of U.S. financial markets. Areas subject to potential change, amendment or repeal include the Dodd-Frank Act and the authority of the Federal Reserve and the Financial Stability Oversight Council. The U.S. may also potentially withdraw from or renegotiate various trade agreements and take other actions that would change current trade policies of the U.S. We cannot predict which, if any, of these actions will be taken or, if taken, their effect on the financial stability of the U.S. Such actions could have a significant adverse effect on our business, financial condition and results of operations. We cannot predict the effects of these or similar events in the future on the U.S.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97" w:lineRule="exact"/>
        <w:rPr>
          <w:sz w:val="20"/>
          <w:szCs w:val="20"/>
          <w:color w:val="auto"/>
        </w:rPr>
      </w:pPr>
    </w:p>
    <w:p>
      <w:pPr>
        <w:ind w:left="40" w:right="559"/>
        <w:spacing w:after="0" w:line="342" w:lineRule="auto"/>
        <w:rPr>
          <w:sz w:val="20"/>
          <w:szCs w:val="20"/>
          <w:color w:val="auto"/>
        </w:rPr>
      </w:pPr>
      <w:r>
        <w:rPr>
          <w:rFonts w:ascii="Arial" w:cs="Arial" w:eastAsia="Arial" w:hAnsi="Arial"/>
          <w:sz w:val="16"/>
          <w:szCs w:val="16"/>
          <w:b w:val="1"/>
          <w:bCs w:val="1"/>
          <w:i w:val="1"/>
          <w:iCs w:val="1"/>
          <w:color w:val="auto"/>
        </w:rPr>
        <w:t>Further downgrades of the U.S. credit rating, impending automatic spending cuts, another government shutdown or a failure to raise the statutory debt limit of the United States could negatively impact our liquidity, financial condition and earnings.</w:t>
      </w:r>
    </w:p>
    <w:p>
      <w:pPr>
        <w:spacing w:after="0" w:line="16" w:lineRule="exact"/>
        <w:rPr>
          <w:sz w:val="20"/>
          <w:szCs w:val="20"/>
          <w:color w:val="auto"/>
        </w:rPr>
      </w:pPr>
    </w:p>
    <w:p>
      <w:pPr>
        <w:ind w:left="40" w:right="699" w:firstLine="270"/>
        <w:spacing w:after="0" w:line="272" w:lineRule="auto"/>
        <w:rPr>
          <w:sz w:val="20"/>
          <w:szCs w:val="20"/>
          <w:color w:val="auto"/>
        </w:rPr>
      </w:pPr>
      <w:r>
        <w:rPr>
          <w:rFonts w:ascii="Arial" w:cs="Arial" w:eastAsia="Arial" w:hAnsi="Arial"/>
          <w:sz w:val="17"/>
          <w:szCs w:val="17"/>
          <w:color w:val="auto"/>
        </w:rPr>
        <w:t>Recent U.S. debt ceiling and budget deficit concerns have increased the possibility of additional credit-rating downgrades and economic slowdowns, or a recession in the U.S. In the future, the U.S. government may not be able to meet its debt payments unless the federal debt ceiling is raised. If legislation increasing the debt ceiling is not enacted, as needed, and the debt ceiling is reached, the U.S. federal government may stop or delay making payments on its obligations, which could negatively impact the U.S. economy and our portfolio companies.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117"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We may experience fluctuations in our quarterly and annual operating results due to a number of factors, including our ability or inability to make investments in companies that meet our investment criteria, any sales, dispositions or liquidity events of our portfolio companies,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Given that the portfolio is concentrated, distributions, dispositions or liquidity events affecting a portfolio company in which we own a significant position may adversely affect our net asset value and results of operations. As a result of these factors, results for any period should not be relied upon as being indicative of performance in future periods.</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 the effects of which may be adverse.</w:t>
      </w:r>
    </w:p>
    <w:p>
      <w:pPr>
        <w:spacing w:after="0" w:line="62"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Our Board has the authority to modify or waive our investment objective,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make distributions and cause you to lose all or part of your investment.</w:t>
      </w:r>
    </w:p>
    <w:p>
      <w:pPr>
        <w:spacing w:after="0" w:line="121" w:lineRule="exact"/>
        <w:rPr>
          <w:sz w:val="20"/>
          <w:szCs w:val="20"/>
          <w:color w:val="auto"/>
        </w:rPr>
      </w:pPr>
    </w:p>
    <w:p>
      <w:pPr>
        <w:ind w:left="40" w:right="979"/>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qualify or maintain our RIC tax treatment under the Code.</w:t>
      </w:r>
    </w:p>
    <w:p>
      <w:pPr>
        <w:spacing w:after="0" w:line="62" w:lineRule="exact"/>
        <w:rPr>
          <w:sz w:val="20"/>
          <w:szCs w:val="20"/>
          <w:color w:val="auto"/>
        </w:rPr>
      </w:pPr>
    </w:p>
    <w:p>
      <w:pPr>
        <w:jc w:val="both"/>
        <w:ind w:left="40" w:right="719" w:firstLine="270"/>
        <w:spacing w:after="0" w:line="312" w:lineRule="auto"/>
        <w:rPr>
          <w:sz w:val="20"/>
          <w:szCs w:val="20"/>
          <w:color w:val="auto"/>
        </w:rPr>
      </w:pPr>
      <w:r>
        <w:rPr>
          <w:rFonts w:ascii="Arial" w:cs="Arial" w:eastAsia="Arial" w:hAnsi="Arial"/>
          <w:sz w:val="16"/>
          <w:szCs w:val="16"/>
          <w:color w:val="auto"/>
        </w:rPr>
        <w:t>Although we have elected to be treated as a RIC beginning with our taxable year ended August 31, 2014, no assurance can be given that we will be able to continue to qualify for and maintain our RIC tax treatment under the Code. To continue to maintain our RIC tax treatment under the Code, we must meet the following source-of-asset diversification, and distribution requirements.</w:t>
      </w:r>
    </w:p>
    <w:p>
      <w:pPr>
        <w:spacing w:after="0" w:line="39" w:lineRule="exact"/>
        <w:rPr>
          <w:sz w:val="20"/>
          <w:szCs w:val="20"/>
          <w:color w:val="auto"/>
        </w:rPr>
      </w:pPr>
    </w:p>
    <w:p>
      <w:pPr>
        <w:ind w:left="40" w:right="619" w:firstLine="270"/>
        <w:spacing w:after="0" w:line="273" w:lineRule="auto"/>
        <w:rPr>
          <w:sz w:val="20"/>
          <w:szCs w:val="20"/>
          <w:color w:val="auto"/>
        </w:rPr>
      </w:pPr>
      <w:r>
        <w:rPr>
          <w:rFonts w:ascii="Arial" w:cs="Arial" w:eastAsia="Arial" w:hAnsi="Arial"/>
          <w:sz w:val="17"/>
          <w:szCs w:val="17"/>
          <w:color w:val="auto"/>
        </w:rPr>
        <w:t>The income source requirement will be satisfied if we obtain at least 90% of our income for each year from dividends, interest, gains from the sale or other disposition of stock or securities or similar sources. 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RIC tax treatment under the Code. Because most of our investments will be in private companies, and therefore will be relatively illiquid, any such dispositions could be made at disadvantageous prices and could result in substantial losses.</w:t>
      </w:r>
    </w:p>
    <w:p>
      <w:pPr>
        <w:spacing w:after="0" w:line="70"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The annual distribution requirement for a RIC will be satisfied if we distribute to our stockholders on an annual basis at least 90% of our net ordinary income and net short-term capital gains in excess of our net long-term capital losses, if any. Because we may use debt financing, we are subject to certain asset coverage ratio requirements under the 1940 Act, as well as future financial covenants under loan and credit agreements that could, under certain circumstances, restrict us from making distributions necessary to satisfy the distribution requirement. If we are unable to obtain cash from other sources, we could fail to qualify for tax treatment as a RIC under the Code.</w:t>
      </w:r>
    </w:p>
    <w:p>
      <w:pPr>
        <w:spacing w:after="0" w:line="85" w:lineRule="exact"/>
        <w:rPr>
          <w:sz w:val="20"/>
          <w:szCs w:val="20"/>
          <w:color w:val="auto"/>
        </w:rPr>
      </w:pPr>
    </w:p>
    <w:p>
      <w:pPr>
        <w:jc w:val="both"/>
        <w:ind w:left="40" w:right="659" w:firstLine="270"/>
        <w:spacing w:after="0" w:line="264" w:lineRule="auto"/>
        <w:rPr>
          <w:sz w:val="20"/>
          <w:szCs w:val="20"/>
          <w:color w:val="auto"/>
        </w:rPr>
      </w:pPr>
      <w:r>
        <w:rPr>
          <w:rFonts w:ascii="Arial" w:cs="Arial" w:eastAsia="Arial" w:hAnsi="Arial"/>
          <w:sz w:val="18"/>
          <w:szCs w:val="18"/>
          <w:color w:val="auto"/>
        </w:rPr>
        <w:t>If we fail to qualify for tax treatment as a RIC under the Code for any reason and remain or become subject to corporate-level U.S. federal income tax on all of our income, the resulting corporate taxes could substantially reduce our net assets, the amount of income available for distribution or reinvestment and the amount of our distributions.</w:t>
      </w:r>
    </w:p>
    <w:p>
      <w:pPr>
        <w:spacing w:after="0" w:line="114"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We cannot predict how tax reform legislation will affect us, our investments, or our stockholders, and any such legislation could adversely affect our business.</w:t>
      </w:r>
    </w:p>
    <w:p>
      <w:pPr>
        <w:spacing w:after="0" w:line="62"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Legislative or other actions relating to taxes could have a negative effect on us. The rules dealing with U.S. federal income taxation are constantly under review by persons involved in the legislative process and by the IRS and the U.S. Treasury Department. The U.S. House of Representatives and U.S. Senate recently passed tax reform legislation, which the President recently signed into law. Such legislation will make many changes to the Internal Revenue Code, including significant changes to the taxation of business entities, the deductibility of interest expense, and the tax treatment of capital investment. We cannot predict with certainty how any changes in the tax laws might affect us, our stockholders, or our portfolio investments. New legislation and any U.S. Treasury regulations, administrative interpretations or court decisions interpreting such legislation could significantly and negatively affect our ability to qualify for tax treatment as a RIC or the U.S. federal income tax consequences to us and our stockholders of such qualification, or could have other adverse consequences. Stockholders are urged to consult with their tax advisor regarding tax legislative, regulatory, or administrative developments and proposals and their potential effect on an investment in our securities.</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1199"/>
        <w:spacing w:after="0" w:line="277" w:lineRule="auto"/>
        <w:rPr>
          <w:sz w:val="20"/>
          <w:szCs w:val="20"/>
          <w:color w:val="auto"/>
        </w:rPr>
      </w:pPr>
      <w:r>
        <w:rPr>
          <w:rFonts w:ascii="Arial" w:cs="Arial" w:eastAsia="Arial" w:hAnsi="Arial"/>
          <w:sz w:val="18"/>
          <w:szCs w:val="18"/>
          <w:b w:val="1"/>
          <w:bCs w:val="1"/>
          <w:i w:val="1"/>
          <w:iCs w:val="1"/>
          <w:color w:val="auto"/>
        </w:rPr>
        <w:t>We may not be able to pay our stockholders distributions, our distributions may not grow over time and a portion of our distributions may be a return of capital.</w:t>
      </w:r>
    </w:p>
    <w:p>
      <w:pPr>
        <w:spacing w:after="0" w:line="62" w:lineRule="exact"/>
        <w:rPr>
          <w:sz w:val="20"/>
          <w:szCs w:val="20"/>
          <w:color w:val="auto"/>
        </w:rPr>
      </w:pPr>
    </w:p>
    <w:p>
      <w:pPr>
        <w:ind w:left="40" w:right="579" w:firstLine="270"/>
        <w:spacing w:after="0" w:line="253" w:lineRule="auto"/>
        <w:rPr>
          <w:sz w:val="20"/>
          <w:szCs w:val="20"/>
          <w:color w:val="auto"/>
        </w:rPr>
      </w:pPr>
      <w:r>
        <w:rPr>
          <w:rFonts w:ascii="Arial" w:cs="Arial" w:eastAsia="Arial" w:hAnsi="Arial"/>
          <w:sz w:val="18"/>
          <w:szCs w:val="18"/>
          <w:color w:val="auto"/>
        </w:rPr>
        <w:t>We intend to pay distributions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can limit our ability to pay distributions. All distributions will be paid at the discretion of our Board and will depend on our earnings, our financial condition, maintenance of our RIC status, compliance with applicable BDC regulations and such other factors as our Board may deem relevant from time to time. We cannot assure you that we will pay distributions to our stockholders in the future. In the event we liquidate or dispose of a significant equity position in our portfolio, we may distribute a special dividend relating to the realized capital gains from such investment in order to minimize to the greatest extent possible our U.S. federal income or excise tax liability.</w:t>
      </w:r>
    </w:p>
    <w:p>
      <w:pPr>
        <w:spacing w:after="0" w:line="87" w:lineRule="exact"/>
        <w:rPr>
          <w:sz w:val="20"/>
          <w:szCs w:val="20"/>
          <w:color w:val="auto"/>
        </w:rPr>
      </w:pPr>
    </w:p>
    <w:p>
      <w:pPr>
        <w:jc w:val="both"/>
        <w:ind w:left="40" w:right="619" w:firstLine="270"/>
        <w:spacing w:after="0" w:line="286" w:lineRule="auto"/>
        <w:rPr>
          <w:sz w:val="20"/>
          <w:szCs w:val="20"/>
          <w:color w:val="auto"/>
        </w:rPr>
      </w:pPr>
      <w:r>
        <w:rPr>
          <w:rFonts w:ascii="Arial" w:cs="Arial" w:eastAsia="Arial" w:hAnsi="Arial"/>
          <w:sz w:val="16"/>
          <w:szCs w:val="16"/>
          <w:color w:val="auto"/>
        </w:rPr>
        <w:t>When we make distributions, we will be required to determine the extent to which such distributions are paid out of current or accumulated earnings and profits. Distributions in excess of current and accumulated earnings and profits will be treated as a non-taxable return of capital, which is a return of a portion of a stockholder’s original investment in our common stock, to the extent of an investor’s basis in our stock and, assuming that an investor holds our stock as a capital asset, thereafter as a capital gain.</w:t>
      </w:r>
    </w:p>
    <w:p>
      <w:pPr>
        <w:spacing w:after="0" w:line="2" w:lineRule="exact"/>
        <w:rPr>
          <w:sz w:val="20"/>
          <w:szCs w:val="20"/>
          <w:color w:val="auto"/>
        </w:rPr>
      </w:pPr>
    </w:p>
    <w:p>
      <w:pPr>
        <w:ind w:left="40" w:right="739"/>
        <w:spacing w:after="0" w:line="261" w:lineRule="auto"/>
        <w:rPr>
          <w:sz w:val="20"/>
          <w:szCs w:val="20"/>
          <w:color w:val="auto"/>
        </w:rPr>
      </w:pPr>
      <w:r>
        <w:rPr>
          <w:rFonts w:ascii="Arial" w:cs="Arial" w:eastAsia="Arial" w:hAnsi="Arial"/>
          <w:sz w:val="18"/>
          <w:szCs w:val="18"/>
          <w:color w:val="auto"/>
        </w:rPr>
        <w:t>Generally, a non-taxable return of capital will reduce an investor’s basis in our stock for U.S. federal income tax purposes, which will result in higher tax liability when the stock is sold.</w:t>
      </w:r>
    </w:p>
    <w:p>
      <w:pPr>
        <w:spacing w:after="0" w:line="116"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income before or without receiving cash representing such income.</w:t>
      </w:r>
    </w:p>
    <w:p>
      <w:pPr>
        <w:spacing w:after="0" w:line="62"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For U.S. federal income tax purposes, we include in our taxable income certain amounts that we have not yet received in cash, such as PIK interest or original issue discount, which may arise if we receive warrants in connection with the origination of a loan or possibly in other circumstances. Such original issue discount or increases in loan balances as a result of contractual PIK arrangements are included in our taxable income before we receive any corresponding cash payments. We also may be required to include in our taxable income certain other amounts that we will not receive in cash.</w:t>
      </w:r>
    </w:p>
    <w:p>
      <w:pPr>
        <w:spacing w:after="0" w:line="64"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Since, in certain cases, we may recognize taxable income before or without receiving corresponding cash payments, we may have difficulty meeting the annual distribution requirement necessary to maintain our RIC tax treatment under the Code.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as a RIC for tax treatment under the Code and thus become subject to corporate-level U.S. federal income tax.</w:t>
      </w:r>
    </w:p>
    <w:p>
      <w:pPr>
        <w:spacing w:after="0" w:line="126" w:lineRule="exact"/>
        <w:rPr>
          <w:sz w:val="20"/>
          <w:szCs w:val="20"/>
          <w:color w:val="auto"/>
        </w:rPr>
      </w:pPr>
    </w:p>
    <w:p>
      <w:pPr>
        <w:ind w:left="40" w:right="1119"/>
        <w:spacing w:after="0" w:line="277" w:lineRule="auto"/>
        <w:rPr>
          <w:sz w:val="20"/>
          <w:szCs w:val="20"/>
          <w:color w:val="auto"/>
        </w:rPr>
      </w:pPr>
      <w:r>
        <w:rPr>
          <w:rFonts w:ascii="Arial" w:cs="Arial" w:eastAsia="Arial" w:hAnsi="Arial"/>
          <w:sz w:val="18"/>
          <w:szCs w:val="18"/>
          <w:b w:val="1"/>
          <w:bCs w:val="1"/>
          <w:i w:val="1"/>
          <w:iCs w:val="1"/>
          <w:color w:val="auto"/>
        </w:rPr>
        <w:t>Capitala Investment Advisors is not obligated to reimburse us for any part of the incentive fee it receives that is based on accrued income that we never receive.</w:t>
      </w:r>
    </w:p>
    <w:p>
      <w:pPr>
        <w:spacing w:after="0" w:line="62"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Part of the incentive fee payable by us to our Investment Advisor that relates to our net investment income is computed and paid on income that may include interest that has been accrued but not yet received in cash, such as market discount, debt instruments with PIK interest, preferred stock with PIK dividends and zero coupon securities. 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fees it received that was based on accrued income that we never receive as a result of a default by an entity on the obligation that resulted in the accrual of such income.</w:t>
      </w:r>
    </w:p>
    <w:p>
      <w:pPr>
        <w:spacing w:after="0" w:line="108"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our own stock, in which case you may be required to pay tax in excess of the cash you receive.</w:t>
      </w:r>
    </w:p>
    <w:p>
      <w:pPr>
        <w:spacing w:after="0" w:line="62" w:lineRule="exact"/>
        <w:rPr>
          <w:sz w:val="20"/>
          <w:szCs w:val="20"/>
          <w:color w:val="auto"/>
        </w:rPr>
      </w:pPr>
    </w:p>
    <w:p>
      <w:pPr>
        <w:jc w:val="both"/>
        <w:ind w:left="40" w:right="1099" w:firstLine="270"/>
        <w:spacing w:after="0" w:line="264" w:lineRule="auto"/>
        <w:rPr>
          <w:sz w:val="20"/>
          <w:szCs w:val="20"/>
          <w:color w:val="auto"/>
        </w:rPr>
      </w:pPr>
      <w:r>
        <w:rPr>
          <w:rFonts w:ascii="Arial" w:cs="Arial" w:eastAsia="Arial" w:hAnsi="Arial"/>
          <w:sz w:val="18"/>
          <w:szCs w:val="18"/>
          <w:color w:val="auto"/>
        </w:rPr>
        <w:t>We may distribute taxable dividends that are payable in part in our stock. In accordance with certain applicable Treasury regulations and guidance issued by the Internal Revenue Service (“IRS”), a RIC may treat a distribution of its own stock as fulfilling the RIC distribution requirements if each stockholder may</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67" w:lineRule="auto"/>
        <w:rPr>
          <w:sz w:val="20"/>
          <w:szCs w:val="20"/>
          <w:color w:val="auto"/>
        </w:rPr>
      </w:pPr>
      <w:r>
        <w:rPr>
          <w:rFonts w:ascii="Arial" w:cs="Arial" w:eastAsia="Arial" w:hAnsi="Arial"/>
          <w:sz w:val="17"/>
          <w:szCs w:val="17"/>
          <w:color w:val="auto"/>
        </w:rPr>
        <w:t>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Taxable stockholders receiving such dividends (whether received in cash, our stock, or a combination thereof)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112" w:lineRule="exact"/>
        <w:rPr>
          <w:sz w:val="20"/>
          <w:szCs w:val="20"/>
          <w:color w:val="auto"/>
        </w:rPr>
      </w:pPr>
    </w:p>
    <w:p>
      <w:pPr>
        <w:ind w:left="40" w:right="819"/>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and noteholders could lose confidence in our financial and other public reporting, which would harm our business.</w:t>
      </w:r>
    </w:p>
    <w:p>
      <w:pPr>
        <w:spacing w:after="0" w:line="73" w:lineRule="exact"/>
        <w:rPr>
          <w:sz w:val="20"/>
          <w:szCs w:val="20"/>
          <w:color w:val="auto"/>
        </w:rPr>
      </w:pPr>
    </w:p>
    <w:p>
      <w:pPr>
        <w:ind w:left="40" w:right="519" w:firstLine="270"/>
        <w:spacing w:after="0" w:line="290"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undertaken, as noted below),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our business.</w:t>
      </w:r>
    </w:p>
    <w:p>
      <w:pPr>
        <w:spacing w:after="0" w:line="58"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We are required to disclose changes made in our internal controls and procedures over financial reporting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of the Sarbanes-Oxley Act. We could be an “emerging growth company” for up to five years from the date of our IPO.</w:t>
      </w:r>
    </w:p>
    <w:p>
      <w:pPr>
        <w:spacing w:after="0" w:line="64"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As a public company, may incur significant additional expenses in the near term, which may negatively impact our financial performance and our ability to make distributions to our stockholders. This process also will result in a diversion of management’s time and attention. We cannot be certain as to the timing of completion of any evaluation, testing and remediation actions or the impact of the same on our operations, and we may not be able to ensure that the process is effective or that our internal controls over financial reporting are or will be effective in a timely manner. In the event that we are unable to maintain or achieve compliance with Section 404 of the Sarbanes-Oxley Act and related rules, the market price of our common stock may be adversely affected.</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New and pending legislation may allow us to incur additional leverage.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a BDC, under the 1940 Act generally we are not permitted to incur indebtedness unless immediately after such borrowing</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an asset coverage for total borrowings of at least 200% (i.e., the amount of debt may not exceed 50% of the value of our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assets or we may borrow an amount equal to 100% of net assets). The adoption of either the Financial CHOICE Act of 2017,</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which was passed by the U.S House of Representatives in June 2017, or the Small Business Credit Availability Act, which was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passed by the Financial Services Committee of the U.S. House of Representatives in November 2017, would modify this section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1940 Act and increase the amount of debt that BDCs may incur by modifying the asset coverage percentage from 200% to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150%. As a result, we may be able to incur additional indebtedness in the future and therefore your risk of an investment in us may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increase. In addition, in December 2015, the 2016 omnibus spending bill approved by Congress and signed into law by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President increased the amount of SBA-guaranteed debentures that affiliated SBIC funds can have outstanding from $225.0 million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 $350.0 million, subject to SBA approval. This new legislation may allow us to issue additional SBIC debentures above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$225.0 million of SBA-guaranteed debentures previously permitted pending application for and receipt of additional SBIC licenses.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If we incur this additional indebtedness in the future, your risk of an investment in our securities may increase.</w:t>
      </w:r>
    </w:p>
    <w:p>
      <w:pPr>
        <w:spacing w:after="0" w:line="143" w:lineRule="exact"/>
        <w:rPr>
          <w:sz w:val="20"/>
          <w:szCs w:val="20"/>
          <w:color w:val="auto"/>
        </w:rPr>
      </w:pPr>
    </w:p>
    <w:p>
      <w:pPr>
        <w:ind w:left="40" w:right="819"/>
        <w:spacing w:after="0" w:line="277" w:lineRule="auto"/>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 or cause us to alter our business strategy.</w:t>
      </w:r>
    </w:p>
    <w:p>
      <w:pPr>
        <w:spacing w:after="0" w:line="62" w:lineRule="exact"/>
        <w:rPr>
          <w:sz w:val="20"/>
          <w:szCs w:val="20"/>
          <w:color w:val="auto"/>
        </w:rPr>
      </w:pPr>
    </w:p>
    <w:p>
      <w:pPr>
        <w:ind w:left="40" w:right="519" w:firstLine="270"/>
        <w:spacing w:after="0" w:line="288" w:lineRule="auto"/>
        <w:rPr>
          <w:sz w:val="20"/>
          <w:szCs w:val="20"/>
          <w:color w:val="auto"/>
        </w:rPr>
      </w:pPr>
      <w:r>
        <w:rPr>
          <w:rFonts w:ascii="Arial" w:cs="Arial" w:eastAsia="Arial" w:hAnsi="Arial"/>
          <w:sz w:val="16"/>
          <w:szCs w:val="16"/>
          <w:color w:val="auto"/>
        </w:rPr>
        <w:t>We and our portfolio companies will be subject to applicable local, state and federal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Investment Advisor’s investment team to other types of investments in which the investment team may have less expertise or little or no experience. Thus, any such changes, if they occur, could have a material adverse effect on our results of operations and the value of your investment. In addition, any change to the SBA’s current debenture SBIC program could have a significant impact on our ability to obtain lower-cost financing and, therefore, our competitive advantage over other finance companies.</w:t>
      </w:r>
    </w:p>
    <w:p>
      <w:pPr>
        <w:spacing w:after="0" w:line="61"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105"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b w:val="1"/>
          <w:bCs w:val="1"/>
          <w:i w:val="1"/>
          <w:iCs w:val="1"/>
          <w:color w:val="auto"/>
        </w:rPr>
        <w:t>Two of our wholly owned subsidiaries are licensed by the U.S. Small Business Administration, and as a result, we are subject to SBA regulations.</w:t>
      </w:r>
    </w:p>
    <w:p>
      <w:pPr>
        <w:spacing w:after="0" w:line="62" w:lineRule="exact"/>
        <w:rPr>
          <w:sz w:val="20"/>
          <w:szCs w:val="20"/>
          <w:color w:val="auto"/>
        </w:rPr>
      </w:pPr>
    </w:p>
    <w:p>
      <w:pPr>
        <w:ind w:left="40" w:right="699" w:firstLine="270"/>
        <w:spacing w:after="0" w:line="273" w:lineRule="auto"/>
        <w:rPr>
          <w:sz w:val="20"/>
          <w:szCs w:val="20"/>
          <w:color w:val="auto"/>
        </w:rPr>
      </w:pPr>
      <w:r>
        <w:rPr>
          <w:rFonts w:ascii="Arial" w:cs="Arial" w:eastAsia="Arial" w:hAnsi="Arial"/>
          <w:sz w:val="17"/>
          <w:szCs w:val="17"/>
          <w:color w:val="auto"/>
        </w:rPr>
        <w:t>Fund II and Fund III, which became our wholly owned subsidiaries after the completion of the Formation Transactions, are licensed to act as SBICs and are regulated by the SBA. As of December 31, 2017, Fund II and Fund III portfolio companies accounted for 62.9% of our aggregate portfolio. The SBIC licenses allow our SBIC subsidiaries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w:t>
      </w:r>
    </w:p>
    <w:p>
      <w:pPr>
        <w:spacing w:after="0" w:line="70"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Under current SBA regulations, a licensed SBIC may provide capital to those entities that have a tangible net worth not exceeding $19.5 million and an average annual net income after U.S. federal income taxes not exceeding $6.5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spacing w:after="0" w:line="272" w:lineRule="auto"/>
        <w:rPr>
          <w:sz w:val="20"/>
          <w:szCs w:val="20"/>
          <w:color w:val="auto"/>
        </w:rPr>
      </w:pPr>
      <w:r>
        <w:rPr>
          <w:rFonts w:ascii="Arial" w:cs="Arial" w:eastAsia="Arial" w:hAnsi="Arial"/>
          <w:sz w:val="17"/>
          <w:szCs w:val="17"/>
          <w:color w:val="auto"/>
        </w:rPr>
        <w:t>fiscal years. The SBA regulations also provide alternative size standard criteria to determine eligibility, which depend on the industry in which the business is engaged and are based on factors such as the number of employees and gross sales.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a few prohibited industries. Compliance with SBA requirements may cause a Legacy Fund to forego attractive investment opportunities that are not permitted under SBA regulations.</w:t>
      </w:r>
    </w:p>
    <w:p>
      <w:pPr>
        <w:spacing w:after="0" w:line="70"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The SBA also prohibits, without prior SBA approval, a “change of control” of an SBIC or transfers that would result in any person (or a group of persons acting in concert) owning 10.0% or more of a class of capital stock of a licensed SBIC. If Fund II or Fund III fails to comply with applicable SBA regulations, the SBA could, depending on the severity of the violation, limit or prohibit such Fund’s use of debentures, declare outstanding debentures immediately due and payable, and/or limit such Fund from making new investments. Such actions by the SBA would, in turn, negatively affect us because Fund II and Fund III are our wholly owned subsidiaries. Each of Fund II and Fund III was in compliance with the terms of the SBA’s leverage requirements as of December 31, 2017 as a result of having sufficient capital as defined under the SBA regulations.</w:t>
      </w:r>
    </w:p>
    <w:p>
      <w:pPr>
        <w:spacing w:after="0" w:line="70"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1934 Act with respect to Fund II and Fund III. We intend to comply with the conditions of the order. As a result, we will generally be permitted to incur a greater amount of leverage relative to our total assets and net asset value, which may expose us to a greater degree of risk.</w:t>
      </w:r>
    </w:p>
    <w:p>
      <w:pPr>
        <w:spacing w:after="0" w:line="77"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Our wholly owned SBIC subsidiaries may be unable to make distributions to us that will enable us to meet or maintain RIC tax treatment, which could result in the imposition of a corporate-level U.S. federal income tax.</w:t>
      </w:r>
    </w:p>
    <w:p>
      <w:pPr>
        <w:spacing w:after="0" w:line="62"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In order for us to continue to qualify for RIC tax treatment under the Code and to minimize corporate-level U.S. federal income taxes, we will be required to distribute substantially all of our net ordinary income and net capital gain income, including income from certain of our subsidiaries, which includes the income from our SBIC subsidiaries. We will be partially dependent on our SBIC subsidiaries for cash distributions to enable us to meet the RIC distribution requirements. Our SBIC subsidiaries may be limited by the Small Business Investment Act of 1958, and SBA regulations governing SBICs, from making certain distributions to us that may be necessary to maintain our status as a RIC. We may have to request a waiver of the SBA’s restrictions for our SBIC subsidiaries to make certain distributions to maintain our RIC status. We cannot assure you that the SBA will grant such waiver and if our SBIC subsidiaries are unable to obtain a waiver, compliance with the SBA regulations may result in loss of RIC tax treatment and a consequent imposition of a corporate-level U.S. federal income tax on all of our income.</w:t>
      </w:r>
    </w:p>
    <w:p>
      <w:pPr>
        <w:spacing w:after="0" w:line="99"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62"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As a publicly traded company, we incur legal, accounting and other expenses, including costs associated with the periodic reporting requirements applicable to a company whose securities are registered under the 1934 Act, or the Exchange Act, as well as additional corporate governance requirements, including requirements under the Sarbanes Oxley Act, and other rules implemented by the SEC. Also, 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Our efforts to comply with these existing requirements, or any revised or amended requirements, have resulted in, and are likely to continue to result in, an increase in expenses and a diversion of management’s time from other business activities.</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779"/>
        <w:spacing w:after="0" w:line="375" w:lineRule="auto"/>
        <w:rPr>
          <w:sz w:val="20"/>
          <w:szCs w:val="20"/>
          <w:color w:val="auto"/>
        </w:rPr>
      </w:pPr>
      <w:r>
        <w:rPr>
          <w:rFonts w:ascii="Arial" w:cs="Arial" w:eastAsia="Arial" w:hAnsi="Arial"/>
          <w:sz w:val="15"/>
          <w:szCs w:val="15"/>
          <w:b w:val="1"/>
          <w:bCs w:val="1"/>
          <w:i w:val="1"/>
          <w:iCs w:val="1"/>
          <w:color w:val="auto"/>
        </w:rPr>
        <w:t>We are highly dependent on information systems and systems failures could significantly disrupt our business, which may, in turn, negatively affect the market price of our common stock and our ability to make distributions to our stockholders.</w:t>
      </w:r>
    </w:p>
    <w:p>
      <w:pPr>
        <w:spacing w:after="0" w:line="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Our business is highly dependent on the communications and information systems of the Investment Advisor. Certain of these systems are provided to the Investment Advisor by third-party service providers. Any failure or interruption of such systems, including as a result of the termination of an agreement with any such third-party service provider, sudden electrical or telecommunications outages, natural disasters such as earthquakes, tornadoes, and hurricanes, events arising from local or larger scale political or social matters, including terrorist attacks, and cyber-attacks could cause delays or other problems in our activities. Any of the above, in turn, could have a material adverse effect on our operating results and negatively affect the market price of our common stock and our ability to make distributions to our stockholders.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Internal and external cyber threats, as well as other disasters, could impair our ability to conduct business effectively.</w:t>
      </w:r>
    </w:p>
    <w:p>
      <w:pPr>
        <w:spacing w:after="0" w:line="140"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64"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59"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21"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b w:val="1"/>
          <w:bCs w:val="1"/>
          <w:i w:val="1"/>
          <w:iCs w:val="1"/>
          <w:color w:val="auto"/>
        </w:rPr>
        <w:t>Terrorist attacks, acts of war or natural disasters may affect the market for our common stock, impact the businesses in which we invest and harm our business, operating results and financial condition.</w:t>
      </w:r>
    </w:p>
    <w:p>
      <w:pPr>
        <w:spacing w:after="0" w:line="62"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97" w:lineRule="exact"/>
        <w:rPr>
          <w:sz w:val="20"/>
          <w:szCs w:val="20"/>
          <w:color w:val="auto"/>
        </w:rPr>
      </w:pPr>
    </w:p>
    <w:p>
      <w:pPr>
        <w:ind w:left="40" w:right="939"/>
        <w:spacing w:after="0" w:line="264" w:lineRule="auto"/>
        <w:rPr>
          <w:sz w:val="20"/>
          <w:szCs w:val="20"/>
          <w:color w:val="auto"/>
        </w:rPr>
      </w:pPr>
      <w:r>
        <w:rPr>
          <w:rFonts w:ascii="Arial" w:cs="Arial" w:eastAsia="Arial" w:hAnsi="Arial"/>
          <w:sz w:val="18"/>
          <w:szCs w:val="18"/>
          <w:b w:val="1"/>
          <w:bCs w:val="1"/>
          <w:i w:val="1"/>
          <w:iCs w:val="1"/>
          <w:color w:val="auto"/>
        </w:rPr>
        <w:t>To the extent original issue discount and PIK interest constitute a portion of our income, we will be exposed to typical risks associated with such income being required to be included in taxable and accounting income prior to receipt of cash representing such income.</w:t>
      </w:r>
    </w:p>
    <w:p>
      <w:pPr>
        <w:spacing w:after="0" w:line="73" w:lineRule="exact"/>
        <w:rPr>
          <w:sz w:val="20"/>
          <w:szCs w:val="20"/>
          <w:color w:val="auto"/>
        </w:rPr>
      </w:pPr>
    </w:p>
    <w:p>
      <w:pPr>
        <w:ind w:left="40" w:right="1079" w:firstLine="270"/>
        <w:spacing w:after="0" w:line="277" w:lineRule="auto"/>
        <w:rPr>
          <w:sz w:val="20"/>
          <w:szCs w:val="20"/>
          <w:color w:val="auto"/>
        </w:rPr>
      </w:pPr>
      <w:r>
        <w:rPr>
          <w:rFonts w:ascii="Arial" w:cs="Arial" w:eastAsia="Arial" w:hAnsi="Arial"/>
          <w:sz w:val="18"/>
          <w:szCs w:val="18"/>
          <w:color w:val="auto"/>
        </w:rPr>
        <w:t>Our investments may include original issue discount (“OID”) instruments and contractual PIK interest, which represents contractual interest added to a loan balance and due at the end of such loan’s term. To the</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79"/>
        <w:spacing w:after="0" w:line="308" w:lineRule="auto"/>
        <w:rPr>
          <w:sz w:val="20"/>
          <w:szCs w:val="20"/>
          <w:color w:val="auto"/>
        </w:rPr>
      </w:pPr>
      <w:r>
        <w:rPr>
          <w:rFonts w:ascii="Arial" w:cs="Arial" w:eastAsia="Arial" w:hAnsi="Arial"/>
          <w:sz w:val="17"/>
          <w:szCs w:val="17"/>
          <w:color w:val="auto"/>
        </w:rPr>
        <w:t>extent OID or PIK interest constitute a portion of our income, we are exposed to typical risks associated with such income being required to be included in taxable and accounting income prior to receipt of cash, including the following:</w:t>
      </w:r>
    </w:p>
    <w:p>
      <w:pPr>
        <w:spacing w:after="0" w:line="38" w:lineRule="exact"/>
        <w:rPr>
          <w:sz w:val="20"/>
          <w:szCs w:val="20"/>
          <w:color w:val="auto"/>
        </w:rPr>
      </w:pPr>
    </w:p>
    <w:p>
      <w:pPr>
        <w:ind w:left="600" w:right="1339" w:hanging="322"/>
        <w:spacing w:after="0" w:line="277"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OID instruments may have higher yields, which reflect the payment deferral and credit risk associated with these instruments;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OID accruals may create uncertainty about the source of our distributions to stockholders;</w:t>
      </w:r>
    </w:p>
    <w:p>
      <w:pPr>
        <w:spacing w:after="0" w:line="117"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OID and PIK instruments may have unreliable valuations because their continuing accruals require continuing judgments about the collectability of the deferred payments and the value of the collateral;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OID and PIK instruments may represent a higher credit risk than coupon loans.</w:t>
      </w:r>
    </w:p>
    <w:p>
      <w:pPr>
        <w:spacing w:after="0" w:line="144" w:lineRule="exact"/>
        <w:rPr>
          <w:sz w:val="20"/>
          <w:szCs w:val="20"/>
          <w:color w:val="auto"/>
        </w:rPr>
      </w:pPr>
    </w:p>
    <w:p>
      <w:pPr>
        <w:jc w:val="both"/>
        <w:ind w:left="40" w:right="679"/>
        <w:spacing w:after="0" w:line="264" w:lineRule="auto"/>
        <w:rPr>
          <w:sz w:val="20"/>
          <w:szCs w:val="20"/>
          <w:color w:val="auto"/>
        </w:rPr>
      </w:pPr>
      <w:r>
        <w:rPr>
          <w:rFonts w:ascii="Arial" w:cs="Arial" w:eastAsia="Arial" w:hAnsi="Arial"/>
          <w:sz w:val="18"/>
          <w:szCs w:val="18"/>
          <w:b w:val="1"/>
          <w:bCs w:val="1"/>
          <w:i w:val="1"/>
          <w:iCs w:val="1"/>
          <w:color w:val="auto"/>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p>
    <w:p>
      <w:pPr>
        <w:spacing w:after="0" w:line="73"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64" w:lineRule="exact"/>
        <w:rPr>
          <w:sz w:val="20"/>
          <w:szCs w:val="20"/>
          <w:color w:val="auto"/>
        </w:rPr>
      </w:pPr>
    </w:p>
    <w:p>
      <w:pPr>
        <w:jc w:val="both"/>
        <w:ind w:left="40" w:right="939" w:firstLine="270"/>
        <w:spacing w:after="0" w:line="264" w:lineRule="auto"/>
        <w:rPr>
          <w:sz w:val="20"/>
          <w:szCs w:val="20"/>
          <w:color w:val="auto"/>
        </w:rPr>
      </w:pPr>
      <w:r>
        <w:rPr>
          <w:rFonts w:ascii="Arial" w:cs="Arial" w:eastAsia="Arial" w:hAnsi="Arial"/>
          <w:sz w:val="18"/>
          <w:szCs w:val="18"/>
          <w:color w:val="auto"/>
        </w:rPr>
        <w:t>If we are unable to obtain additional debt capital, then our equity investors will not benefit from the potential for increased returns on equity resulting from leverage to the extent that our investment strategy is successful and we may be limited in our ability to make new commitments or fundings to our portfolio companies.</w:t>
      </w:r>
    </w:p>
    <w:p>
      <w:pPr>
        <w:spacing w:after="0" w:line="114" w:lineRule="exact"/>
        <w:rPr>
          <w:sz w:val="20"/>
          <w:szCs w:val="20"/>
          <w:color w:val="auto"/>
        </w:rPr>
      </w:pPr>
    </w:p>
    <w:p>
      <w:pPr>
        <w:ind w:left="40" w:right="699"/>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38"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We are and we will remain an “emerging growth company” as defined in the JOBS Act until the earlier of (a) the last day of the fiscal year (i) following the fifth anniversary of the completion of our IPO, (ii) in which we have total annual gross revenue of at least $1.0 billion, or (iii) in which we are deemed to be a large accelerated filer, which means the market value of our common stock that is held by non-affiliates exceeds $700 million as of the end of the previous second fiscal quarter, and (b) the date on which we have issued more than $1.0 billion in non-convertible debt during the prior three-year period. For so long as we remain an “emerging growth company” we have chosen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w:t>
      </w:r>
    </w:p>
    <w:p>
      <w:pPr>
        <w:spacing w:after="0" w:line="71" w:lineRule="exact"/>
        <w:rPr>
          <w:sz w:val="20"/>
          <w:szCs w:val="20"/>
          <w:color w:val="auto"/>
        </w:rPr>
      </w:pPr>
    </w:p>
    <w:p>
      <w:pPr>
        <w:ind w:left="40" w:right="759" w:firstLine="270"/>
        <w:spacing w:after="0" w:line="272" w:lineRule="auto"/>
        <w:rPr>
          <w:sz w:val="20"/>
          <w:szCs w:val="20"/>
          <w:color w:val="auto"/>
        </w:rPr>
      </w:pPr>
      <w:r>
        <w:rPr>
          <w:rFonts w:ascii="Arial" w:cs="Arial" w:eastAsia="Arial" w:hAnsi="Arial"/>
          <w:sz w:val="17"/>
          <w:szCs w:val="17"/>
          <w:color w:val="auto"/>
        </w:rPr>
        <w:t>In addition, Section 107 of the JOBS Act also provides that an “emerging growth company” may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chosen to take advantage of the extended transition period for complying with new or revised accounting standards, which may make it more difficult for investors and securities analysts to evaluate us since our financial statements may not be comparable to companies that comply with public company effective dates and may result in less investor confidence.</w:t>
      </w:r>
    </w:p>
    <w:p>
      <w:pPr>
        <w:spacing w:after="0" w:line="70"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Because of the exemptions from various reporting requirements provided to us as an “emerging growth company” under the JOBS Act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719"/>
        <w:spacing w:after="0" w:line="264" w:lineRule="auto"/>
        <w:rPr>
          <w:sz w:val="20"/>
          <w:szCs w:val="20"/>
          <w:color w:val="auto"/>
        </w:rPr>
      </w:pPr>
      <w:r>
        <w:rPr>
          <w:rFonts w:ascii="Arial" w:cs="Arial" w:eastAsia="Arial" w:hAnsi="Arial"/>
          <w:sz w:val="18"/>
          <w:szCs w:val="18"/>
          <w:color w:val="auto"/>
        </w:rPr>
        <w:t>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100" w:lineRule="exact"/>
        <w:rPr>
          <w:sz w:val="20"/>
          <w:szCs w:val="20"/>
          <w:color w:val="auto"/>
        </w:rPr>
      </w:pPr>
    </w:p>
    <w:p>
      <w:pPr>
        <w:jc w:val="both"/>
        <w:ind w:left="40" w:right="719"/>
        <w:spacing w:after="0" w:line="277" w:lineRule="auto"/>
        <w:rPr>
          <w:sz w:val="20"/>
          <w:szCs w:val="20"/>
          <w:color w:val="auto"/>
        </w:rPr>
      </w:pPr>
      <w:r>
        <w:rPr>
          <w:rFonts w:ascii="Arial" w:cs="Arial" w:eastAsia="Arial" w:hAnsi="Arial"/>
          <w:sz w:val="18"/>
          <w:szCs w:val="18"/>
          <w:b w:val="1"/>
          <w:bCs w:val="1"/>
          <w:i w:val="1"/>
          <w:iCs w:val="1"/>
          <w:color w:val="auto"/>
        </w:rPr>
        <w:t>Our Board is authorized to reclassify any unissued shares of common stock into one or more classes of preferred stock, which could convey special rights and privileges to its owners.</w:t>
      </w:r>
    </w:p>
    <w:p>
      <w:pPr>
        <w:spacing w:after="0" w:line="62"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Under Maryland General Corporation Law and our charter, our Board is authorized to classify and reclassify any authorized but unissued shares of stock into one or more classes of stock, including preferred stock. Prior to the issuance of shares of each class or series, our Board will be required by Maryland law and our charter to set the terms, preferences, conversion or other rights, voting powers, restrictions, limitations as to dividends or other distributions, qualifications and terms or conditions of redemption for each class or series. Thus, our Board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your investment in our common stock.</w:t>
      </w:r>
    </w:p>
    <w:p>
      <w:pPr>
        <w:spacing w:after="0" w:line="101"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The Maryland General Corporation Law and our charter and bylaws contain provisions that may discourage, delay or make more difficult a change in control of Capitala Finance or the removal of our directors. We are subject to the Maryland Business Combination Act, subject to any applicable requirements of the 1940 Act. Our Board has adopted a resolution exempting from the Maryland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 Our bylaws exempt from the Maryland Control Share Acquisition Act acquisitions of our stock by any person. If we amend our bylaws to repeal the exemption from the Maryland Control Share Acquisition Act, the Maryland Control Share Acquisition Act also may make it more difficult for a third-party to obtain control of us and increase the difficulty of consummating such a transaction. It is the position of the staff of the SEC’s Division of Investment Management that if a BDC fails to opt-out of the Maryland Control Share Acquisition Act, it acts in a manner inconsistent with Section 18(i) of the 1940 Act.</w:t>
      </w:r>
    </w:p>
    <w:p>
      <w:pPr>
        <w:spacing w:after="0" w:line="61"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We have also adopted measures that may make it difficult for a third-party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70"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foregoing provisions are expected to discourage certain coercive takeover practices and inadequate takeover bids and to encourage persons seeking to acquire control of us to negotiate first with our Board. However, these provisions may deprive a stockholder of the opportunity to sell such stockholder’s shares at a premium to a potential acquirer. We believe that the benefits of these provisions outweigh the potential</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79"/>
        <w:spacing w:after="0" w:line="264" w:lineRule="auto"/>
        <w:rPr>
          <w:sz w:val="20"/>
          <w:szCs w:val="20"/>
          <w:color w:val="auto"/>
        </w:rPr>
      </w:pPr>
      <w:r>
        <w:rPr>
          <w:rFonts w:ascii="Arial" w:cs="Arial" w:eastAsia="Arial" w:hAnsi="Arial"/>
          <w:sz w:val="18"/>
          <w:szCs w:val="18"/>
          <w:color w:val="auto"/>
        </w:rPr>
        <w:t>disadvantages of discouraging any such acquisition proposals because, among other things, the negotiation of such proposals may improve their terms. Our Board has considered both the positive and negative effects of the foregoing provisions and determined that they are in the best interest of our stockholders.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Investments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We invest primarily in first lien loans, second lien loans, subordinated debt investments and select equity investments issued by leveraged companies, each of which carries with it a significant degree of risk.</w:t>
      </w:r>
    </w:p>
    <w:p>
      <w:pPr>
        <w:spacing w:after="0" w:line="62"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b w:val="1"/>
          <w:bCs w:val="1"/>
          <w:i w:val="1"/>
          <w:iCs w:val="1"/>
          <w:color w:val="auto"/>
        </w:rPr>
        <w:t xml:space="preserve">First Lien Loans. </w:t>
      </w:r>
      <w:r>
        <w:rPr>
          <w:rFonts w:ascii="Arial" w:cs="Arial" w:eastAsia="Arial" w:hAnsi="Arial"/>
          <w:sz w:val="16"/>
          <w:szCs w:val="16"/>
          <w:color w:val="auto"/>
        </w:rPr>
        <w:t>There is a risk that the collateral securing our loans may decrease in value over time, may be difficult to sell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59"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b w:val="1"/>
          <w:bCs w:val="1"/>
          <w:i w:val="1"/>
          <w:iCs w:val="1"/>
          <w:color w:val="auto"/>
        </w:rPr>
        <w:t xml:space="preserve">Second Lien Loans. </w:t>
      </w:r>
      <w:r>
        <w:rPr>
          <w:rFonts w:ascii="Arial" w:cs="Arial" w:eastAsia="Arial" w:hAnsi="Arial"/>
          <w:sz w:val="18"/>
          <w:szCs w:val="18"/>
          <w:color w:val="auto"/>
        </w:rPr>
        <w:t>Our second lien debt investments have a second priority security interest in all or substantially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of the borrower. As such, other creditors may rank senior to us in the event of an insolvency, which could likely in many cases result in a substantial or complete loss on such investment in the case of such insolvency. This may result in an above average amount of risk and loss of principal.</w:t>
      </w:r>
    </w:p>
    <w:p>
      <w:pPr>
        <w:spacing w:after="0" w:line="79"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b w:val="1"/>
          <w:bCs w:val="1"/>
          <w:i w:val="1"/>
          <w:iCs w:val="1"/>
          <w:color w:val="auto"/>
        </w:rPr>
        <w:t xml:space="preserve">Subordinated Loans. </w:t>
      </w:r>
      <w:r>
        <w:rPr>
          <w:rFonts w:ascii="Arial" w:cs="Arial" w:eastAsia="Arial" w:hAnsi="Arial"/>
          <w:sz w:val="18"/>
          <w:szCs w:val="18"/>
          <w:color w:val="auto"/>
        </w:rPr>
        <w:t>Our subordinated debt investments are generally subordinated to first lien loans and may be unsecured.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such, other creditors may rank senior to us in the event of an insolvency, which could likely in many cases result in a substantial or complete loss on such investment in the case of such insolvency. This may result in an above average amount of risk and loss of principal.</w:t>
      </w:r>
    </w:p>
    <w:p>
      <w:pPr>
        <w:spacing w:after="0" w:line="79"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b w:val="1"/>
          <w:bCs w:val="1"/>
          <w:i w:val="1"/>
          <w:iCs w:val="1"/>
          <w:color w:val="auto"/>
        </w:rPr>
        <w:t xml:space="preserve">Equity Investments. </w:t>
      </w:r>
      <w:r>
        <w:rPr>
          <w:rFonts w:ascii="Arial" w:cs="Arial" w:eastAsia="Arial" w:hAnsi="Arial"/>
          <w:sz w:val="18"/>
          <w:szCs w:val="18"/>
          <w:color w:val="auto"/>
        </w:rPr>
        <w:t>When we invest in loans, we may acquire equity securities as well. In addition, we may invest directly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equity securities of portfolio companies.</w:t>
      </w:r>
    </w:p>
    <w:p>
      <w:pPr>
        <w:spacing w:after="0" w:line="62"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The portfolio currently has several significant equity positions. Distributions, dispositions, or liquidity events of these investments may affect our results of operations and cause us to have to pay a special dividend relating to the realized gains from such investment in order to minimize to the greatest extent possible our U.S. federal income or excise tax liability.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investing in lower and traditional middle-market companies involves a number of significant risks, including:</w:t>
      </w:r>
    </w:p>
    <w:p>
      <w:pPr>
        <w:spacing w:after="0" w:line="129" w:lineRule="exact"/>
        <w:rPr>
          <w:sz w:val="20"/>
          <w:szCs w:val="20"/>
          <w:color w:val="auto"/>
        </w:rPr>
      </w:pPr>
    </w:p>
    <w:p>
      <w:pPr>
        <w:ind w:left="600" w:right="759" w:hanging="322"/>
        <w:spacing w:after="0" w:line="286" w:lineRule="auto"/>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7" w:lineRule="exact"/>
        <w:rPr>
          <w:rFonts w:ascii="Arial" w:cs="Arial" w:eastAsia="Arial" w:hAnsi="Arial"/>
          <w:sz w:val="17"/>
          <w:szCs w:val="17"/>
          <w:color w:val="auto"/>
        </w:rPr>
      </w:pPr>
    </w:p>
    <w:p>
      <w:pPr>
        <w:jc w:val="both"/>
        <w:ind w:left="600" w:right="879" w:hanging="322"/>
        <w:spacing w:after="0" w:line="264"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they typically have shorter operating histories, narrower product lines and smaller market shares than larger businesses, which tend to render them more vulnerable to competitors’ actions and market conditions, as well as general economic downturns;</w:t>
      </w:r>
    </w:p>
    <w:p>
      <w:pPr>
        <w:spacing w:after="0" w:line="73" w:lineRule="exact"/>
        <w:rPr>
          <w:rFonts w:ascii="Arial" w:cs="Arial" w:eastAsia="Arial" w:hAnsi="Arial"/>
          <w:sz w:val="18"/>
          <w:szCs w:val="18"/>
          <w:color w:val="auto"/>
        </w:rPr>
      </w:pPr>
    </w:p>
    <w:p>
      <w:pPr>
        <w:ind w:left="600" w:right="639" w:hanging="322"/>
        <w:spacing w:after="0" w:line="264"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899" w:hanging="322"/>
        <w:spacing w:after="0" w:line="312" w:lineRule="auto"/>
        <w:tabs>
          <w:tab w:leader="none" w:pos="6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38" w:lineRule="exact"/>
        <w:rPr>
          <w:rFonts w:ascii="Arial" w:cs="Arial" w:eastAsia="Arial" w:hAnsi="Arial"/>
          <w:sz w:val="16"/>
          <w:szCs w:val="16"/>
          <w:color w:val="auto"/>
        </w:rPr>
      </w:pPr>
    </w:p>
    <w:p>
      <w:pPr>
        <w:ind w:left="600" w:right="599" w:hanging="322"/>
        <w:spacing w:after="0" w:line="277" w:lineRule="auto"/>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 and</w:t>
      </w:r>
    </w:p>
    <w:p>
      <w:pPr>
        <w:spacing w:after="0" w:line="62" w:lineRule="exact"/>
        <w:rPr>
          <w:rFonts w:ascii="Arial" w:cs="Arial" w:eastAsia="Arial" w:hAnsi="Arial"/>
          <w:sz w:val="18"/>
          <w:szCs w:val="18"/>
          <w:color w:val="auto"/>
        </w:rPr>
      </w:pPr>
    </w:p>
    <w:p>
      <w:pPr>
        <w:ind w:left="600" w:right="1299" w:hanging="322"/>
        <w:spacing w:after="0" w:line="277" w:lineRule="auto"/>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executive officers, directors and our Investment Advisor may, in the ordinary course of business, be named as defendants in litigation arising from our investments in the portfolio companies.</w:t>
      </w:r>
    </w:p>
    <w:p>
      <w:pPr>
        <w:spacing w:after="0" w:line="89" w:lineRule="exact"/>
        <w:rPr>
          <w:sz w:val="20"/>
          <w:szCs w:val="20"/>
          <w:color w:val="auto"/>
        </w:rPr>
      </w:pPr>
    </w:p>
    <w:p>
      <w:pPr>
        <w:ind w:left="40" w:right="699"/>
        <w:spacing w:after="0" w:line="312" w:lineRule="auto"/>
        <w:rPr>
          <w:sz w:val="20"/>
          <w:szCs w:val="20"/>
          <w:color w:val="auto"/>
        </w:rPr>
      </w:pPr>
      <w:r>
        <w:rPr>
          <w:rFonts w:ascii="Arial" w:cs="Arial" w:eastAsia="Arial" w:hAnsi="Arial"/>
          <w:sz w:val="16"/>
          <w:szCs w:val="16"/>
          <w:b w:val="1"/>
          <w:bCs w:val="1"/>
          <w:i w:val="1"/>
          <w:iCs w:val="1"/>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39" w:lineRule="exact"/>
        <w:rPr>
          <w:sz w:val="20"/>
          <w:szCs w:val="20"/>
          <w:color w:val="auto"/>
        </w:rPr>
      </w:pPr>
    </w:p>
    <w:p>
      <w:pPr>
        <w:ind w:left="40" w:right="619" w:firstLine="270"/>
        <w:spacing w:after="0" w:line="285" w:lineRule="auto"/>
        <w:rPr>
          <w:sz w:val="20"/>
          <w:szCs w:val="20"/>
          <w:color w:val="auto"/>
        </w:rPr>
      </w:pPr>
      <w:r>
        <w:rPr>
          <w:rFonts w:ascii="Arial" w:cs="Arial" w:eastAsia="Arial" w:hAnsi="Arial"/>
          <w:sz w:val="16"/>
          <w:szCs w:val="16"/>
          <w:color w:val="auto"/>
        </w:rPr>
        <w:t>Our portfolio consists primarily of debt and equity investments in smaller privately owned venture capital-backed companies. Investing in venture capital-backed companies involves a number of significant risks. Typically, the debt in which we will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Compared to larger publicly owned companies, these venture capital-backed companies may be in a weaker financial position and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often face intense competition from larger companies with greater financial, technical and marketing resources and their success typically depends on the managerial talents and efforts of an individual or a small group of persons. Therefore, any loss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70"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Generally, little public information exists about these companies, and we are required to rely on the ability of our Investment Advisor’s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26"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Many of our loans are not fully amortizing and if a borrower cannot repay or refinance such loans at maturity, our results will suffer.</w:t>
      </w:r>
    </w:p>
    <w:p>
      <w:pPr>
        <w:spacing w:after="0" w:line="62"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Most of the loans in which we invest are not structured to fully amortize during their lifetime. Accordingly, a significant portion of the principal amount of such a loan may be due at maturity. As of December 31, 2017, all debt instruments in our portfolio, on a fair value basis, will not fully amortize prior to maturity. In order to create liquidity to pay the final principal payment, borrowers typically must raise additional capital. If they are unable to raise sufficient funds to repay us or we have not elected to enter into a new loan agreement providing for an extended maturity, the loan will go into default, which will require us to foreclose on the borrower’s assets, even if the loan was otherwise performing prior to maturity. This will deprive Capitala Finance from immediately obtaining full recovery on the loan and prevent or delay the reinvestment of the loan proceeds in other, more profitable investments.</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investments in leveraged portfolio companies may be risky, and you could lose all or part of your investment.</w:t>
      </w:r>
    </w:p>
    <w:p>
      <w:pPr>
        <w:spacing w:after="0" w:line="129"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Investment in leveraged companies involves a number of significant risks. Leveraged companies in which we invest may have limited financial resources and may be unable to meet their obligations under their loans and debt securities that we hold. Such developments may be accompanied by a deterioration in the value of any collateral and a reduction in the likelihood of our realizing any guarantees that we may have obtained in connection with our investment. Smaller leveraged companies also may have less predictable operating results and may require substantial additional capital to support their operations, finance their expansion or maintain their competitive position.</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portfolio companies may incur debt that ranks equally with, or senior to, our investments in such companies.</w:t>
      </w:r>
    </w:p>
    <w:p>
      <w:pPr>
        <w:spacing w:after="0" w:line="129"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sufficient remaining assets to repay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14" w:lineRule="exact"/>
        <w:rPr>
          <w:sz w:val="20"/>
          <w:szCs w:val="20"/>
          <w:color w:val="auto"/>
        </w:rPr>
      </w:pPr>
    </w:p>
    <w:p>
      <w:pPr>
        <w:jc w:val="both"/>
        <w:ind w:left="40" w:right="739"/>
        <w:spacing w:after="0" w:line="264"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73"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requires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(i) the commencement of foreclosure or other proceedings to liquidate and collect on the collateral; (ii) the nature, timing and conduct of foreclosure or other collection proceedings; (iii) the amendment of any collateral document; (iv) the release of the security interests in respect of any collateral; and (v) the waiver of defaults under any security agreement. Because of the control we may cede to senior lenders under intercreditor agreements we may enter, we may be unable to realize the proceeds of any collateral securing some of our loans.</w:t>
      </w:r>
    </w:p>
    <w:p>
      <w:pPr>
        <w:spacing w:after="0" w:line="107"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b w:val="1"/>
          <w:bCs w:val="1"/>
          <w:i w:val="1"/>
          <w:iCs w:val="1"/>
          <w:color w:val="auto"/>
        </w:rPr>
        <w:t>If we make subordinated investments, the obligors or the portfolio companies may not generate sufficient cash flow to service their debt obligations to us.</w:t>
      </w:r>
    </w:p>
    <w:p>
      <w:pPr>
        <w:spacing w:after="0" w:line="62"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We have made, and may make, subordinated investments that rank below other obligations of the obligor in right of payment. Subordinated investments are subject to greater risk of default than senior obligations as a result of adverse changes in the financial condition of the obligor or economic conditions in general. If we make a subordinated investment in a portfolio company, the portfolio company may be highly leveraged, and its relatively high debt-to-equity ratio may create increased risks that its operations might not generate sufficient cash flow to service all of its debt obligations.</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disposition of our investments may result in contingent liabilities.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Substantially all of our investments involve loans and private securities. In connection with the disposition of an investment in loans and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126" w:lineRule="exact"/>
        <w:rPr>
          <w:sz w:val="20"/>
          <w:szCs w:val="20"/>
          <w:color w:val="auto"/>
        </w:rPr>
      </w:pPr>
    </w:p>
    <w:p>
      <w:pPr>
        <w:ind w:left="40" w:right="999"/>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6"/>
          <w:szCs w:val="16"/>
          <w:color w:val="auto"/>
        </w:rPr>
        <w:t>Even though we may have structured most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 Such risk of equitable subordination may be potentially heightened with respect to various portfolio investments that we may be deemed to control. See also “— 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Economic recessions could impair our portfolio companies and harm our operating results.</w:t>
      </w:r>
    </w:p>
    <w:p>
      <w:pPr>
        <w:spacing w:after="0" w:line="117"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Certain of our portfolio companies may be susceptible to an economic downturn and may be unable to repay our loans during this period. Therefore, assets may become non-performing and the value of our portfolio may decrease during this period. The adverse economic conditions also may decrease the value of collateral securing some of our loans and the value of our equity investments. A recession could lead to financial losses in our portfolio and a decrease in our revenues, net income and the value of our assets.</w:t>
      </w:r>
    </w:p>
    <w:p>
      <w:pPr>
        <w:spacing w:after="0" w:line="80"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Adverse economic conditions also may decrease the value of collateral securing some of our loans and the value of our equity investments at fair value.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79"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actually provided significant managerial assistance to that portfolio company, a bankruptcy court might re-characterize our debt holdings and subordinate all or a portion of our claim to that of other creditors.</w:t>
      </w:r>
    </w:p>
    <w:p>
      <w:pPr>
        <w:spacing w:after="0" w:line="59"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These portfolio companies may face intense competition, including competition from companies with greater financial resources, more extensive research and development, manufacturing, marketing and service capabilities and greater number of qualified and experienced managerial and technical personnel. They may need additional financing which they are unable to secure and which we are unable or unwilling to provide, or they may be subject to adverse developments unrelated to the technologies they acquire.</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The health and performance of our portfolio companies could be adversely affected by political and economic conditions in the countries in which they conduct business.</w:t>
      </w:r>
    </w:p>
    <w:p>
      <w:pPr>
        <w:spacing w:after="0" w:line="62"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Some of the products of our portfolio companies are developed, manufactured, assembled, tested or marketed outside the U.S. Any conflict or uncertainty in these countries, including due to natural disasters, public health concerns, political unrest or safety concerns, could harm their business, financial condition and results of operations. In addition, if the government of any country in which their products are developed, manufactured or sold sets technical or regulatory standards for products developed or manufactured in or imported into their country that are not widely shared, it may lead some of their customers to suspend imports of their products into that country, require manufacturers or developers in that country to manufacture or develop products with different technical or regulatory standards and disrupt cross-border manufacturing, marketing or business relationships which, in each case, could harm their businesses.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generally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Further, we may face other restrictions on our ability to liquidate an investment in a portfolio company to the extent that we have material non-public information regarding such portfolio company.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 xml:space="preserve">Following an initial investment in a portfolio company, we may make additional investments in that portfolio company as “follow-on” investments, in order to: (i) increase or maintain in whole or in part our equity ownership percentage; (ii) exercise warrants, options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convertible securities that were acquired in the original or a subsequent financing; or (iii) attempt to preserve or enhance the value of our investment. We may elect not to make follow-on investments or otherwise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 For example, we may be prohibited under the 1940 Act from making follow-on investments in our portfolio companies that we may be deemed to “control” or in which affiliates of our Investment Advisor are also invested.</w:t>
      </w:r>
    </w:p>
    <w:p>
      <w:pPr>
        <w:spacing w:after="0" w:line="99" w:lineRule="exact"/>
        <w:rPr>
          <w:sz w:val="20"/>
          <w:szCs w:val="20"/>
          <w:color w:val="auto"/>
        </w:rPr>
      </w:pPr>
    </w:p>
    <w:p>
      <w:pPr>
        <w:jc w:val="both"/>
        <w:ind w:left="40" w:right="659"/>
        <w:spacing w:after="0" w:line="264" w:lineRule="auto"/>
        <w:rPr>
          <w:sz w:val="20"/>
          <w:szCs w:val="20"/>
          <w:color w:val="auto"/>
        </w:rPr>
      </w:pPr>
      <w:r>
        <w:rPr>
          <w:rFonts w:ascii="Arial" w:cs="Arial" w:eastAsia="Arial" w:hAnsi="Arial"/>
          <w:sz w:val="18"/>
          <w:szCs w:val="18"/>
          <w:b w:val="1"/>
          <w:bCs w:val="1"/>
          <w:i w:val="1"/>
          <w:iCs w:val="1"/>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73"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We are prohibited under the 1940 Act from participating in certain transactions with our affiliates without the prior approval of our independent directors and, in some cases, the Securities Exchange Commission (“SEC”). Any person that owns, directly or indirectly, 5% or more of our outstanding voting securities will be our affiliate for purposes of the 1940 Act and we are generally prohibited from buying or selling any security from or to such affiliate without the prior approval of our independent directors. The 1940 Act also prohibits certain “joint” transactions with certain of our affiliates, which could include concurrent investments in the same company, without prior approval of our independent directors and, in some cases, the SEC. We are prohibited from buying or selling any security from or to any person that controls us or who owns more than 25% of our voting securities or certain of that person’s affiliates, or entering into prohibited joint transactions with such persons, absent the prior approval of the SEC. As a result of these restrictions, we may be</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color w:val="auto"/>
        </w:rPr>
        <w:t>prohibited from buying or selling any security (other than any security of which we are the issuer) from or to any company that is advised or managed by our Investment Advisor or its affiliates without the prior approval of the SEC, which may limit the scope of investment opportunities that would otherwise be available to us.</w:t>
      </w:r>
    </w:p>
    <w:p>
      <w:pPr>
        <w:spacing w:after="0" w:line="73" w:lineRule="exact"/>
        <w:rPr>
          <w:sz w:val="20"/>
          <w:szCs w:val="20"/>
          <w:color w:val="auto"/>
        </w:rPr>
      </w:pPr>
    </w:p>
    <w:p>
      <w:pPr>
        <w:ind w:left="40" w:right="899" w:firstLine="270"/>
        <w:spacing w:after="0" w:line="271" w:lineRule="auto"/>
        <w:rPr>
          <w:sz w:val="20"/>
          <w:szCs w:val="20"/>
          <w:color w:val="auto"/>
        </w:rPr>
      </w:pPr>
      <w:r>
        <w:rPr>
          <w:rFonts w:ascii="Arial" w:cs="Arial" w:eastAsia="Arial" w:hAnsi="Arial"/>
          <w:sz w:val="17"/>
          <w:szCs w:val="17"/>
          <w:color w:val="auto"/>
        </w:rPr>
        <w:t>In the future, we may co-invest with investment funds, accounts and vehicles managed by our Investment Advisor or its affiliates when doing so is consistent with our investment strategy as well as applicable law and SEC staff interpretations. We generally will only be permitted to co-invest with such investment funds, accounts and vehicles where the only term that is negotiated is price. On June 1, 2016, the SEC issued an exemptive order permitting us and certain of our affiliates, to co-invest together in portfolio companies subject to certain conditions included therein. We expect that this order will permit greater flexibility to negotiate the terms of co-investments with investment funds, accounts and investment vehicles managed by our Investment Advisor or its affiliates in a manner consistent with our investment objective, positions, policies, strategies and restrictions as well as regulatory requirements and other pertinent factors.</w:t>
      </w:r>
    </w:p>
    <w:p>
      <w:pPr>
        <w:spacing w:after="0" w:line="71"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In addition, within our portfolio there are investments that may be deemed to be “controlled” investments under the 1940 Act. To the extent that our investments in such portfolio companies need to be restructured or that we choose to exit these investments in the future, our ability to do so may be limited if such restructuring or exit also involves the affiliates of our Investment Advisor because such a transaction could be considered a joint transaction prohibited by the 1940 Act in the absence of our receipt of relief from the SEC in connection with such transaction. For example, if an affiliate of our Investment Advisor were required to approve a restructuring of an investment in the portfolio and the affiliate of our Investment Advisor was deemed to be our affiliate, such a restructuring transaction may constitute a prohibited joint transaction under the 1940 Act.</w:t>
      </w:r>
    </w:p>
    <w:p>
      <w:pPr>
        <w:spacing w:after="0" w:line="86" w:lineRule="exact"/>
        <w:rPr>
          <w:sz w:val="20"/>
          <w:szCs w:val="20"/>
          <w:color w:val="auto"/>
        </w:rPr>
      </w:pPr>
    </w:p>
    <w:p>
      <w:pPr>
        <w:ind w:left="40" w:right="799"/>
        <w:spacing w:after="0" w:line="308" w:lineRule="auto"/>
        <w:rPr>
          <w:sz w:val="20"/>
          <w:szCs w:val="20"/>
          <w:color w:val="auto"/>
        </w:rPr>
      </w:pPr>
      <w:r>
        <w:rPr>
          <w:rFonts w:ascii="Arial" w:cs="Arial" w:eastAsia="Arial" w:hAnsi="Arial"/>
          <w:sz w:val="17"/>
          <w:szCs w:val="17"/>
          <w:b w:val="1"/>
          <w:bCs w:val="1"/>
          <w:i w:val="1"/>
          <w:iCs w:val="1"/>
          <w:color w:val="auto"/>
        </w:rPr>
        <w:t>Our portfolio may lack diversification among portfolio companies, which may subject us to a risk of significant loss if one or more of these companies defaults on its obligations under any of its debt instruments.</w:t>
      </w:r>
    </w:p>
    <w:p>
      <w:pPr>
        <w:spacing w:after="0" w:line="38"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Our portfolio may be concentrated in a limited number of portfolio companies. Beyond the asset diversification requirements associated with our RIC tax treatment under the Code, we do not have fixed guidelines for diversification, and our investments may be concentrated in relatively few companies. As our portfolio is less diversified than the portfolios of some larger funds, we are more susceptible to failure if a single loan fails. The disposition or liquidity of a significant investment may also adversely impact our net asset value and our results of operations. Similarly, the aggregate returns we realize may be significantly adversely affected if a small number of investments perform poorly or if we need to write down the value of any one investment.</w:t>
      </w:r>
    </w:p>
    <w:p>
      <w:pPr>
        <w:spacing w:after="0" w:line="97"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62"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We are classified as a non-diversified investment company within the meaning of the 1940 Act, which means that we are not limited by the 1940 Act with respect to the proportion of our assets that we may invest in securities of a single issuer. Beyond the asset diversification requirements associated with our RIC tax treatment under the Code, we do not have fixed guidelines for diversification. To the extent that we assume large positions in the securities of a small number of issuers or our investments are concentrated in relatively few industries,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w:t>
      </w:r>
    </w:p>
    <w:p>
      <w:pPr>
        <w:spacing w:after="0" w:line="110" w:lineRule="exact"/>
        <w:rPr>
          <w:sz w:val="20"/>
          <w:szCs w:val="20"/>
          <w:color w:val="auto"/>
        </w:rPr>
      </w:pPr>
    </w:p>
    <w:p>
      <w:pPr>
        <w:ind w:left="40" w:right="579"/>
        <w:spacing w:after="0" w:line="308" w:lineRule="auto"/>
        <w:rPr>
          <w:sz w:val="20"/>
          <w:szCs w:val="20"/>
          <w:color w:val="auto"/>
        </w:rPr>
      </w:pPr>
      <w:r>
        <w:rPr>
          <w:rFonts w:ascii="Arial" w:cs="Arial" w:eastAsia="Arial" w:hAnsi="Arial"/>
          <w:sz w:val="17"/>
          <w:szCs w:val="17"/>
          <w:b w:val="1"/>
          <w:bCs w:val="1"/>
          <w:i w:val="1"/>
          <w:iCs w:val="1"/>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38"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Our portfolio may be concentrated in a limited number of industries. A downturn in any particular industry in which we are invested could significantly impact the aggregate returns we realize. If an industry in which we have significant investments suffers from adverse business or economic conditions, as these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19"/>
        <w:spacing w:after="0" w:line="277" w:lineRule="auto"/>
        <w:rPr>
          <w:sz w:val="20"/>
          <w:szCs w:val="20"/>
          <w:color w:val="auto"/>
        </w:rPr>
      </w:pPr>
      <w:r>
        <w:rPr>
          <w:rFonts w:ascii="Arial" w:cs="Arial" w:eastAsia="Arial" w:hAnsi="Arial"/>
          <w:sz w:val="18"/>
          <w:szCs w:val="18"/>
          <w:color w:val="auto"/>
        </w:rPr>
        <w:t>industries have to varying degrees, a material portion of our investment portfolio could be affected adversely, which, in turn, could adversely affect our financial position and results of operations.</w:t>
      </w:r>
    </w:p>
    <w:p>
      <w:pPr>
        <w:spacing w:after="0" w:line="89" w:lineRule="exact"/>
        <w:rPr>
          <w:sz w:val="20"/>
          <w:szCs w:val="20"/>
          <w:color w:val="auto"/>
        </w:rPr>
      </w:pPr>
    </w:p>
    <w:p>
      <w:pPr>
        <w:jc w:val="both"/>
        <w:ind w:left="40" w:right="619"/>
        <w:spacing w:after="0" w:line="264" w:lineRule="auto"/>
        <w:rPr>
          <w:sz w:val="20"/>
          <w:szCs w:val="20"/>
          <w:color w:val="auto"/>
        </w:rPr>
      </w:pPr>
      <w:r>
        <w:rPr>
          <w:rFonts w:ascii="Arial" w:cs="Arial" w:eastAsia="Arial" w:hAnsi="Arial"/>
          <w:sz w:val="18"/>
          <w:szCs w:val="18"/>
          <w:b w:val="1"/>
          <w:bCs w:val="1"/>
          <w:i w:val="1"/>
          <w:iCs w:val="1"/>
          <w:color w:val="auto"/>
        </w:rPr>
        <w:t>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73"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We currently hold controlling equity positions in seven portfolio companies. Although we may do so in the future, we expect that we will not hold controlling equity positions in most of our portfolio companies. If we do not hold a controlling equity position in a portfolio company, we are subject to the risk that the portfolio company may make business decisions with which we disagree, and that the management and/or stockholders of the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10"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b w:val="1"/>
          <w:bCs w:val="1"/>
          <w:i w:val="1"/>
          <w:iCs w:val="1"/>
          <w:color w:val="auto"/>
        </w:rPr>
        <w:t>Our equity ownership in a portfolio company may represent a control investment. Our ability to exit a control investment in a timely manner could result in a realized loss on the investment.</w:t>
      </w:r>
    </w:p>
    <w:p>
      <w:pPr>
        <w:spacing w:after="0" w:line="62"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We currently have, and may acquire in the future, control investments in portfolio companies. Our ability to divest ourselves from a debt or equity investment in a controlled portfolio company could be restricted due to illiquidity in a private stock, limited trading volume on a public company’s stock, inside information on a company’s performance, insider blackout periods, or other factors that could prohibit us from disposing of the investment as we would if it were not a control investment. Additionally, we may choose not to take certain actions to protect a debt investment in a control investment portfolio company. As a result, we could experience a decrease in the value of our portfolio company holdings and potentially incur a realized loss on the investment.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If the assets securing the loans that we make decrease in value, then we may lack sufficient collateral to cover losses.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attempt to mitigate credit risks, we will typically take a security interest in the available assets of our portfolio companies.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is no assurance that we will obtain or properly perfect our liens.</w:t>
      </w:r>
    </w:p>
    <w:p>
      <w:pPr>
        <w:spacing w:after="0" w:line="103"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a portfolio company to raise additional capital. In some circumstances, our lien could be subordinated to claims of other creditors. Consequently, the fact that a loan is secured does not guarantee that we will receive principal and interest payments according to the loan’s terms, or that we will be able to collect on the loan should we be forced to enforce our remedies.</w:t>
      </w:r>
    </w:p>
    <w:p>
      <w:pPr>
        <w:spacing w:after="0" w:line="50"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In addition, because we may invest in technology-related companies, a substantial portion of the assets securing our investment may be in the form of intellectual property, if any, inventory and equipment and, to a lesser extent, cash and accounts receivable. Intellectual property, if any, that is securing our loan could lose value if, among other things, the company’s rights to the intellectual property are challenged or if the company’s license to the intellectual property is revoked or expires, the technology fails to achieve its intended results or a new technology makes the intellectual property functionally obsolete. Inventory may not be adequate to secure our loan if our valuation of the inventory at the time that we made the loan was not accurate or if there is a reduction in the demand for the inventory.</w:t>
      </w:r>
    </w:p>
    <w:p>
      <w:pPr>
        <w:spacing w:after="0" w:line="81"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Similarly, any equipment securing our loan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17"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termination of its loans and foreclosure on its secured assets, which</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91" w:lineRule="auto"/>
        <w:rPr>
          <w:sz w:val="20"/>
          <w:szCs w:val="20"/>
          <w:color w:val="auto"/>
        </w:rPr>
      </w:pPr>
      <w:r>
        <w:rPr>
          <w:rFonts w:ascii="Arial" w:cs="Arial" w:eastAsia="Arial" w:hAnsi="Arial"/>
          <w:sz w:val="16"/>
          <w:szCs w:val="16"/>
          <w:color w:val="auto"/>
        </w:rPr>
        <w:t>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Any extension or restructuring of our loans could adversely affect our cash flows. In addition, 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If any of these occur, it could materially and adversely affect our operating results and cash flows.</w:t>
      </w:r>
    </w:p>
    <w:p>
      <w:pPr>
        <w:spacing w:after="0" w:line="86" w:lineRule="exact"/>
        <w:rPr>
          <w:sz w:val="20"/>
          <w:szCs w:val="20"/>
          <w:color w:val="auto"/>
        </w:rPr>
      </w:pPr>
    </w:p>
    <w:p>
      <w:pPr>
        <w:ind w:left="40" w:right="779"/>
        <w:spacing w:after="0" w:line="286" w:lineRule="auto"/>
        <w:rPr>
          <w:sz w:val="20"/>
          <w:szCs w:val="20"/>
          <w:color w:val="auto"/>
        </w:rPr>
      </w:pPr>
      <w:r>
        <w:rPr>
          <w:rFonts w:ascii="Arial" w:cs="Arial" w:eastAsia="Arial" w:hAnsi="Arial"/>
          <w:sz w:val="17"/>
          <w:szCs w:val="17"/>
          <w:b w:val="1"/>
          <w:bCs w:val="1"/>
          <w:i w:val="1"/>
          <w:iCs w:val="1"/>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57"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07"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b w:val="1"/>
          <w:bCs w:val="1"/>
          <w:i w:val="1"/>
          <w:iCs w:val="1"/>
          <w:color w:val="auto"/>
        </w:rPr>
        <w:t>Any unrealized depreciation we experience on our loan portfolio may be an indication of future realized losses, which could reduce our income available for distribution.</w:t>
      </w:r>
    </w:p>
    <w:p>
      <w:pPr>
        <w:spacing w:after="0" w:line="62"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As a BDC, we are required to carry our investments at market value or, if no market value is ascertainable, at the fair value as determined in good faith by our Board. Decreases in the market values or fair values of our investments will be recorded as unrealized depreciation. Any unrealized depreciation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05"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Prepayments of our debt investments by our portfolio companies could adversely impact our results of operations and reduce our return on equity.</w:t>
      </w:r>
    </w:p>
    <w:p>
      <w:pPr>
        <w:spacing w:after="0" w:line="62"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are subject to the risk that the investments we make in our portfolio companies may be repaid prior to maturity. When this occurs, we will generally reinvest these proceeds in temporary investments or repay any revolving credit facility, depending on expected future investment in new portfolio companies.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Certain investments that we may make include warrants or other equity securities.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often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80" w:lineRule="exact"/>
        <w:rPr>
          <w:sz w:val="20"/>
          <w:szCs w:val="20"/>
          <w:color w:val="auto"/>
        </w:rPr>
      </w:pPr>
    </w:p>
    <w:p>
      <w:pPr>
        <w:ind w:left="40" w:right="659" w:firstLine="270"/>
        <w:spacing w:after="0" w:line="288" w:lineRule="auto"/>
        <w:rPr>
          <w:sz w:val="20"/>
          <w:szCs w:val="20"/>
          <w:color w:val="auto"/>
        </w:rPr>
      </w:pPr>
      <w:r>
        <w:rPr>
          <w:rFonts w:ascii="Arial" w:cs="Arial" w:eastAsia="Arial" w:hAnsi="Arial"/>
          <w:sz w:val="16"/>
          <w:szCs w:val="16"/>
          <w:color w:val="auto"/>
        </w:rPr>
        <w:t>The SEC has proposed a new rule under the 1940 Act that would govern the use of derivatives (defined to include any swap, security-based swap, futures contract, forward contract, option or any similar instrument) as well as financial commitment transactions (defined to include reverse repurchase agreements, short sale borrowings and any firm or standby commitment agreement or similar agreement) by BDCs. Under the proposed rule, a BDC would be required to comply with one of two alternative portfolio limitations and manage the risks associated with derivatives transactions and financial commitment transactions by segregating certain assets. Furthermore, a BDC that engages in more than a limited amount of derivatives transactions or that uses complex derivatives would be required to establish a formalized derivatives risk management program. If the SEC adopts this rule in the form proposed, we may incur greater and indirect costs to engage in derivatives transactions or financial commitment transactions, and our ability to enter into transactions involving such instruments may be hindered, which could have an adverse effect on our business, financial condition and results of operations.</w:t>
      </w:r>
    </w:p>
    <w:p>
      <w:pPr>
        <w:spacing w:after="0" w:line="102" w:lineRule="exact"/>
        <w:rPr>
          <w:sz w:val="20"/>
          <w:szCs w:val="20"/>
          <w:color w:val="auto"/>
        </w:rPr>
      </w:pPr>
    </w:p>
    <w:p>
      <w:pPr>
        <w:ind w:left="40" w:right="819"/>
        <w:spacing w:after="0" w:line="277" w:lineRule="auto"/>
        <w:rPr>
          <w:sz w:val="20"/>
          <w:szCs w:val="20"/>
          <w:color w:val="auto"/>
        </w:rPr>
      </w:pPr>
      <w:r>
        <w:rPr>
          <w:rFonts w:ascii="Arial" w:cs="Arial" w:eastAsia="Arial" w:hAnsi="Arial"/>
          <w:sz w:val="18"/>
          <w:szCs w:val="18"/>
          <w:b w:val="1"/>
          <w:bCs w:val="1"/>
          <w:i w:val="1"/>
          <w:iCs w:val="1"/>
          <w:color w:val="auto"/>
        </w:rPr>
        <w:t>The interest rates of our term loans to our portfolio companies that extend beyond 2021 might be subject to change based on recent regulatory changes.</w:t>
      </w:r>
    </w:p>
    <w:p>
      <w:pPr>
        <w:spacing w:after="0" w:line="62"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LIBOR, the London Interbank Offered Rate,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portfolio company is calculated using LIBOR. Some of our term loan agreements with portfolio companies contain a stated minimum value for LIBOR.</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On July 27, 2017, the United Kingdom's Financial Conduct Authority, which regulates LIBOR, announced that it intends to phase out LIBOR by the end of 2021. It is unclear if at that time whether or not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The future of LIBOR at this time is uncertain. If LIBOR ceases to exist, we may need to renegotiate the credit agreements extending beyond 2021 with our portfolio companies that utilize LIBOR as a factor in determining the interest rate to replace LIBOR with the new standard that is established.</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left="40" w:right="679" w:firstLine="270"/>
        <w:spacing w:after="0" w:line="270" w:lineRule="auto"/>
        <w:rPr>
          <w:sz w:val="20"/>
          <w:szCs w:val="20"/>
          <w:color w:val="auto"/>
        </w:rPr>
      </w:pPr>
      <w:r>
        <w:rPr>
          <w:rFonts w:ascii="Arial" w:cs="Arial" w:eastAsia="Arial" w:hAnsi="Arial"/>
          <w:sz w:val="17"/>
          <w:szCs w:val="17"/>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 Energy companies could also be affected by the potential for lawsuits against or taxes or other regulatory costs imposed on greenhouse gas emitters, based on links drawn between greenhouse gas emissions and climate change.</w:t>
      </w:r>
    </w:p>
    <w:p>
      <w:pPr>
        <w:spacing w:after="0" w:line="70"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In December 2015 the United Nations, of which the U.S. is a member, adopted a climate accord (the “Paris Agreement”) with the long-term goal of limiting global warming and the short-term goal of significantly reducing greenhouse gas emissions. Although the U.S. ratified the Paris Agreement on November 4, 2016, the current administration announced the U.S. would cease participation. As a result, some of our portfolio companies may become subject to new or strengthened regulations or legislation, at least through November 4, 2020 (the earliest date the U.S. may withdraw from the Paris Agreement), which could increase their operating costs and/or decrease their revenues.</w:t>
      </w:r>
    </w:p>
    <w:p>
      <w:pPr>
        <w:spacing w:after="0" w:line="111"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62"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We structure the debt investments in our portfolio companies to include business and financial covenants placing affirmative and negative obligations on the operation of the company’s business and its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our receiving the full amount of future payments of interest or principal and be accompanied by a deterioration in the value of the underlying collateral as many of these companies may have limited financial resources, may be unable to meet future obligations and may go bankrupt. This could negatively impact our ability to pay dividends, could adversely affect our results of operations and financial condition and cause the loss of all or part of your investment.</w:t>
      </w:r>
    </w:p>
    <w:p>
      <w:pPr>
        <w:spacing w:after="0" w:line="130" w:lineRule="exact"/>
        <w:rPr>
          <w:sz w:val="20"/>
          <w:szCs w:val="20"/>
          <w:color w:val="auto"/>
        </w:rPr>
      </w:pPr>
    </w:p>
    <w:p>
      <w:pPr>
        <w:ind w:left="40" w:right="759"/>
        <w:spacing w:after="0" w:line="375" w:lineRule="auto"/>
        <w:rPr>
          <w:sz w:val="20"/>
          <w:szCs w:val="20"/>
          <w:color w:val="auto"/>
        </w:rPr>
      </w:pPr>
      <w:r>
        <w:rPr>
          <w:rFonts w:ascii="Arial" w:cs="Arial" w:eastAsia="Arial" w:hAnsi="Arial"/>
          <w:sz w:val="15"/>
          <w:szCs w:val="15"/>
          <w:b w:val="1"/>
          <w:bCs w:val="1"/>
          <w:i w:val="1"/>
          <w:iCs w:val="1"/>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pacing w:after="0" w:line="1"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The securities that we invest in are typically rated below investment grade. Securities rated below investment grade are often referred to as “leveraged loans,” “high yield” or “junk” securities, and may be considered “high risk” compared to debt instruments that are rated investment grade. High yield securities are regarded as having predominantly speculative characteristics with respect to the issuer’s capacity to pay interest and repay principal in accordance with the terms of the obligations and involve major risk exposure to adverse conditions. In addition, high yield securities generally offer a higher current yield than that available</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57" w:lineRule="auto"/>
        <w:rPr>
          <w:sz w:val="20"/>
          <w:szCs w:val="20"/>
          <w:color w:val="auto"/>
        </w:rPr>
      </w:pPr>
      <w:r>
        <w:rPr>
          <w:rFonts w:ascii="Arial" w:cs="Arial" w:eastAsia="Arial" w:hAnsi="Arial"/>
          <w:sz w:val="18"/>
          <w:szCs w:val="18"/>
          <w:color w:val="auto"/>
        </w:rPr>
        <w:t>from higher grade issues, but typically involve greater risk. These securities are especially sensitive to adverse changes in general economic conditions, to changes in the financial condition of their issuers and to price fluctuation in response to changes in interest rates. During periods of economic downturn or rising interest rates, issuers of below investment grade instruments may experience financial stress that could adversely affect their ability to make payments of principal and interest and increase the possibility of default.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investments may be in portfolio companies which may have limited operating histories and financial resources.</w:t>
      </w:r>
    </w:p>
    <w:p>
      <w:pPr>
        <w:spacing w:after="0" w:line="129"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We expect that our portfolio will continue to consist of investments that may have relatively limited operating histories. These companies may be particularly vulnerable to U.S. and foreign economic downturns such as the current recession and European financial crisis, may have more limited access to capital and higher funding costs, may have a weaker financial position and may need more capital to expand or compete. These businesses also may experience substantial variations in operating results. They may face intense competition, including from companies with greater financial, technical and marketing resources. Furthermore, some of these companies do business in regulated industries and could be affected by changes in government regulation. Accordingly, these factors could impair their cash flow or result in other events, such as bankruptcy, which could limit their ability to repay their obligations to us, and may adversely affect the return on, or the recovery of, our investment in these companies. We cannot assure you that any of our investments in our portfolio companies will be successful. Our portfolio companies compete with larger, more established companies with greater access to, and resources for, further development in these new technologies. We may lose our entire investment in any or all of our portfolio companies.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Relating to our Securities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40" w:right="1019" w:firstLine="270"/>
        <w:spacing w:after="0" w:line="264" w:lineRule="auto"/>
        <w:rPr>
          <w:sz w:val="20"/>
          <w:szCs w:val="20"/>
          <w:color w:val="auto"/>
        </w:rPr>
      </w:pPr>
      <w:r>
        <w:rPr>
          <w:rFonts w:ascii="Arial" w:cs="Arial" w:eastAsia="Arial" w:hAnsi="Arial"/>
          <w:sz w:val="18"/>
          <w:szCs w:val="18"/>
          <w:color w:val="auto"/>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spacing w:after="0" w:line="73" w:lineRule="exact"/>
        <w:rPr>
          <w:sz w:val="20"/>
          <w:szCs w:val="20"/>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117"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RICs, BDCs or SBICs;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to qualify as a RIC, or the loss of RIC tax treatment;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shortfall in revenue or net income or any increase in losses from levels expected by investors or securities analysts;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departures of the Investment Advisor’s key personnel;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conditions and trends and other external factors.</w:t>
      </w:r>
    </w:p>
    <w:p>
      <w:pPr>
        <w:spacing w:after="0" w:line="144" w:lineRule="exact"/>
        <w:rPr>
          <w:sz w:val="20"/>
          <w:szCs w:val="20"/>
          <w:color w:val="auto"/>
        </w:rPr>
      </w:pPr>
    </w:p>
    <w:p>
      <w:pPr>
        <w:ind w:left="40" w:right="539"/>
        <w:spacing w:after="0" w:line="375" w:lineRule="auto"/>
        <w:rPr>
          <w:sz w:val="20"/>
          <w:szCs w:val="20"/>
          <w:color w:val="auto"/>
        </w:rPr>
      </w:pPr>
      <w:r>
        <w:rPr>
          <w:rFonts w:ascii="Arial" w:cs="Arial" w:eastAsia="Arial" w:hAnsi="Arial"/>
          <w:sz w:val="15"/>
          <w:szCs w:val="15"/>
          <w:b w:val="1"/>
          <w:bCs w:val="1"/>
          <w:i w:val="1"/>
          <w:iCs w:val="1"/>
          <w:color w:val="auto"/>
        </w:rPr>
        <w:t>Our business and operation could be negatively affected if we become subject to any securities litigation or stockholder activism, which could cause us to incur significant expense, hinder execution of investment strategy and impact our stock price.</w:t>
      </w:r>
    </w:p>
    <w:p>
      <w:pPr>
        <w:spacing w:after="0" w:line="1" w:lineRule="exact"/>
        <w:rPr>
          <w:sz w:val="20"/>
          <w:szCs w:val="20"/>
          <w:color w:val="auto"/>
        </w:rPr>
      </w:pPr>
    </w:p>
    <w:p>
      <w:pPr>
        <w:jc w:val="both"/>
        <w:ind w:left="40" w:right="859" w:firstLine="270"/>
        <w:spacing w:after="0" w:line="286"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brought against that company. Stockholder activism, which could take many forms or arise in a variety of situations, increased in the BDC space recently. Specifically, we are currently subject to class action litigation.</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 xml:space="preserve">On December 28, 2017, an alleged stockholder filed a putative class action lawsuit complaint, </w:t>
      </w:r>
      <w:r>
        <w:rPr>
          <w:rFonts w:ascii="Arial" w:cs="Arial" w:eastAsia="Arial" w:hAnsi="Arial"/>
          <w:sz w:val="16"/>
          <w:szCs w:val="16"/>
          <w:i w:val="1"/>
          <w:iCs w:val="1"/>
          <w:color w:val="auto"/>
        </w:rPr>
        <w:t>Paskowitz v. Capitala Finance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 et al., </w:t>
      </w:r>
      <w:r>
        <w:rPr>
          <w:rFonts w:ascii="Arial" w:cs="Arial" w:eastAsia="Arial" w:hAnsi="Arial"/>
          <w:sz w:val="16"/>
          <w:szCs w:val="16"/>
          <w:color w:val="auto"/>
        </w:rPr>
        <w:t>in the United States District Court for the Central District of California (case number 2:17-cv-09251-MWF-AS)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Paskowitz</w:t>
      </w:r>
      <w:r>
        <w:rPr>
          <w:rFonts w:ascii="Arial" w:cs="Arial" w:eastAsia="Arial" w:hAnsi="Arial"/>
          <w:sz w:val="16"/>
          <w:szCs w:val="16"/>
          <w:color w:val="auto"/>
        </w:rPr>
        <w:t xml:space="preserve"> Action</w:t>
      </w:r>
      <w:r>
        <w:rPr>
          <w:rFonts w:ascii="Arial" w:cs="Arial" w:eastAsia="Arial" w:hAnsi="Arial"/>
          <w:sz w:val="16"/>
          <w:szCs w:val="16"/>
          <w:i w:val="1"/>
          <w:iCs w:val="1"/>
          <w:color w:val="auto"/>
        </w:rPr>
        <w:t>”),</w:t>
      </w:r>
      <w:r>
        <w:rPr>
          <w:rFonts w:ascii="Arial" w:cs="Arial" w:eastAsia="Arial" w:hAnsi="Arial"/>
          <w:sz w:val="16"/>
          <w:szCs w:val="16"/>
          <w:color w:val="auto"/>
        </w:rPr>
        <w:t xml:space="preserve"> against the Company and certain of its current officers on behalf of all persons who purchased or otherwise acquired the Company’s common stock between January 4, 2016 and August 7, 2017. On January 3, 2018, another alleged stockholder filed a putative class action complaint, </w:t>
      </w:r>
      <w:r>
        <w:rPr>
          <w:rFonts w:ascii="Arial" w:cs="Arial" w:eastAsia="Arial" w:hAnsi="Arial"/>
          <w:sz w:val="16"/>
          <w:szCs w:val="16"/>
          <w:i w:val="1"/>
          <w:iCs w:val="1"/>
          <w:color w:val="auto"/>
        </w:rPr>
        <w:t>Sandifer v. Capitala Finance Corp., et al.,</w:t>
      </w:r>
      <w:r>
        <w:rPr>
          <w:rFonts w:ascii="Arial" w:cs="Arial" w:eastAsia="Arial" w:hAnsi="Arial"/>
          <w:sz w:val="16"/>
          <w:szCs w:val="16"/>
          <w:color w:val="auto"/>
        </w:rPr>
        <w:t xml:space="preserve"> in the United States District Court for the Central District of California (case number 2:18-cv-00052-MWF-AS) (the “</w:t>
      </w:r>
      <w:r>
        <w:rPr>
          <w:rFonts w:ascii="Arial" w:cs="Arial" w:eastAsia="Arial" w:hAnsi="Arial"/>
          <w:sz w:val="16"/>
          <w:szCs w:val="16"/>
          <w:i w:val="1"/>
          <w:iCs w:val="1"/>
          <w:color w:val="auto"/>
        </w:rPr>
        <w:t>Sandifer</w:t>
      </w:r>
      <w:r>
        <w:rPr>
          <w:rFonts w:ascii="Arial" w:cs="Arial" w:eastAsia="Arial" w:hAnsi="Arial"/>
          <w:sz w:val="16"/>
          <w:szCs w:val="16"/>
          <w:color w:val="auto"/>
        </w:rPr>
        <w:t xml:space="preserve"> Action”), asserting substantially similar claims on behalf of the same putative class and against the same defendants. The complaints in the </w:t>
      </w:r>
      <w:r>
        <w:rPr>
          <w:rFonts w:ascii="Arial" w:cs="Arial" w:eastAsia="Arial" w:hAnsi="Arial"/>
          <w:sz w:val="16"/>
          <w:szCs w:val="16"/>
          <w:i w:val="1"/>
          <w:iCs w:val="1"/>
          <w:color w:val="auto"/>
        </w:rPr>
        <w:t>Paskowitz</w:t>
      </w:r>
      <w:r>
        <w:rPr>
          <w:rFonts w:ascii="Arial" w:cs="Arial" w:eastAsia="Arial" w:hAnsi="Arial"/>
          <w:sz w:val="16"/>
          <w:szCs w:val="16"/>
          <w:color w:val="auto"/>
        </w:rPr>
        <w:t xml:space="preserve"> Action and the </w:t>
      </w:r>
      <w:r>
        <w:rPr>
          <w:rFonts w:ascii="Arial" w:cs="Arial" w:eastAsia="Arial" w:hAnsi="Arial"/>
          <w:sz w:val="16"/>
          <w:szCs w:val="16"/>
          <w:i w:val="1"/>
          <w:iCs w:val="1"/>
          <w:color w:val="auto"/>
        </w:rPr>
        <w:t xml:space="preserve">Sandifer </w:t>
      </w:r>
      <w:r>
        <w:rPr>
          <w:rFonts w:ascii="Arial" w:cs="Arial" w:eastAsia="Arial" w:hAnsi="Arial"/>
          <w:sz w:val="16"/>
          <w:szCs w:val="16"/>
          <w:color w:val="auto"/>
        </w:rPr>
        <w:t>Action allege certain violations of the securities laws, including, inter alia, that the defendants made certain materially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false and misleading statements and omissions regarding the Company’s business, operations, and prospects. On February 2, 2018, the </w:t>
      </w:r>
      <w:r>
        <w:rPr>
          <w:rFonts w:ascii="Arial" w:cs="Arial" w:eastAsia="Arial" w:hAnsi="Arial"/>
          <w:sz w:val="16"/>
          <w:szCs w:val="16"/>
          <w:i w:val="1"/>
          <w:iCs w:val="1"/>
          <w:color w:val="auto"/>
        </w:rPr>
        <w:t>Sandifer</w:t>
      </w:r>
      <w:r>
        <w:rPr>
          <w:rFonts w:ascii="Arial" w:cs="Arial" w:eastAsia="Arial" w:hAnsi="Arial"/>
          <w:sz w:val="16"/>
          <w:szCs w:val="16"/>
          <w:color w:val="auto"/>
        </w:rPr>
        <w:t xml:space="preserve"> Action was transferred, on stipulation of the parties, to the United States District Court for the Western District of North Carolina on February 2, 2018, which remains pending. While the Company intends to vigorously defend itself in this litigation, the outcome of these legal proceedings cannot be predicted with certainty.</w:t>
      </w:r>
    </w:p>
    <w:p>
      <w:pPr>
        <w:spacing w:after="0" w:line="61"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adversely affect the Company’s financial condition, results of operations or cash flows in any particular reporting period.</w:t>
      </w:r>
    </w:p>
    <w:p>
      <w:pPr>
        <w:spacing w:after="0" w:line="65"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Securities litigation and corresponding stockholder activism, if any,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Investing in our common stock may involve an above average degree of risk.</w:t>
      </w:r>
    </w:p>
    <w:p>
      <w:pPr>
        <w:spacing w:after="0" w:line="117"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The investments we make may result in a higher amount of risk, volatility, or loss of principal than alternative investment options. These investments in portfolio companies may be highly speculative and aggressive, and therefore, an investment in our common stock may not be suitable for investors with lower risk tolerance.</w:t>
      </w:r>
    </w:p>
    <w:p>
      <w:pPr>
        <w:spacing w:after="0" w:line="114"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b w:val="1"/>
          <w:bCs w:val="1"/>
          <w:i w:val="1"/>
          <w:iCs w:val="1"/>
          <w:color w:val="auto"/>
        </w:rPr>
        <w:t>Our shares of common stock have a limited trading history and we cannot assure you that the market price of shares of our common stock will not decline.</w:t>
      </w:r>
    </w:p>
    <w:p>
      <w:pPr>
        <w:spacing w:after="0" w:line="62"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Our shares of common stock have a limited trading history and we cannot assure you that a public trading market will be sustained for such shares. We cannot predict the prices at which our common stock will trade. We cannot assure you that the market price of shares of our common stock will not decline at any time. In addition, our common stock has from time to time traded below its net asset value since our inception and if our common stock continues to trade below its net asset value, we will generally not be able to sell additional shares of our common stock to the public at its market price without first obtaining the approval of our stockholders (including our unaffiliated stockholders) and our independent directors for such issuance.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Our common stockholders will bear the expenses associated with our borrowings, and the holders of our debt securities will have certain rights senior to our common stockholders.</w:t>
      </w:r>
    </w:p>
    <w:p>
      <w:pPr>
        <w:spacing w:after="0" w:line="62"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All of the costs of offering and servicing our debt securities, including interest thereon, is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spacing w:after="0" w:line="91"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 may have an adverse effect on the market price of our common stock.</w:t>
      </w:r>
    </w:p>
    <w:p>
      <w:pPr>
        <w:spacing w:after="0" w:line="62"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Shares of our common stock have traded at a discount from net asset value and may do so in the future.</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Shares of closed-end investment companies have frequently traded at a market price that is less than the net asset value that is attributable to those shares. In part as a result of adverse economic conditions and increasing pressure within the financial sector of which we are a part, our common stock has at times traded below its net asset value per share since our IPO on September 30, 2013. Our shares could continue trade at a discount to net asset value. The possibility that our shares of common stock may trade at a discount from net asset value over the long term is separate and distinct from the risk that our net asset value will decrease. We cannot predict whether shares of our common stock will trade above, at or below its net asset value. If our common stock trades below its net asset value,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97"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or our distributions may decline or may not grow over time, and you will experience dilution in your ownership percentage if you opt out of our dividend reinvestment plan.</w:t>
      </w:r>
    </w:p>
    <w:p>
      <w:pPr>
        <w:spacing w:after="0" w:line="62"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materially and adversely affected by the impact of one or more of the risks described herein. Due to the asset coverage test applicable to us under the 1940 Act as a BDC, we may be limited in our ability to make distributions. All distributions will be made at the discretion of our Board and will depend on our earnings, financial condition, maintenance of RIC tax treatment, compliance with applicable BDC, SBA regulations and such other factors as our Board may deem relevant from time to time. We cannot assure you that we will make distributions to our stockholders in the future.</w:t>
      </w:r>
    </w:p>
    <w:p>
      <w:pPr>
        <w:spacing w:after="0" w:line="84"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All dividends declared in cash payable to stockholders that are participants in our dividend reinvestment plan are automatically reinvested in shares of our common stock. As a result, our stockholders that opt out of our dividend reinvestment plan will experience dilution in their ownership percentage of our common stock over time.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will have broad discretion over the use of proceeds of any successful offering of securities.</w:t>
      </w:r>
    </w:p>
    <w:p>
      <w:pPr>
        <w:spacing w:after="0" w:line="117"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We will have significant flexibility in applying the proceeds of any successful offering of our securities. We will also pay operating expenses, and may pay other expenses such as due diligence expenses of potential new investments, from net proceeds. Our ability to achieve our investment objective may be limited to the extent that the net proceeds of any offering, pending full investment, are used to pay operating expenses. In</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color w:val="auto"/>
        </w:rPr>
        <w:t>addition, we can provide you no assurance that the any offering will be successful, or that by increasing the size of our available equity capital, our aggregate expenses, and correspondingly, our expense ratio, will be lowered.</w:t>
      </w:r>
    </w:p>
    <w:p>
      <w:pPr>
        <w:spacing w:after="0" w:line="89" w:lineRule="exact"/>
        <w:rPr>
          <w:sz w:val="20"/>
          <w:szCs w:val="20"/>
          <w:color w:val="auto"/>
        </w:rPr>
      </w:pPr>
    </w:p>
    <w:p>
      <w:pPr>
        <w:ind w:left="40" w:right="1179"/>
        <w:spacing w:after="0" w:line="308" w:lineRule="auto"/>
        <w:rPr>
          <w:sz w:val="20"/>
          <w:szCs w:val="20"/>
          <w:color w:val="auto"/>
        </w:rPr>
      </w:pPr>
      <w:r>
        <w:rPr>
          <w:rFonts w:ascii="Arial" w:cs="Arial" w:eastAsia="Arial" w:hAnsi="Arial"/>
          <w:sz w:val="17"/>
          <w:szCs w:val="17"/>
          <w:b w:val="1"/>
          <w:bCs w:val="1"/>
          <w:i w:val="1"/>
          <w:iCs w:val="1"/>
          <w:color w:val="auto"/>
        </w:rPr>
        <w:t>The net asset value per share of our common stock may be diluted if we sell shares of our common stock in one or more offerings at prices below the then current net asset value per share of our common stock.</w:t>
      </w:r>
    </w:p>
    <w:p>
      <w:pPr>
        <w:spacing w:after="0" w:line="38"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At our 2017 Annual Stockholders Meeting, subject to certain determinations required to be made by our Board, our stockholders approved our ability to sell or otherwise issue shares of our common stock, not exceeding 25% of our then outstanding common stock immediately prior to each such offering, at a price below the then current net asset value per share during a period beginning on May 3, 2017 and expiring on the earlier of the one-year anniversary of the date of the 2017 Annual Stockholders Meeting and the date of our 2018 Annual Stockholders Meeting, which is expected to be held in April 2018.</w:t>
      </w:r>
    </w:p>
    <w:p>
      <w:pPr>
        <w:spacing w:after="0" w:line="50"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Any decision to sell shares of our common stock below its then current net asset value per share would be subject to the determination by our Board that such issuance is in our and our stockholders’ best interests. If we were to sell shares of our common stock below its then current net asset value per share; such sales would result in an immediate dilution to the net asset value per share of our common stock. This dilution would occur as a result of the sale of shares at a price below the then current net asset value per share of our common stock and a proportionately greater decrease in the stockholders’ interest in our earnings and assets and their voting interest in us than the increase in our assets resulting from such issuance. Because the number of shares of common stock that could be so issued and the timing of any issuance is not currently known, the actual dilutive effect cannot be predicted.</w:t>
      </w:r>
    </w:p>
    <w:p>
      <w:pPr>
        <w:spacing w:after="0" w:line="84"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Further, if our current stockholders do not purchase any shares to maintain their percentage interest, regardless of whether such offering is above or below the then current net asset value per share, their voting power will be diluted. For example, if we sell an additional 10% of our common shares at a 10% discount from net asset value, a stockholder who does not participate in that offering for its proportionate interest will suffer net asset value dilution of up to 1.0% or $10 per $1,000 of net asset value.</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Your interest in Capitala Finance may be diluted if you do not fully exercise your subscription rights in any rights offering.</w:t>
      </w:r>
    </w:p>
    <w:p>
      <w:pPr>
        <w:spacing w:after="0" w:line="140"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In the event we issue subscription rights to purchase shares of our common stock, stockholders who do not fully exercise their rights should expect that they will, at the completion of the offer, own a smaller proportional interest in Capitala Finance than would otherwise be the case if they fully exercised their rights.</w:t>
      </w:r>
    </w:p>
    <w:p>
      <w:pPr>
        <w:spacing w:after="0" w:line="73" w:lineRule="exact"/>
        <w:rPr>
          <w:sz w:val="20"/>
          <w:szCs w:val="20"/>
          <w:color w:val="auto"/>
        </w:rPr>
      </w:pPr>
    </w:p>
    <w:p>
      <w:pPr>
        <w:ind w:left="40" w:right="1139" w:firstLine="270"/>
        <w:spacing w:after="0" w:line="277" w:lineRule="auto"/>
        <w:rPr>
          <w:sz w:val="20"/>
          <w:szCs w:val="20"/>
          <w:color w:val="auto"/>
        </w:rPr>
      </w:pPr>
      <w:r>
        <w:rPr>
          <w:rFonts w:ascii="Arial" w:cs="Arial" w:eastAsia="Arial" w:hAnsi="Arial"/>
          <w:sz w:val="18"/>
          <w:szCs w:val="18"/>
          <w:color w:val="auto"/>
        </w:rPr>
        <w:t>We cannot state precisely the amount of any such dilution in share ownership because we do not know at this time what proportion of the shares would be purchased as a result of a rights offering.</w:t>
      </w:r>
    </w:p>
    <w:p>
      <w:pPr>
        <w:spacing w:after="0" w:line="62"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In addition, if the subscription price in a rights offering is less than our net asset value per share, then our stockholders would experience an immediate dilution of the aggregate net asset value of their shares as a result of the rights offering. The amount of any decrease in net asset value is not predictable because it is not known at this time what the subscription price and net asset value per share will be on the expiration date of any rights offering or what proportion of the shares will be purchased as a result of such rights offering. Such dilution could be substantial.</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If we issue preferred stock, the net asset value and market value of our common stock will likely become more volatile.</w:t>
      </w:r>
    </w:p>
    <w:p>
      <w:pPr>
        <w:spacing w:after="0" w:line="140"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We cannot assure you that the issuance of preferred stock would result in a higher yield or return to the holders of our common stock. The issuance of preferred stock would likely cause the net asset value and market value of the common stock to become more volatile.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89" w:lineRule="auto"/>
        <w:rPr>
          <w:sz w:val="20"/>
          <w:szCs w:val="20"/>
          <w:color w:val="auto"/>
        </w:rPr>
      </w:pPr>
      <w:r>
        <w:rPr>
          <w:rFonts w:ascii="Arial" w:cs="Arial" w:eastAsia="Arial" w:hAnsi="Arial"/>
          <w:sz w:val="16"/>
          <w:szCs w:val="16"/>
          <w:color w:val="auto"/>
        </w:rPr>
        <w:t>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spacing w:after="0" w:line="86"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b w:val="1"/>
          <w:bCs w:val="1"/>
          <w:i w:val="1"/>
          <w:iCs w:val="1"/>
          <w:color w:val="auto"/>
        </w:rPr>
        <w:t>Holders of any preferred stock we might issue would have the right to elect members of our Board and class voting rights on certain matters.</w:t>
      </w:r>
    </w:p>
    <w:p>
      <w:pPr>
        <w:spacing w:after="0" w:line="62"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our Board at all times and in the event dividends become two full years in arrears would have the right to elect a majority of the directors until such arrearage is completely eliminated. In addition, preferred stockholders have class voting rights on certain matters, including changes in fundamental investment restrictions and conversion to open-end status, and accordingly can veto any such changes. Restrictions imposed on the declarations and payment of dividends or other distributions to the holders of our common stock and preferred stock, both by the 1940 Act and by requirements imposed by rating agencies, if any, or the terms of our credit facilities, if any, might impair our ability to maintain our RIC tax treatment under the Code for U.S.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left="40" w:right="619" w:firstLine="270"/>
        <w:spacing w:after="0" w:line="264" w:lineRule="auto"/>
        <w:rPr>
          <w:sz w:val="20"/>
          <w:szCs w:val="20"/>
          <w:color w:val="auto"/>
        </w:rPr>
      </w:pPr>
      <w:r>
        <w:rPr>
          <w:rFonts w:ascii="Arial" w:cs="Arial" w:eastAsia="Arial" w:hAnsi="Arial"/>
          <w:sz w:val="18"/>
          <w:szCs w:val="18"/>
          <w:color w:val="auto"/>
        </w:rPr>
        <w:t>Our executive offices are located at 4201 Congress Street, Suite 360, Charlotte, North Carolina 28209, and are provided by our Administrator in accordance with the terms of the Administration Agreement. We believe that our office facilities are suitable and adequate for our business as it is contemplated to be conducted.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Other than as described below, 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85"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 xml:space="preserve">On December 28, 2017, an alleged stockholder filed a putative class action lawsuit complaint, </w:t>
      </w:r>
      <w:r>
        <w:rPr>
          <w:rFonts w:ascii="Arial" w:cs="Arial" w:eastAsia="Arial" w:hAnsi="Arial"/>
          <w:sz w:val="16"/>
          <w:szCs w:val="16"/>
          <w:i w:val="1"/>
          <w:iCs w:val="1"/>
          <w:color w:val="auto"/>
        </w:rPr>
        <w:t>Paskowitz v. Capitala Finance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 et al., </w:t>
      </w:r>
      <w:r>
        <w:rPr>
          <w:rFonts w:ascii="Arial" w:cs="Arial" w:eastAsia="Arial" w:hAnsi="Arial"/>
          <w:sz w:val="16"/>
          <w:szCs w:val="16"/>
          <w:color w:val="auto"/>
        </w:rPr>
        <w:t>in the United States District Court for the Central District of California (case number 2:17-cv-09251-MWF-AS)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Paskowitz</w:t>
      </w:r>
      <w:r>
        <w:rPr>
          <w:rFonts w:ascii="Arial" w:cs="Arial" w:eastAsia="Arial" w:hAnsi="Arial"/>
          <w:sz w:val="16"/>
          <w:szCs w:val="16"/>
          <w:color w:val="auto"/>
        </w:rPr>
        <w:t xml:space="preserve"> Action</w:t>
      </w:r>
      <w:r>
        <w:rPr>
          <w:rFonts w:ascii="Arial" w:cs="Arial" w:eastAsia="Arial" w:hAnsi="Arial"/>
          <w:sz w:val="16"/>
          <w:szCs w:val="16"/>
          <w:i w:val="1"/>
          <w:iCs w:val="1"/>
          <w:color w:val="auto"/>
        </w:rPr>
        <w:t>”),</w:t>
      </w:r>
      <w:r>
        <w:rPr>
          <w:rFonts w:ascii="Arial" w:cs="Arial" w:eastAsia="Arial" w:hAnsi="Arial"/>
          <w:sz w:val="16"/>
          <w:szCs w:val="16"/>
          <w:color w:val="auto"/>
        </w:rPr>
        <w:t xml:space="preserve"> against the Company and certain of its current officers on behalf of all persons who purchased or otherwise acquired the Company’s common stock between January 4, 2016 and August 7, 2017. On January 3, 2018, another alleged stockholder filed a putative class action complaint, </w:t>
      </w:r>
      <w:r>
        <w:rPr>
          <w:rFonts w:ascii="Arial" w:cs="Arial" w:eastAsia="Arial" w:hAnsi="Arial"/>
          <w:sz w:val="16"/>
          <w:szCs w:val="16"/>
          <w:i w:val="1"/>
          <w:iCs w:val="1"/>
          <w:color w:val="auto"/>
        </w:rPr>
        <w:t>Sandifer v. Capitala Finance Corp., et al.,</w:t>
      </w:r>
      <w:r>
        <w:rPr>
          <w:rFonts w:ascii="Arial" w:cs="Arial" w:eastAsia="Arial" w:hAnsi="Arial"/>
          <w:sz w:val="16"/>
          <w:szCs w:val="16"/>
          <w:color w:val="auto"/>
        </w:rPr>
        <w:t xml:space="preserve"> in the United States District Court for the Central District of California (case number 2:18-cv-00052-MWF-AS) (the “</w:t>
      </w:r>
      <w:r>
        <w:rPr>
          <w:rFonts w:ascii="Arial" w:cs="Arial" w:eastAsia="Arial" w:hAnsi="Arial"/>
          <w:sz w:val="16"/>
          <w:szCs w:val="16"/>
          <w:i w:val="1"/>
          <w:iCs w:val="1"/>
          <w:color w:val="auto"/>
        </w:rPr>
        <w:t>Sandifer</w:t>
      </w:r>
      <w:r>
        <w:rPr>
          <w:rFonts w:ascii="Arial" w:cs="Arial" w:eastAsia="Arial" w:hAnsi="Arial"/>
          <w:sz w:val="16"/>
          <w:szCs w:val="16"/>
          <w:color w:val="auto"/>
        </w:rPr>
        <w:t xml:space="preserve"> Action”), asserting substantially similar claims on behalf of the same putative class and against the same defendants. The complaints in the </w:t>
      </w:r>
      <w:r>
        <w:rPr>
          <w:rFonts w:ascii="Arial" w:cs="Arial" w:eastAsia="Arial" w:hAnsi="Arial"/>
          <w:sz w:val="16"/>
          <w:szCs w:val="16"/>
          <w:i w:val="1"/>
          <w:iCs w:val="1"/>
          <w:color w:val="auto"/>
        </w:rPr>
        <w:t>Paskowitz</w:t>
      </w:r>
      <w:r>
        <w:rPr>
          <w:rFonts w:ascii="Arial" w:cs="Arial" w:eastAsia="Arial" w:hAnsi="Arial"/>
          <w:sz w:val="16"/>
          <w:szCs w:val="16"/>
          <w:color w:val="auto"/>
        </w:rPr>
        <w:t xml:space="preserve"> Action and the </w:t>
      </w:r>
      <w:r>
        <w:rPr>
          <w:rFonts w:ascii="Arial" w:cs="Arial" w:eastAsia="Arial" w:hAnsi="Arial"/>
          <w:sz w:val="16"/>
          <w:szCs w:val="16"/>
          <w:i w:val="1"/>
          <w:iCs w:val="1"/>
          <w:color w:val="auto"/>
        </w:rPr>
        <w:t xml:space="preserve">Sandifer </w:t>
      </w:r>
      <w:r>
        <w:rPr>
          <w:rFonts w:ascii="Arial" w:cs="Arial" w:eastAsia="Arial" w:hAnsi="Arial"/>
          <w:sz w:val="16"/>
          <w:szCs w:val="16"/>
          <w:color w:val="auto"/>
        </w:rPr>
        <w:t>Action allege certain violations of the securities laws, including, inter alia, that the defendants made certain materially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false and misleading statements and omissions regarding the Company’s business, operations, and prospects. On February 2, 2018, the </w:t>
      </w:r>
      <w:r>
        <w:rPr>
          <w:rFonts w:ascii="Arial" w:cs="Arial" w:eastAsia="Arial" w:hAnsi="Arial"/>
          <w:sz w:val="16"/>
          <w:szCs w:val="16"/>
          <w:i w:val="1"/>
          <w:iCs w:val="1"/>
          <w:color w:val="auto"/>
        </w:rPr>
        <w:t>Sandifer</w:t>
      </w:r>
      <w:r>
        <w:rPr>
          <w:rFonts w:ascii="Arial" w:cs="Arial" w:eastAsia="Arial" w:hAnsi="Arial"/>
          <w:sz w:val="16"/>
          <w:szCs w:val="16"/>
          <w:color w:val="auto"/>
        </w:rPr>
        <w:t xml:space="preserve"> Action was transferred, on stipulation of the parties, to the United States District Court for the Western District of North Carolina on February 2, 2018, which remains pending. While the Company intends to vigorously defend itself in this litigation, the outcome of these legal proceedings cannot be predicted with certainty.</w:t>
      </w:r>
    </w:p>
    <w:p>
      <w:pPr>
        <w:spacing w:after="0" w:line="61"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adversely affect the Company’s financial condition, results of operations or cash flows in any particular reporting period.</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60" w:right="5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left="60" w:right="619" w:firstLine="270"/>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“CPTA.” The following table sets forth, for each fiscal quarter within the two most recent fiscal years, the range of high and low intraday sales prices of our common stock as reported on the NASDAQ Global Select Market, the premium (discount) of sales price to our net asset value (NAV) and the distributions declared by us for each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139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(Discount)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158"/>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High Sales</w:t>
            </w: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Low Sales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2017</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4"/>
                <w:szCs w:val="14"/>
                <w:b w:val="1"/>
                <w:bCs w:val="1"/>
                <w:color w:val="auto"/>
                <w:w w:val="91"/>
              </w:rPr>
              <w:t>NAV</w:t>
            </w:r>
            <w:r>
              <w:rPr>
                <w:rFonts w:ascii="Arial" w:cs="Arial" w:eastAsia="Arial" w:hAnsi="Arial"/>
                <w:sz w:val="23"/>
                <w:szCs w:val="23"/>
                <w:b w:val="1"/>
                <w:bCs w:val="1"/>
                <w:color w:val="auto"/>
                <w:w w:val="91"/>
                <w:vertAlign w:val="superscript"/>
              </w:rPr>
              <w:t>(1)</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106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w w:val="91"/>
              </w:rPr>
              <w:t>Distributions</w:t>
            </w:r>
            <w:r>
              <w:rPr>
                <w:rFonts w:ascii="Arial" w:cs="Arial" w:eastAsia="Arial" w:hAnsi="Arial"/>
                <w:sz w:val="23"/>
                <w:szCs w:val="23"/>
                <w:b w:val="1"/>
                <w:bCs w:val="1"/>
                <w:color w:val="auto"/>
                <w:w w:val="91"/>
                <w:vertAlign w:val="superscript"/>
              </w:rPr>
              <w:t>(3)</w:t>
            </w: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(28.1)%</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(48.8)%</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14.21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13.57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8.67</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(4.5)%</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(39.0)%</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(3.6)%</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(14.2)%</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14.65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13.00</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(6.7)%</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(17.3)%</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4"/>
        </w:trPr>
        <w:tc>
          <w:tcPr>
            <w:tcW w:w="1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(Discount)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158"/>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High Sales</w:t>
            </w: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Low Sales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2016</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4"/>
                <w:szCs w:val="14"/>
                <w:b w:val="1"/>
                <w:bCs w:val="1"/>
                <w:color w:val="auto"/>
                <w:w w:val="91"/>
              </w:rPr>
              <w:t>NAV</w:t>
            </w:r>
            <w:r>
              <w:rPr>
                <w:rFonts w:ascii="Arial" w:cs="Arial" w:eastAsia="Arial" w:hAnsi="Arial"/>
                <w:sz w:val="23"/>
                <w:szCs w:val="23"/>
                <w:b w:val="1"/>
                <w:bCs w:val="1"/>
                <w:color w:val="auto"/>
                <w:w w:val="91"/>
                <w:vertAlign w:val="superscript"/>
              </w:rPr>
              <w:t>(1)</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106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w w:val="91"/>
              </w:rPr>
              <w:t>Distributions</w:t>
            </w:r>
            <w:r>
              <w:rPr>
                <w:rFonts w:ascii="Arial" w:cs="Arial" w:eastAsia="Arial" w:hAnsi="Arial"/>
                <w:sz w:val="23"/>
                <w:szCs w:val="23"/>
                <w:b w:val="1"/>
                <w:bCs w:val="1"/>
                <w:color w:val="auto"/>
                <w:w w:val="91"/>
                <w:vertAlign w:val="superscript"/>
              </w:rPr>
              <w:t>(3)</w:t>
            </w: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(11.7)%</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(27.1)%</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15.68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15.80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12.75</w:t>
            </w:r>
          </w:p>
        </w:tc>
        <w:tc>
          <w:tcPr>
            <w:tcW w:w="1240" w:type="dxa"/>
            <w:vAlign w:val="bottom"/>
            <w:gridSpan w:val="2"/>
          </w:tcPr>
          <w:p>
            <w:pPr>
              <w:jc w:val="right"/>
              <w:ind w:right="188"/>
              <w:spacing w:after="0"/>
              <w:rPr>
                <w:sz w:val="20"/>
                <w:szCs w:val="20"/>
                <w:color w:val="auto"/>
              </w:rPr>
            </w:pPr>
            <w:r>
              <w:rPr>
                <w:rFonts w:ascii="Arial" w:cs="Arial" w:eastAsia="Arial" w:hAnsi="Arial"/>
                <w:sz w:val="18"/>
                <w:szCs w:val="18"/>
                <w:color w:val="auto"/>
              </w:rPr>
              <w:t>0.8%</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(18.7)%</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(12.8)%</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(28.0)%</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16.29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13.18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9.54</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(19.1)%</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(41.4)%</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-1045845</wp:posOffset>
            </wp:positionV>
            <wp:extent cx="52139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00" w:right="619" w:hanging="272"/>
        <w:spacing w:after="0" w:line="264"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Calculated as of the respective high or low intraday sales price divided by the quarter end NAV and subtracting 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distributions paid or to be paid in the specified quarter.</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last reported price for our common stock on February 26, 2018 was $7.18 per share. As of February 26, 2018 there were 44 holders of record of our common stock.</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60" w:right="539" w:firstLine="270"/>
        <w:spacing w:after="0" w:line="253" w:lineRule="auto"/>
        <w:rPr>
          <w:sz w:val="20"/>
          <w:szCs w:val="20"/>
          <w:color w:val="auto"/>
        </w:rPr>
      </w:pPr>
      <w:r>
        <w:rPr>
          <w:rFonts w:ascii="Arial" w:cs="Arial" w:eastAsia="Arial" w:hAnsi="Arial"/>
          <w:sz w:val="18"/>
          <w:szCs w:val="18"/>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87"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8" w:name="page69"/>
    <w:bookmarkEnd w:id="6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180" w:right="919"/>
        <w:spacing w:after="0" w:line="264" w:lineRule="auto"/>
        <w:rPr>
          <w:sz w:val="20"/>
          <w:szCs w:val="20"/>
          <w:color w:val="auto"/>
        </w:rPr>
      </w:pPr>
      <w:r>
        <w:rPr>
          <w:rFonts w:ascii="Arial" w:cs="Arial" w:eastAsia="Arial" w:hAnsi="Arial"/>
          <w:sz w:val="18"/>
          <w:szCs w:val="18"/>
          <w:color w:val="auto"/>
        </w:rPr>
        <w:t>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73" w:lineRule="exact"/>
        <w:rPr>
          <w:sz w:val="20"/>
          <w:szCs w:val="20"/>
          <w:color w:val="auto"/>
        </w:rPr>
      </w:pPr>
    </w:p>
    <w:p>
      <w:pPr>
        <w:ind w:left="180" w:right="739" w:firstLine="270"/>
        <w:spacing w:after="0" w:line="276"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64" w:lineRule="exact"/>
        <w:rPr>
          <w:sz w:val="20"/>
          <w:szCs w:val="20"/>
          <w:color w:val="auto"/>
        </w:rPr>
      </w:pPr>
    </w:p>
    <w:p>
      <w:pPr>
        <w:jc w:val="both"/>
        <w:ind w:left="180" w:right="599" w:firstLine="270"/>
        <w:spacing w:after="0" w:line="288" w:lineRule="auto"/>
        <w:rPr>
          <w:sz w:val="20"/>
          <w:szCs w:val="20"/>
          <w:color w:val="auto"/>
        </w:rPr>
      </w:pPr>
      <w:r>
        <w:rPr>
          <w:rFonts w:ascii="Arial" w:cs="Arial" w:eastAsia="Arial" w:hAnsi="Arial"/>
          <w:sz w:val="16"/>
          <w:szCs w:val="16"/>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w:t>
      </w:r>
    </w:p>
    <w:p>
      <w:pPr>
        <w:jc w:val="both"/>
        <w:ind w:left="180" w:right="519"/>
        <w:spacing w:after="0" w:line="255" w:lineRule="auto"/>
        <w:rPr>
          <w:sz w:val="20"/>
          <w:szCs w:val="20"/>
          <w:color w:val="auto"/>
        </w:rPr>
      </w:pPr>
      <w:r>
        <w:rPr>
          <w:rFonts w:ascii="Arial" w:cs="Arial" w:eastAsia="Arial" w:hAnsi="Arial"/>
          <w:sz w:val="18"/>
          <w:szCs w:val="18"/>
          <w:color w:val="auto"/>
        </w:rPr>
        <w:t>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distributions declared during fiscal years ended 2018,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6907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vMerge w:val="restart"/>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Amount Per</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7"/>
              </w:rPr>
              <w:t>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2018</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January 22, 2018</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30, 2018</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January 2, 2018</w:t>
            </w:r>
          </w:p>
        </w:tc>
        <w:tc>
          <w:tcPr>
            <w:tcW w:w="16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20, 2018</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2018</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March 23, 2018</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29, 2018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0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8"/>
              </w:rPr>
              <w:t>Total Distributions Declared for Fiscal</w:t>
            </w:r>
          </w:p>
        </w:tc>
        <w:tc>
          <w:tcPr>
            <w:tcW w:w="16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vMerge w:val="restart"/>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24"/>
                <w:szCs w:val="2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Amount Per</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7"/>
              </w:rPr>
              <w:t>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January 20, 2017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0.1300</w:t>
            </w:r>
          </w:p>
        </w:tc>
        <w:tc>
          <w:tcPr>
            <w:tcW w:w="8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20, 2017</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0.1300</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23, 2017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0.1300</w:t>
            </w:r>
          </w:p>
        </w:tc>
        <w:tc>
          <w:tcPr>
            <w:tcW w:w="8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April 3, 2017</w:t>
            </w:r>
          </w:p>
        </w:tc>
        <w:tc>
          <w:tcPr>
            <w:tcW w:w="16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19, 2017</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April 27, 2017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0.1300</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3, 2017</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May 23, 2017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29, 2017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0.1300</w:t>
            </w:r>
          </w:p>
        </w:tc>
        <w:tc>
          <w:tcPr>
            <w:tcW w:w="8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April 3, 2017</w:t>
            </w:r>
          </w:p>
        </w:tc>
        <w:tc>
          <w:tcPr>
            <w:tcW w:w="16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21, 2017</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29, 2017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0.1300</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3, 2017</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21, 2017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28, 2017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0.1300</w:t>
            </w:r>
          </w:p>
        </w:tc>
        <w:tc>
          <w:tcPr>
            <w:tcW w:w="8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July 3, 2017</w:t>
            </w:r>
          </w:p>
        </w:tc>
        <w:tc>
          <w:tcPr>
            <w:tcW w:w="16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August 23, 2017</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August 30, 2017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0.1300</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3, 2017</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20, 2017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28, 2017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0.1300</w:t>
            </w:r>
          </w:p>
        </w:tc>
        <w:tc>
          <w:tcPr>
            <w:tcW w:w="8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October 2, 2017</w:t>
            </w:r>
          </w:p>
        </w:tc>
        <w:tc>
          <w:tcPr>
            <w:tcW w:w="16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23, 2017</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2017</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November 21, 2017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October 2, 2017</w:t>
            </w:r>
          </w:p>
        </w:tc>
        <w:tc>
          <w:tcPr>
            <w:tcW w:w="16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20, 2017</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December 28, 2017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8"/>
              </w:rPr>
              <w:t>Total Distributions Declared for Fiscal</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0" w:type="dxa"/>
            <w:vAlign w:val="bottom"/>
          </w:tcPr>
          <w:p>
            <w:pPr>
              <w:spacing w:after="0"/>
              <w:rPr>
                <w:sz w:val="23"/>
                <w:szCs w:val="23"/>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00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8"/>
                <w:szCs w:val="18"/>
                <w:color w:val="auto"/>
              </w:rPr>
              <w:t>66</w:t>
            </w:r>
          </w:p>
        </w:tc>
        <w:tc>
          <w:tcPr>
            <w:tcW w:w="15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-3206750</wp:posOffset>
            </wp:positionV>
            <wp:extent cx="6114415" cy="32200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14415" cy="3220085"/>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3000" w:type="dxa"/>
            <w:vAlign w:val="bottom"/>
            <w:gridSpan w:val="3"/>
          </w:tcPr>
          <w:p>
            <w:pPr>
              <w:ind w:left="2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8"/>
              </w:rPr>
              <w:t>Amount Per</w:t>
            </w:r>
          </w:p>
        </w:tc>
        <w:tc>
          <w:tcPr>
            <w:tcW w:w="0" w:type="dxa"/>
            <w:vAlign w:val="bottom"/>
          </w:tcPr>
          <w:p>
            <w:pPr>
              <w:spacing w:after="0" w:line="20" w:lineRule="exact"/>
              <w:rPr>
                <w:sz w:val="1"/>
                <w:szCs w:val="1"/>
                <w:color w:val="auto"/>
              </w:rPr>
            </w:pPr>
          </w:p>
        </w:tc>
      </w:tr>
      <w:tr>
        <w:trPr>
          <w:trHeight w:val="376"/>
        </w:trPr>
        <w:tc>
          <w:tcPr>
            <w:tcW w:w="3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24"/>
                <w:szCs w:val="24"/>
                <w:color w:val="auto"/>
              </w:rPr>
            </w:pPr>
          </w:p>
        </w:tc>
        <w:tc>
          <w:tcPr>
            <w:tcW w:w="8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22,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28, 2016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February 19,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February 26, 2016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22,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April 1,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April 22,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April 28, 2016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April 1,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30, 2016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April 1,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July 1,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22,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29, 2016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July 1,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August 22,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August 30, 2016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July 1,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22,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29, 2016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September 22,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October 21,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October 28, 2016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September 22,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21,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September 22,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December 21,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December 29, 2016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c>
          <w:tcPr>
            <w:tcW w:w="0" w:type="dxa"/>
            <w:vAlign w:val="bottom"/>
          </w:tcPr>
          <w:p>
            <w:pPr>
              <w:spacing w:after="0"/>
              <w:rPr>
                <w:sz w:val="1"/>
                <w:szCs w:val="1"/>
                <w:color w:val="auto"/>
              </w:rPr>
            </w:pPr>
          </w:p>
        </w:tc>
      </w:tr>
      <w:tr>
        <w:trPr>
          <w:trHeight w:val="195"/>
        </w:trPr>
        <w:tc>
          <w:tcPr>
            <w:tcW w:w="300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w w:val="98"/>
              </w:rPr>
              <w:t>Total Distributions Declared for Fiscal</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2016</w:t>
            </w: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-2237740</wp:posOffset>
            </wp:positionV>
            <wp:extent cx="46907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60" w:right="539" w:firstLine="270"/>
        <w:spacing w:after="0" w:line="271" w:lineRule="auto"/>
        <w:rPr>
          <w:sz w:val="20"/>
          <w:szCs w:val="20"/>
          <w:color w:val="auto"/>
        </w:rPr>
      </w:pPr>
      <w:r>
        <w:rPr>
          <w:rFonts w:ascii="Arial" w:cs="Arial" w:eastAsia="Arial" w:hAnsi="Arial"/>
          <w:sz w:val="17"/>
          <w:szCs w:val="17"/>
          <w:color w:val="auto"/>
        </w:rPr>
        <w:t>The following graph compares the cumulative return on our common stock with that of the Standard &amp; Poor’s 500 Stock Index and the NASDAQ Financial 100 index, as we do not believe there is an appropriate index of companies with an investment strategy similar to our own with which to compare the return on our common stock, for the period from September 25, 2013, the date our common stock began trading, through December 31, 2017. The graph assumes that on September 25, 2013, a person invested $100 in each of our common stock, the Standard &amp; Poor’s 500 Stock Index and the NASDAQ Financial 100 index. The graph measures total stockholder return, which takes into account both changes in stock price and dividends. The graph also assumes that dividends paid are reinvested in the same class of equity securities at the frequency with which dividends are paid on such securities during the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53975</wp:posOffset>
            </wp:positionV>
            <wp:extent cx="5085715" cy="16465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8571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79" w:firstLine="270"/>
        <w:spacing w:after="0" w:line="259" w:lineRule="auto"/>
        <w:rPr>
          <w:sz w:val="20"/>
          <w:szCs w:val="20"/>
          <w:color w:val="auto"/>
        </w:rPr>
      </w:pPr>
      <w:r>
        <w:rPr>
          <w:rFonts w:ascii="Arial" w:cs="Arial" w:eastAsia="Arial" w:hAnsi="Arial"/>
          <w:sz w:val="18"/>
          <w:szCs w:val="18"/>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1934 Act. The stock price performance included in the above graph is not necessarily indicative of future stock price performance.</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60" w:right="639" w:firstLine="270"/>
        <w:spacing w:after="0" w:line="302" w:lineRule="auto"/>
        <w:rPr>
          <w:sz w:val="20"/>
          <w:szCs w:val="20"/>
          <w:color w:val="auto"/>
        </w:rPr>
      </w:pPr>
      <w:r>
        <w:rPr>
          <w:rFonts w:ascii="Arial" w:cs="Arial" w:eastAsia="Arial" w:hAnsi="Arial"/>
          <w:sz w:val="16"/>
          <w:szCs w:val="16"/>
          <w:color w:val="auto"/>
        </w:rPr>
        <w:t>During the year ended December 31, 2017, we issued 83,186 shares of common stock under our DRIP. The issuances were not subject to the registration requirements under the Securities Act of 1933, as amended. The cash paid for shares of common stock issued under our DRIP during the year ended December 31, 2017 was approximately $0.9 million. Other than the shares issued under our DRIP during the year ended December 31, 2017, we did not sell any unregistered equity securities.</w:t>
      </w:r>
    </w:p>
    <w:p>
      <w:pPr>
        <w:spacing w:after="0" w:line="200" w:lineRule="exact"/>
        <w:rPr>
          <w:sz w:val="20"/>
          <w:szCs w:val="20"/>
          <w:color w:val="auto"/>
        </w:rPr>
      </w:pPr>
    </w:p>
    <w:p>
      <w:pPr>
        <w:spacing w:after="0" w:line="29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70" w:name="page71"/>
    <w:bookmarkEnd w:id="7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left="60" w:right="539" w:firstLine="270"/>
        <w:spacing w:after="0" w:line="297" w:lineRule="auto"/>
        <w:rPr>
          <w:sz w:val="20"/>
          <w:szCs w:val="20"/>
          <w:color w:val="auto"/>
        </w:rPr>
      </w:pPr>
      <w:r>
        <w:rPr>
          <w:rFonts w:ascii="Arial" w:cs="Arial" w:eastAsia="Arial" w:hAnsi="Arial"/>
          <w:sz w:val="16"/>
          <w:szCs w:val="16"/>
          <w:color w:val="auto"/>
        </w:rPr>
        <w:t>The following selected consolidated financial data of the Company as of and for the years ended December 31, 2017, 2016, 2015, 2014 and 2013 are derived from our consolidated financial statements that have been audited by Ernst &amp; Young LLP, our independent registered public accounting firm. This consolidated financial data should be read in conjunction with our consolidated financial statements and related notes thereto included elsewhere in this Form 10-K and with Management’s Discussion and Analysis of Financial Condition and Results of Operations which follows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5419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w w:val="93"/>
              </w:rPr>
              <w:t>As of and for the years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7"/>
              </w:rPr>
              <w:t>Consolidated statements of operations data:</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63,976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35,433</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Total expenses, net of fee waivers</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35,565</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39,272</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38,649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29,562</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15,949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15,524</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29,040</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25,327</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19,966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19,484</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Net realized gain (loss) from investments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(24,189)</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(22,766)</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unrealized appreciation (depreciation) 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and written call option</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2,970</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(16,913)</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(24,238)</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Tax provision</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37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89"/>
              </w:rPr>
              <w:t>Net increase (decrease) in net assets resulting from</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28,858</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5"/>
        </w:trPr>
        <w:tc>
          <w:tcPr>
            <w:tcW w:w="374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89"/>
              </w:rPr>
              <w:t>Net increase (decrease) in net assets resulting from</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declared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7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88"/>
              </w:rPr>
              <w:t>Consolidated statements of assets and liabilities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data:</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534,595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584,415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632,818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539,864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476,428</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221,887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250,582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268,802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240,837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268,670</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Other data:</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Total Return</w:t>
            </w:r>
            <w:r>
              <w:rPr>
                <w:rFonts w:ascii="Arial" w:cs="Arial" w:eastAsia="Arial" w:hAnsi="Arial"/>
                <w:sz w:val="29"/>
                <w:szCs w:val="29"/>
                <w:color w:val="auto"/>
                <w:vertAlign w:val="superscript"/>
              </w:rPr>
              <w:t>(1)(2)</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2"/>
        </w:trPr>
        <w:tc>
          <w:tcPr>
            <w:tcW w:w="3740" w:type="dxa"/>
            <w:vAlign w:val="bottom"/>
          </w:tcPr>
          <w:p>
            <w:pPr>
              <w:ind w:left="20"/>
              <w:spacing w:after="0" w:line="201" w:lineRule="exact"/>
              <w:rPr>
                <w:sz w:val="20"/>
                <w:szCs w:val="20"/>
                <w:color w:val="auto"/>
              </w:rPr>
            </w:pPr>
            <w:r>
              <w:rPr>
                <w:rFonts w:ascii="Arial" w:cs="Arial" w:eastAsia="Arial" w:hAnsi="Arial"/>
                <w:sz w:val="18"/>
                <w:szCs w:val="18"/>
                <w:color w:val="auto"/>
                <w:w w:val="94"/>
              </w:rPr>
              <w:t>Number of portfolio company investments at year</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0"/>
              <w:spacing w:after="0"/>
              <w:rPr>
                <w:sz w:val="20"/>
                <w:szCs w:val="20"/>
                <w:color w:val="auto"/>
              </w:rPr>
            </w:pPr>
            <w:r>
              <w:rPr>
                <w:rFonts w:ascii="Arial" w:cs="Arial" w:eastAsia="Arial" w:hAnsi="Arial"/>
                <w:sz w:val="18"/>
                <w:szCs w:val="18"/>
                <w:color w:val="auto"/>
              </w:rPr>
              <w:t>end</w:t>
            </w: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Total portfolio investment deployments for the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120,844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260,640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216,276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110,929</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Investment repayments for the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115,810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163,564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142,713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80,197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52,755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-2606675</wp:posOffset>
            </wp:positionV>
            <wp:extent cx="543687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368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-2298065</wp:posOffset>
            </wp:positionV>
            <wp:extent cx="5436870" cy="342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36870" cy="3429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-1818005</wp:posOffset>
            </wp:positionV>
            <wp:extent cx="543687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36870"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-1028700</wp:posOffset>
            </wp:positionV>
            <wp:extent cx="543687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3687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00" w:right="799" w:hanging="272"/>
        <w:spacing w:after="0" w:line="302" w:lineRule="auto"/>
        <w:tabs>
          <w:tab w:leader="none" w:pos="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Total investment return for the years ended December 31, 2017, 2016, 2015 and 2014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w:t>
      </w:r>
    </w:p>
    <w:p>
      <w:pPr>
        <w:spacing w:after="0" w:line="46" w:lineRule="exact"/>
        <w:rPr>
          <w:rFonts w:ascii="Arial" w:cs="Arial" w:eastAsia="Arial" w:hAnsi="Arial"/>
          <w:sz w:val="16"/>
          <w:szCs w:val="16"/>
          <w:color w:val="auto"/>
        </w:rPr>
      </w:pPr>
    </w:p>
    <w:p>
      <w:pPr>
        <w:ind w:left="300" w:right="699" w:hanging="272"/>
        <w:spacing w:after="0" w:line="276" w:lineRule="auto"/>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Total investment return for the year ended December 31, 2013 is calculated assuming a purchase of common shares at the IPO offering price per share at September 25, 2013 of $20.00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200" w:lineRule="exact"/>
        <w:rPr>
          <w:sz w:val="20"/>
          <w:szCs w:val="20"/>
          <w:color w:val="auto"/>
        </w:rPr>
      </w:pPr>
    </w:p>
    <w:p>
      <w:pPr>
        <w:spacing w:after="0" w:line="32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123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58"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Annual Report on Form 10-K.</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70" w:lineRule="exact"/>
        <w:rPr>
          <w:sz w:val="20"/>
          <w:szCs w:val="20"/>
          <w:color w:val="auto"/>
        </w:rPr>
      </w:pPr>
    </w:p>
    <w:p>
      <w:pPr>
        <w:ind w:left="40" w:right="739" w:firstLine="270"/>
        <w:spacing w:after="0" w:line="264" w:lineRule="auto"/>
        <w:rPr>
          <w:sz w:val="20"/>
          <w:szCs w:val="20"/>
          <w:color w:val="auto"/>
        </w:rPr>
      </w:pPr>
      <w:r>
        <w:rPr>
          <w:rFonts w:ascii="Arial" w:cs="Arial" w:eastAsia="Arial" w:hAnsi="Arial"/>
          <w:sz w:val="18"/>
          <w:szCs w:val="18"/>
          <w:color w:val="auto"/>
        </w:rPr>
        <w:t>Some of the statements in this Annual Report on Form 10-K constitute forward-looking statements, which relate to future events or our performance or financial condition. The forward-looking statements contained in our Annual Report on Form 10-K involve risks and uncertainties, including statements as to:</w:t>
      </w:r>
    </w:p>
    <w:p>
      <w:pPr>
        <w:spacing w:after="0" w:line="73" w:lineRule="exact"/>
        <w:rPr>
          <w:sz w:val="20"/>
          <w:szCs w:val="20"/>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999" w:hanging="322"/>
        <w:spacing w:after="0" w:line="277"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62" w:lineRule="exact"/>
        <w:rPr>
          <w:rFonts w:ascii="Arial" w:cs="Arial" w:eastAsia="Arial" w:hAnsi="Arial"/>
          <w:sz w:val="18"/>
          <w:szCs w:val="18"/>
          <w:color w:val="auto"/>
        </w:rPr>
      </w:pPr>
    </w:p>
    <w:p>
      <w:pPr>
        <w:ind w:left="600" w:right="799" w:hanging="322"/>
        <w:spacing w:after="0" w:line="277"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w:t>
      </w:r>
    </w:p>
    <w:p>
      <w:pPr>
        <w:spacing w:after="0" w:line="62"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use leverage as part of our investment strategy;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“Risk Factors” and elsewhere in this Annual Report on Form 10-K.</w:t>
      </w:r>
    </w:p>
    <w:p>
      <w:pPr>
        <w:spacing w:after="0" w:line="140"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55" w:lineRule="auto"/>
        <w:rPr>
          <w:sz w:val="20"/>
          <w:szCs w:val="20"/>
          <w:color w:val="auto"/>
        </w:rPr>
      </w:pPr>
      <w:r>
        <w:rPr>
          <w:rFonts w:ascii="Arial" w:cs="Arial" w:eastAsia="Arial" w:hAnsi="Arial"/>
          <w:sz w:val="18"/>
          <w:szCs w:val="18"/>
          <w:color w:val="auto"/>
        </w:rPr>
        <w:t>statement in this Annual Report on Form 10-K should not be regarded as a representation by us that our plans and objectives will be achieved. These risks and uncertainties include those described or identified in “Risk Factors” and elsewhere in our Annual Report on Form 10-K. You should not place undue reliance on these forward-looking statements, which apply only as of the date of this Annual Report on Form 10-K. We undertake no obligation to revise or update any forward-looking statements, whether as a result of new information, future events or otherwise, unless required by law or U.S. Securities and Exchange Commission (“SEC”) rule or regulation.</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We are a Maryland corporation that has elected to be regulated as a business development company (“BDC”) under the Investment Company Act of 1940 as amended (the “1940 Act”). We are an “emerging growth company” within the meaning of the Jumpstart Our Business Startups Act of 2012,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70" w:lineRule="exact"/>
        <w:rPr>
          <w:sz w:val="20"/>
          <w:szCs w:val="20"/>
          <w:color w:val="auto"/>
        </w:rPr>
      </w:pPr>
    </w:p>
    <w:p>
      <w:pPr>
        <w:ind w:left="40" w:right="1019" w:firstLine="270"/>
        <w:spacing w:after="0" w:line="276"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 million in trailing twelve month earnings before interest, tax, depreciation, and amortization (“EBITDA”).</w:t>
      </w:r>
    </w:p>
    <w:p>
      <w:pPr>
        <w:spacing w:after="0" w:line="64"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We invest in first lien loans, second lien loans, and subordinated loans. Most of our debt investments are coupled with equity interests, whether in the form of detachable “penny” warrants or equity co-investments made pari-passu with our borrowers’ financial sponsors.</w:t>
      </w:r>
    </w:p>
    <w:p>
      <w:pPr>
        <w:spacing w:after="0" w:line="73"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59"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and continued to hold their existing investments at the time of IPO and have continued to make new investments after the IPO. The IPO consisted</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019"/>
        <w:spacing w:after="0" w:line="286" w:lineRule="auto"/>
        <w:rPr>
          <w:sz w:val="20"/>
          <w:szCs w:val="20"/>
          <w:color w:val="auto"/>
        </w:rPr>
      </w:pPr>
      <w:r>
        <w:rPr>
          <w:rFonts w:ascii="Arial" w:cs="Arial" w:eastAsia="Arial" w:hAnsi="Arial"/>
          <w:sz w:val="17"/>
          <w:szCs w:val="17"/>
          <w:color w:val="auto"/>
        </w:rPr>
        <w:t>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57" w:lineRule="exact"/>
        <w:rPr>
          <w:sz w:val="20"/>
          <w:szCs w:val="20"/>
          <w:color w:val="auto"/>
        </w:rPr>
      </w:pPr>
    </w:p>
    <w:p>
      <w:pPr>
        <w:ind w:left="40" w:right="719" w:firstLine="270"/>
        <w:spacing w:after="0" w:line="279" w:lineRule="auto"/>
        <w:rPr>
          <w:sz w:val="20"/>
          <w:szCs w:val="20"/>
          <w:color w:val="auto"/>
        </w:rPr>
      </w:pPr>
      <w:r>
        <w:rPr>
          <w:rFonts w:ascii="Arial" w:cs="Arial" w:eastAsia="Arial" w:hAnsi="Arial"/>
          <w:sz w:val="17"/>
          <w:szCs w:val="17"/>
          <w:color w:val="auto"/>
        </w:rPr>
        <w:t>At the time of the Formation Transactions, our portfolio consisted of: (1) approximately $326.3 million in investments; (2) an aggregate of approximately $67.1 million in cash, interest receivable and other assets; and (3) liabilities of approximately $202.2 million of U.S. Small Business Administration (“SBA”) guaranteed debt payable. We have two subsidiaries licensed under the Small Business Investment Company (“SBIC”) Act that have elected to be regulated as BDCs under the 1940 Act.</w:t>
      </w:r>
    </w:p>
    <w:p>
      <w:pPr>
        <w:spacing w:after="0" w:line="63" w:lineRule="exact"/>
        <w:rPr>
          <w:sz w:val="20"/>
          <w:szCs w:val="20"/>
          <w:color w:val="auto"/>
        </w:rPr>
      </w:pPr>
    </w:p>
    <w:p>
      <w:pPr>
        <w:ind w:left="40" w:right="1159" w:firstLine="270"/>
        <w:spacing w:after="0" w:line="277" w:lineRule="auto"/>
        <w:rPr>
          <w:sz w:val="20"/>
          <w:szCs w:val="20"/>
          <w:color w:val="auto"/>
        </w:rPr>
      </w:pPr>
      <w:r>
        <w:rPr>
          <w:rFonts w:ascii="Arial" w:cs="Arial" w:eastAsia="Arial" w:hAnsi="Arial"/>
          <w:sz w:val="18"/>
          <w:szCs w:val="18"/>
          <w:color w:val="auto"/>
        </w:rPr>
        <w:t>During the fourth quarter of 2017, Florida Sidecar transferred all of its assets to Capitala Finance Corp. and was legally dissolved as a standalone partnership.</w:t>
      </w:r>
    </w:p>
    <w:p>
      <w:pPr>
        <w:spacing w:after="0" w:line="62"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These Taxable Subsidiaries allow the Company to make equity investments in companies organized as pass-through entities while continuing to satisfy the requirements of a RIC under the Code.</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is considered an investment company as defined in Accounting Standards Codification (“ASC”) Topic</w:t>
      </w:r>
    </w:p>
    <w:p>
      <w:pPr>
        <w:spacing w:after="0" w:line="23" w:lineRule="exact"/>
        <w:rPr>
          <w:sz w:val="20"/>
          <w:szCs w:val="20"/>
          <w:color w:val="auto"/>
        </w:rPr>
      </w:pPr>
    </w:p>
    <w:p>
      <w:pPr>
        <w:ind w:left="40" w:right="579"/>
        <w:spacing w:after="0" w:line="290" w:lineRule="auto"/>
        <w:rPr>
          <w:sz w:val="20"/>
          <w:szCs w:val="20"/>
          <w:color w:val="auto"/>
        </w:rPr>
      </w:pPr>
      <w:r>
        <w:rPr>
          <w:rFonts w:ascii="Arial" w:cs="Arial" w:eastAsia="Arial" w:hAnsi="Arial"/>
          <w:sz w:val="16"/>
          <w:szCs w:val="16"/>
          <w:color w:val="auto"/>
        </w:rPr>
        <w:t xml:space="preserve">946 —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 </w:t>
      </w:r>
      <w:r>
        <w:rPr>
          <w:rFonts w:ascii="Arial" w:cs="Arial" w:eastAsia="Arial" w:hAnsi="Arial"/>
          <w:sz w:val="16"/>
          <w:szCs w:val="16"/>
          <w:i w:val="1"/>
          <w:iCs w:val="1"/>
          <w:color w:val="auto"/>
        </w:rPr>
        <w:t>Investment Companies</w:t>
      </w:r>
      <w:r>
        <w:rPr>
          <w:rFonts w:ascii="Arial" w:cs="Arial" w:eastAsia="Arial" w:hAnsi="Arial"/>
          <w:sz w:val="16"/>
          <w:szCs w:val="16"/>
          <w:color w:val="auto"/>
        </w:rPr>
        <w:t xml:space="preserve"> (“ASC 946”). The accompanying consolidated financial statements have been prepared on the accrual basis of accounting in conformity with U.S. generally accepted accounting principles (“U.S. GAAP”) and pursuant to the requirements for reporting on Form 10-K and Article 6 of Regulation S-X. The consolidated financial statements of the Company include the accounts of the Company and its wholly owned subsidiaries as described in the Formation Transactions above. The transactions related to Fund II, Fund III, and Florida Sidecar constituted an exchange of shares between entities under common control and have been accounted for in accordance with ASC Topic 805, </w:t>
      </w:r>
      <w:r>
        <w:rPr>
          <w:rFonts w:ascii="Arial" w:cs="Arial" w:eastAsia="Arial" w:hAnsi="Arial"/>
          <w:sz w:val="16"/>
          <w:szCs w:val="16"/>
          <w:i w:val="1"/>
          <w:iCs w:val="1"/>
          <w:color w:val="auto"/>
        </w:rPr>
        <w:t>Business Combinations (“ASC 805”).</w:t>
      </w:r>
    </w:p>
    <w:p>
      <w:pPr>
        <w:spacing w:after="0" w:line="56"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The Company’s financial statements as of December 31, 2017 and 2016 are presented on a consolidated basis. The effects of all intercompany transactions between the Company and its subsidiaries (Fund II, Fund III, Florida Sidecar,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Consolidation</w:t>
      </w:r>
    </w:p>
    <w:p>
      <w:pPr>
        <w:spacing w:after="0" w:line="121" w:lineRule="exact"/>
        <w:rPr>
          <w:sz w:val="20"/>
          <w:szCs w:val="20"/>
          <w:color w:val="auto"/>
        </w:rPr>
      </w:pPr>
    </w:p>
    <w:p>
      <w:pPr>
        <w:ind w:left="40" w:right="639" w:firstLine="270"/>
        <w:spacing w:after="0" w:line="253" w:lineRule="auto"/>
        <w:rPr>
          <w:sz w:val="20"/>
          <w:szCs w:val="20"/>
          <w:color w:val="auto"/>
        </w:rPr>
      </w:pPr>
      <w:r>
        <w:rPr>
          <w:rFonts w:ascii="Arial" w:cs="Arial" w:eastAsia="Arial" w:hAnsi="Arial"/>
          <w:sz w:val="18"/>
          <w:szCs w:val="18"/>
          <w:color w:val="auto"/>
        </w:rPr>
        <w:t>As provided under Regulation S-X and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Florida Sidecar, and the Taxable Subsidiaries) in its consolidated financial statements. The Company did not consolidate its interest in Capitala Senior Liquid Loan Fund I, LLC (“CSLLF”) during the periods it was in existence because the investment was not considered a substantially wholly owned investment company subsidiary. Further, CSLLF was a joint venture for which shared power existed relating to the decisions that most significantly impacted the economic performance of the entity. See Note 4 to the consolidated financial statements for a description of the Company’s investment in CSLLF.</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0" w:right="719" w:firstLine="270"/>
        <w:spacing w:after="0" w:line="255"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85" w:lineRule="exact"/>
        <w:rPr>
          <w:sz w:val="20"/>
          <w:szCs w:val="20"/>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117" w:lineRule="exact"/>
        <w:rPr>
          <w:rFonts w:ascii="Arial" w:cs="Arial" w:eastAsia="Arial" w:hAnsi="Arial"/>
          <w:sz w:val="18"/>
          <w:szCs w:val="18"/>
          <w:color w:val="auto"/>
        </w:rPr>
      </w:pPr>
    </w:p>
    <w:p>
      <w:pPr>
        <w:ind w:left="600" w:right="839" w:hanging="322"/>
        <w:spacing w:after="0" w:line="264"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17" w:lineRule="exact"/>
        <w:rPr>
          <w:rFonts w:ascii="Arial" w:cs="Arial" w:eastAsia="Arial" w:hAnsi="Arial"/>
          <w:sz w:val="18"/>
          <w:szCs w:val="18"/>
          <w:color w:val="auto"/>
        </w:rPr>
      </w:pPr>
    </w:p>
    <w:p>
      <w:pPr>
        <w:ind w:left="600" w:right="559" w:hanging="322"/>
        <w:spacing w:after="0" w:line="342"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15" w:lineRule="exact"/>
        <w:rPr>
          <w:rFonts w:ascii="Arial" w:cs="Arial" w:eastAsia="Arial" w:hAnsi="Arial"/>
          <w:sz w:val="16"/>
          <w:szCs w:val="16"/>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117" w:lineRule="exact"/>
        <w:rPr>
          <w:rFonts w:ascii="Arial" w:cs="Arial" w:eastAsia="Arial" w:hAnsi="Arial"/>
          <w:sz w:val="18"/>
          <w:szCs w:val="18"/>
          <w:color w:val="auto"/>
        </w:rPr>
      </w:pPr>
    </w:p>
    <w:p>
      <w:pPr>
        <w:ind w:left="600" w:right="1099" w:hanging="322"/>
        <w:spacing w:after="0" w:line="277"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117" w:lineRule="exact"/>
        <w:rPr>
          <w:rFonts w:ascii="Arial" w:cs="Arial" w:eastAsia="Arial" w:hAnsi="Arial"/>
          <w:sz w:val="18"/>
          <w:szCs w:val="18"/>
          <w:color w:val="auto"/>
        </w:rPr>
      </w:pPr>
    </w:p>
    <w:p>
      <w:pPr>
        <w:ind w:left="600" w:right="679" w:hanging="322"/>
        <w:spacing w:after="0" w:line="255"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Because of the nature of the judgments and assumptions we make, actual results could materially differ from those estimates under different assumptions or conditions. A discussion of our critical accounting policies follows.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17"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80"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63" w:lineRule="exact"/>
        <w:rPr>
          <w:sz w:val="20"/>
          <w:szCs w:val="20"/>
          <w:color w:val="auto"/>
        </w:rPr>
      </w:pPr>
    </w:p>
    <w:p>
      <w:pPr>
        <w:jc w:val="both"/>
        <w:ind w:left="40" w:right="639" w:firstLine="270"/>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75" w:lineRule="exact"/>
        <w:rPr>
          <w:sz w:val="20"/>
          <w:szCs w:val="20"/>
          <w:color w:val="auto"/>
        </w:rPr>
      </w:pPr>
    </w:p>
    <w:p>
      <w:pPr>
        <w:ind w:left="320" w:right="559"/>
        <w:spacing w:after="0" w:line="261"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in active markets for identical assets or liabilities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ability to 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72" w:lineRule="exact"/>
        <w:rPr>
          <w:sz w:val="20"/>
          <w:szCs w:val="20"/>
          <w:color w:val="auto"/>
        </w:rPr>
      </w:pPr>
    </w:p>
    <w:p>
      <w:pPr>
        <w:ind w:left="320" w:right="779"/>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121"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75"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79"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As a practical expedient, the Company used the net asset value (“NAV”) as the basis for the fair value of its investment in CSLLF for the periods held. CSLLF recorded its underlying investments at fair value on a daily basis utilizing pricing information from third-party sources.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Enterprise Value Waterfall Approach</w:t>
      </w:r>
    </w:p>
    <w:p>
      <w:pPr>
        <w:spacing w:after="0" w:line="117"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enterprise value waterfall approach is primarily utilized to value the Company’s equity securities, including warrants.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However, the Company may utilize the enterprise value waterfall approach to value certain debt securities.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Approach</w:t>
      </w:r>
    </w:p>
    <w:p>
      <w:pPr>
        <w:spacing w:after="0" w:line="117"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Asset Approach</w:t>
      </w:r>
    </w:p>
    <w:p>
      <w:pPr>
        <w:spacing w:after="0" w:line="117"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40" w:right="779" w:firstLine="270"/>
        <w:spacing w:after="0" w:line="276"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are expected to be collected. The Company has loans in the portfolio that contain a payment-in-kind interest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firstLine="270"/>
        <w:spacing w:after="0" w:line="288"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61"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 xml:space="preserve">Gains and losses on investment sales and paydowns: </w:t>
      </w:r>
      <w:r>
        <w:rPr>
          <w:rFonts w:ascii="Arial" w:cs="Arial" w:eastAsia="Arial" w:hAnsi="Arial"/>
          <w:sz w:val="18"/>
          <w:szCs w:val="18"/>
          <w:color w:val="auto"/>
        </w:rPr>
        <w:t>Realized gains and losses on investments are recognized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w:t>
      </w:r>
    </w:p>
    <w:p>
      <w:pPr>
        <w:spacing w:after="0" w:line="62"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59"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loan. Any remaining discount is accreted into income upon prepayment of the loan.</w:t>
      </w:r>
    </w:p>
    <w:p>
      <w:pPr>
        <w:spacing w:after="0" w:line="62"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fees associated with investments in portfolio companies are recognized as income when the investment transaction closes. Prepayment penalties received by the Company for debt instruments repaid prior to the maturity date are recorded as income upon receipt.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50"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73" w:lineRule="exact"/>
        <w:rPr>
          <w:sz w:val="20"/>
          <w:szCs w:val="20"/>
          <w:color w:val="auto"/>
        </w:rPr>
      </w:pPr>
    </w:p>
    <w:p>
      <w:pPr>
        <w:jc w:val="both"/>
        <w:ind w:left="40" w:right="619" w:firstLine="270"/>
        <w:spacing w:after="0" w:line="302" w:lineRule="auto"/>
        <w:rPr>
          <w:sz w:val="20"/>
          <w:szCs w:val="20"/>
          <w:color w:val="auto"/>
        </w:rPr>
      </w:pPr>
      <w:r>
        <w:rPr>
          <w:rFonts w:ascii="Arial" w:cs="Arial" w:eastAsia="Arial" w:hAnsi="Arial"/>
          <w:sz w:val="16"/>
          <w:szCs w:val="16"/>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46"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excise tax purposes, the Company accrues excise tax, if any, on estimated excess taxable income as taxable income is earned.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Since the Company’s IPO, the Company has not accrued or paid excise tax.</w:t>
      </w:r>
    </w:p>
    <w:p>
      <w:pPr>
        <w:spacing w:after="0" w:line="103"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December 31, 2017, and December 31, 2016, the Company recorded a net deferred tax liability of $1.3 million and $0.0 million, respectively. For the year ended December 31, 2017, the Company recorded a tax provision of $1.3 million. For the years ended December 31, 2016 and 2015, no tax provision was recorded.</w:t>
      </w:r>
    </w:p>
    <w:p>
      <w:pPr>
        <w:spacing w:after="0" w:line="80"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71"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2017 and December 31, 2016, there were no uncertain tax positions.</w:t>
      </w:r>
    </w:p>
    <w:p>
      <w:pPr>
        <w:spacing w:after="0" w:line="70"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64"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73" w:lineRule="exact"/>
        <w:rPr>
          <w:sz w:val="20"/>
          <w:szCs w:val="20"/>
          <w:color w:val="auto"/>
        </w:rPr>
      </w:pPr>
    </w:p>
    <w:p>
      <w:pPr>
        <w:ind w:left="40" w:right="579" w:firstLine="270"/>
        <w:spacing w:after="0" w:line="312" w:lineRule="auto"/>
        <w:rPr>
          <w:sz w:val="20"/>
          <w:szCs w:val="20"/>
          <w:color w:val="auto"/>
        </w:rPr>
      </w:pPr>
      <w:r>
        <w:rPr>
          <w:rFonts w:ascii="Arial" w:cs="Arial" w:eastAsia="Arial" w:hAnsi="Arial"/>
          <w:sz w:val="16"/>
          <w:szCs w:val="16"/>
          <w:color w:val="auto"/>
        </w:rPr>
        <w:t>The Company has concluded that it was not necessary to record a liability for any such tax positions as of December 31, 2017 and 2016.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39"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The tax years ended August 31, 2017, 2016 and 2015 remain subject to examination by U.S. federal, state, and local tax authorities. No interest expense or penalties have been assessed for the years ended December 31, 2017, 2016 and 2015. If the Company was required to recognize interest and penalties, if any, related to unrecognized tax benefits this would be recognized as income tax expense in the consolidated statements of operations.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As of December 31, 2017, our portfolio consisted of investments in 47 portfolio companies with a fair value of approximately $499.9 million.</w:t>
      </w:r>
    </w:p>
    <w:p>
      <w:pPr>
        <w:spacing w:after="0" w:line="62"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During the year ended December 31, 2017, we made approximately $82.8 million of investments and had approximately $115.8 million in repayments and sales of investments resulting in net repayments and sales of</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spacing w:after="0" w:line="257" w:lineRule="auto"/>
        <w:rPr>
          <w:sz w:val="20"/>
          <w:szCs w:val="20"/>
          <w:color w:val="auto"/>
        </w:rPr>
      </w:pPr>
      <w:r>
        <w:rPr>
          <w:rFonts w:ascii="Arial" w:cs="Arial" w:eastAsia="Arial" w:hAnsi="Arial"/>
          <w:sz w:val="18"/>
          <w:szCs w:val="18"/>
          <w:color w:val="auto"/>
        </w:rPr>
        <w:t>approximately $33.0 million for the year. During the year ended December 31, 2016, we made approximately $120.8 million of investments and had approximately $163.6 million in repayments and sales resulting in net repayments and sales of approximately $42.8 million for the year. During the year ended December 31, 2015, we made approximately $260.6 million of investments and had approximately $142.7 million in repayments and sales resulting in net investments of approximately $117.9 million for the year.</w:t>
      </w:r>
    </w:p>
    <w:p>
      <w:pPr>
        <w:spacing w:after="0" w:line="80"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On August 31, 2016, we sold a portion of 14 securities across 10 portfolio companies to CapitalSouth Partners Florida Sidecar Fund II, L.P. (“FSC II”), including granting an option to acquire a portion of our equity investment in Eastport Holdings, LLC (the “Written Call Option”), in exchange for 100% of the partnership interests in FSC II. Concurrent with the sale of these assets to FSC II, we received cash consideration of $47.6 million from an affiliated third-party purchaser in exchange for 100% of the partnership interests of FSC II. These assets were sold to FSC II at their June 30, 2016 fair market values, resulting in a net realized gain of $0.1 million. The proceeds from the redemption of partnership interests in FSC II are included in gross repayments and sales of investments received for the year ended December 31, 2016. Our Board pre-approved this transaction pursuant to Section 57(f) of the 1940 Act.</w:t>
      </w:r>
    </w:p>
    <w:p>
      <w:pPr>
        <w:spacing w:after="0" w:line="84"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79"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Written Call Option granted FSC II the right to purchase up to 31.25% of our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our consolidated statements of assets and liabilities, was approximately $6.8 million and $2.7 million as of December 31, 2017 and 2016, respectively. For purposes of determining the fair value of the Written Call Option, we calculated the difference in the fair value of the underlying equity investment in Eastport Holdings, LLC and the strike price of the Written Call Option, or intrinsic value. The time value of the Written Call Option as of December 31, 2017 and 2016 was determined to be insignificant. The Written Call Option is classified as a Level 3 financial instrument. The Written Call Option was the only option contract granted by us during the year ended December 31, 2016, and the Written Call Option remained outstanding as of December 31, 2017.</w:t>
      </w:r>
    </w:p>
    <w:p>
      <w:pPr>
        <w:spacing w:after="0" w:line="70"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As of December 31, 2017, our average portfolio company investment and our largest portfolio company investment at amortized cost and fair value was approximately $9.9 million and $10.6 million, and $21.6 million and $42.9 million, respectively. As of December 31, 2017, the Company had approximately $31.2 million of cash and cash equivalents. As of December 31, 2016, our average portfolio company investment and our largest portfolio company investment at amortized cost and fair value was approximately $9.7 million and $10.2 million, and $22.1 million and $29.9 million, respectively. As of December 31, 2016, the Company had approximately $36.3 million of cash and cash equivalents.</w:t>
      </w:r>
    </w:p>
    <w:p>
      <w:pPr>
        <w:spacing w:after="0" w:line="85" w:lineRule="exact"/>
        <w:rPr>
          <w:sz w:val="20"/>
          <w:szCs w:val="20"/>
          <w:color w:val="auto"/>
        </w:rPr>
      </w:pPr>
    </w:p>
    <w:p>
      <w:pPr>
        <w:ind w:left="40" w:right="779" w:firstLine="270"/>
        <w:spacing w:after="0" w:line="255" w:lineRule="auto"/>
        <w:rPr>
          <w:sz w:val="20"/>
          <w:szCs w:val="20"/>
          <w:color w:val="auto"/>
        </w:rPr>
      </w:pPr>
      <w:r>
        <w:rPr>
          <w:rFonts w:ascii="Arial" w:cs="Arial" w:eastAsia="Arial" w:hAnsi="Arial"/>
          <w:sz w:val="18"/>
          <w:szCs w:val="18"/>
          <w:color w:val="auto"/>
        </w:rPr>
        <w:t>As of December 31, 2017, our debt investment portfolio, which represented 75.5% of our total portfolio, had a weighted average annualized yield of approximately 12.8%, exclusive of the impact of our non-accrual debt investments. As of December 31, 2017, 51.7% of our debt investment portfolio was bearing a fixed rate of interest. As of December 31, 2016, our debt investment portfolio, which represented 82.8% of our total portfolio, had a weighted average annualized yield of approximately 13.2%, exclusive of the impact of our non-accrual debt investments. As of December 31, 2016, 57.1% of our debt investment portfolio was bearing a fixed rate of interest.</w:t>
      </w:r>
    </w:p>
    <w:p>
      <w:pPr>
        <w:spacing w:after="0" w:line="85"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The weighted annualized yield is calculated based on the effective interest rate as of period end, divided by the fair value of our accruing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yield will remain at its current level.</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0" w:name="page81"/>
    <w:bookmarkEnd w:id="8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amortized cost and the fair value of investments and cash and cash equivalents as of</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2017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1885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Investments at</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Investments at</w:t>
            </w:r>
          </w:p>
        </w:tc>
        <w:tc>
          <w:tcPr>
            <w:tcW w:w="1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Percentage</w:t>
            </w:r>
          </w:p>
        </w:tc>
      </w:tr>
      <w:tr>
        <w:trPr>
          <w:trHeight w:val="171"/>
        </w:trPr>
        <w:tc>
          <w:tcPr>
            <w:tcW w:w="346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Amortized Cost</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of Total</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of Total</w:t>
            </w: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Lien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257,147</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243,489</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45.8%</w:t>
            </w: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32,465</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30,794</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5.8</w:t>
            </w: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120,235</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103,385</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19.5</w:t>
            </w: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55,180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122,271</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23.0</w:t>
            </w: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31,221</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31,221</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r>
      <w:tr>
        <w:trPr>
          <w:trHeight w:val="20"/>
        </w:trPr>
        <w:tc>
          <w:tcPr>
            <w:tcW w:w="3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10"/>
        </w:trPr>
        <w:tc>
          <w:tcPr>
            <w:tcW w:w="346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496,248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531,160</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r>
      <w:tr>
        <w:trPr>
          <w:trHeight w:val="21"/>
        </w:trPr>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-179705</wp:posOffset>
            </wp:positionV>
            <wp:extent cx="5213985" cy="180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amortized cost and the fair value of investments and cash and cash equivalents as of</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2016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1885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Investments at</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Investments at</w:t>
            </w:r>
          </w:p>
        </w:tc>
        <w:tc>
          <w:tcPr>
            <w:tcW w:w="1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Percentage</w:t>
            </w:r>
          </w:p>
        </w:tc>
      </w:tr>
      <w:tr>
        <w:trPr>
          <w:trHeight w:val="171"/>
        </w:trPr>
        <w:tc>
          <w:tcPr>
            <w:tcW w:w="346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Amortized Cost</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of Total</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of Total</w:t>
            </w: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Lien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244,647</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226,578</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74,559</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71,483</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12.3</w:t>
            </w: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148,849</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150,232</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26.0</w:t>
            </w: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45,721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93,346</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16.2</w:t>
            </w: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36,281</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36,281</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r>
      <w:tr>
        <w:trPr>
          <w:trHeight w:val="20"/>
        </w:trPr>
        <w:tc>
          <w:tcPr>
            <w:tcW w:w="3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10"/>
        </w:trPr>
        <w:tc>
          <w:tcPr>
            <w:tcW w:w="346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550,057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577,920</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r>
      <w:tr>
        <w:trPr>
          <w:trHeight w:val="21"/>
        </w:trPr>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-179705</wp:posOffset>
            </wp:positionV>
            <wp:extent cx="5213985"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2057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December 31, 2016</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Investments at</w:t>
            </w:r>
          </w:p>
        </w:tc>
        <w:tc>
          <w:tcPr>
            <w:tcW w:w="160" w:type="dxa"/>
            <w:vAlign w:val="bottom"/>
          </w:tcPr>
          <w:p>
            <w:pPr>
              <w:spacing w:after="0"/>
              <w:rPr>
                <w:sz w:val="10"/>
                <w:szCs w:val="10"/>
                <w:color w:val="auto"/>
              </w:rPr>
            </w:pPr>
          </w:p>
        </w:tc>
        <w:tc>
          <w:tcPr>
            <w:tcW w:w="10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Percentage of</w:t>
            </w:r>
          </w:p>
        </w:tc>
        <w:tc>
          <w:tcPr>
            <w:tcW w:w="160" w:type="dxa"/>
            <w:vAlign w:val="bottom"/>
          </w:tcPr>
          <w:p>
            <w:pPr>
              <w:spacing w:after="0"/>
              <w:rPr>
                <w:sz w:val="10"/>
                <w:szCs w:val="10"/>
                <w:color w:val="auto"/>
              </w:rPr>
            </w:pPr>
          </w:p>
        </w:tc>
        <w:tc>
          <w:tcPr>
            <w:tcW w:w="10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Investments at</w:t>
            </w:r>
          </w:p>
        </w:tc>
        <w:tc>
          <w:tcPr>
            <w:tcW w:w="160" w:type="dxa"/>
            <w:vAlign w:val="bottom"/>
          </w:tcPr>
          <w:p>
            <w:pPr>
              <w:spacing w:after="0"/>
              <w:rPr>
                <w:sz w:val="10"/>
                <w:szCs w:val="10"/>
                <w:color w:val="auto"/>
              </w:rPr>
            </w:pPr>
          </w:p>
        </w:tc>
        <w:tc>
          <w:tcPr>
            <w:tcW w:w="110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rPr>
              <w:t>Percentage of</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480" w:type="dxa"/>
            <w:vAlign w:val="bottom"/>
            <w:vMerge w:val="restart"/>
          </w:tcPr>
          <w:p>
            <w:pPr>
              <w:ind w:left="20"/>
              <w:spacing w:after="0"/>
              <w:rPr>
                <w:sz w:val="20"/>
                <w:szCs w:val="20"/>
                <w:color w:val="auto"/>
              </w:rPr>
            </w:pPr>
            <w:r>
              <w:rPr>
                <w:rFonts w:ascii="Arial" w:cs="Arial" w:eastAsia="Arial" w:hAnsi="Arial"/>
                <w:sz w:val="18"/>
                <w:szCs w:val="18"/>
                <w:color w:val="auto"/>
              </w:rPr>
              <w:t>Business Services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Total 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Total Portfolio</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70,122</w:t>
            </w:r>
          </w:p>
        </w:tc>
        <w:tc>
          <w:tcPr>
            <w:tcW w:w="160" w:type="dxa"/>
            <w:vAlign w:val="bottom"/>
          </w:tcPr>
          <w:p>
            <w:pPr>
              <w:spacing w:after="0"/>
              <w:rPr>
                <w:sz w:val="18"/>
                <w:szCs w:val="18"/>
                <w:color w:val="auto"/>
              </w:rPr>
            </w:pPr>
          </w:p>
        </w:tc>
        <w:tc>
          <w:tcPr>
            <w:tcW w:w="1080" w:type="dxa"/>
            <w:vAlign w:val="bottom"/>
          </w:tcPr>
          <w:p>
            <w:pPr>
              <w:jc w:val="right"/>
              <w:ind w:right="164"/>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51,731</w:t>
            </w:r>
          </w:p>
        </w:tc>
        <w:tc>
          <w:tcPr>
            <w:tcW w:w="160" w:type="dxa"/>
            <w:vAlign w:val="bottom"/>
          </w:tcPr>
          <w:p>
            <w:pPr>
              <w:spacing w:after="0"/>
              <w:rPr>
                <w:sz w:val="18"/>
                <w:szCs w:val="18"/>
                <w:color w:val="auto"/>
              </w:rPr>
            </w:pPr>
          </w:p>
        </w:tc>
        <w:tc>
          <w:tcPr>
            <w:tcW w:w="1100" w:type="dxa"/>
            <w:vAlign w:val="bottom"/>
          </w:tcPr>
          <w:p>
            <w:pPr>
              <w:jc w:val="right"/>
              <w:ind w:right="257"/>
              <w:spacing w:after="0"/>
              <w:rPr>
                <w:sz w:val="20"/>
                <w:szCs w:val="20"/>
                <w:color w:val="auto"/>
              </w:rPr>
            </w:pPr>
            <w:r>
              <w:rPr>
                <w:rFonts w:ascii="Arial" w:cs="Arial" w:eastAsia="Arial" w:hAnsi="Arial"/>
                <w:sz w:val="18"/>
                <w:szCs w:val="18"/>
                <w:color w:val="auto"/>
              </w:rPr>
              <w:t>9.5%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29,612</w:t>
            </w:r>
          </w:p>
        </w:tc>
        <w:tc>
          <w:tcPr>
            <w:tcW w:w="12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5.6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Oil &amp; Gas Services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27,774</w:t>
            </w:r>
          </w:p>
        </w:tc>
        <w:tc>
          <w:tcPr>
            <w:tcW w:w="1240" w:type="dxa"/>
            <w:vAlign w:val="bottom"/>
            <w:gridSpan w:val="2"/>
          </w:tcPr>
          <w:p>
            <w:pPr>
              <w:jc w:val="right"/>
              <w:ind w:right="304"/>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15,083</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26,920</w:t>
            </w:r>
          </w:p>
        </w:tc>
        <w:tc>
          <w:tcPr>
            <w:tcW w:w="12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25,553</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4.7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Information Technology</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24,761</w:t>
            </w:r>
          </w:p>
        </w:tc>
        <w:tc>
          <w:tcPr>
            <w:tcW w:w="1240" w:type="dxa"/>
            <w:vAlign w:val="bottom"/>
            <w:gridSpan w:val="2"/>
          </w:tcPr>
          <w:p>
            <w:pPr>
              <w:jc w:val="right"/>
              <w:ind w:right="304"/>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24,232</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4.5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21,368</w:t>
            </w:r>
          </w:p>
        </w:tc>
        <w:tc>
          <w:tcPr>
            <w:tcW w:w="12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1.6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Specialty Retail</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20,713</w:t>
            </w:r>
          </w:p>
        </w:tc>
        <w:tc>
          <w:tcPr>
            <w:tcW w:w="1240" w:type="dxa"/>
            <w:vAlign w:val="bottom"/>
            <w:gridSpan w:val="2"/>
          </w:tcPr>
          <w:p>
            <w:pPr>
              <w:jc w:val="right"/>
              <w:ind w:right="304"/>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22,067</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4.1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Products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17,879</w:t>
            </w:r>
          </w:p>
        </w:tc>
        <w:tc>
          <w:tcPr>
            <w:tcW w:w="12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18,152</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3.3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Footwear Retail</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17,748</w:t>
            </w:r>
          </w:p>
        </w:tc>
        <w:tc>
          <w:tcPr>
            <w:tcW w:w="1240" w:type="dxa"/>
            <w:vAlign w:val="bottom"/>
            <w:gridSpan w:val="2"/>
          </w:tcPr>
          <w:p>
            <w:pPr>
              <w:jc w:val="right"/>
              <w:ind w:right="304"/>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19,236</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3.5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&amp; Marketing Services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17,388</w:t>
            </w:r>
          </w:p>
        </w:tc>
        <w:tc>
          <w:tcPr>
            <w:tcW w:w="12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Food Product Manufacturer</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16,222</w:t>
            </w:r>
          </w:p>
        </w:tc>
        <w:tc>
          <w:tcPr>
            <w:tcW w:w="1240" w:type="dxa"/>
            <w:vAlign w:val="bottom"/>
            <w:gridSpan w:val="2"/>
          </w:tcPr>
          <w:p>
            <w:pPr>
              <w:jc w:val="right"/>
              <w:ind w:right="304"/>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16,599</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Equipment Rental</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15,603</w:t>
            </w:r>
          </w:p>
        </w:tc>
        <w:tc>
          <w:tcPr>
            <w:tcW w:w="12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2.0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15,000</w:t>
            </w:r>
          </w:p>
        </w:tc>
        <w:tc>
          <w:tcPr>
            <w:tcW w:w="1240" w:type="dxa"/>
            <w:vAlign w:val="bottom"/>
            <w:gridSpan w:val="2"/>
          </w:tcPr>
          <w:p>
            <w:pPr>
              <w:jc w:val="right"/>
              <w:ind w:right="304"/>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Supply Retail</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12,551</w:t>
            </w:r>
          </w:p>
        </w:tc>
        <w:tc>
          <w:tcPr>
            <w:tcW w:w="12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12,183</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Textile Equipment Manufacturer</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12,505</w:t>
            </w:r>
          </w:p>
        </w:tc>
        <w:tc>
          <w:tcPr>
            <w:tcW w:w="1240" w:type="dxa"/>
            <w:vAlign w:val="bottom"/>
            <w:gridSpan w:val="2"/>
          </w:tcPr>
          <w:p>
            <w:pPr>
              <w:jc w:val="right"/>
              <w:ind w:right="304"/>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13,134</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2.4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 Consulting</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12,231</w:t>
            </w:r>
          </w:p>
        </w:tc>
        <w:tc>
          <w:tcPr>
            <w:tcW w:w="12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Fuel Transportation Services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11,588</w:t>
            </w:r>
          </w:p>
        </w:tc>
        <w:tc>
          <w:tcPr>
            <w:tcW w:w="1240" w:type="dxa"/>
            <w:vAlign w:val="bottom"/>
            <w:gridSpan w:val="2"/>
          </w:tcPr>
          <w:p>
            <w:pPr>
              <w:jc w:val="right"/>
              <w:ind w:right="304"/>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10,303</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1.9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11,560</w:t>
            </w:r>
          </w:p>
        </w:tc>
        <w:tc>
          <w:tcPr>
            <w:tcW w:w="12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Government Services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10,320</w:t>
            </w:r>
          </w:p>
        </w:tc>
        <w:tc>
          <w:tcPr>
            <w:tcW w:w="1240" w:type="dxa"/>
            <w:vAlign w:val="bottom"/>
            <w:gridSpan w:val="2"/>
          </w:tcPr>
          <w:p>
            <w:pPr>
              <w:jc w:val="right"/>
              <w:ind w:right="304"/>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Automobile Part Manufacturer</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9,285</w:t>
            </w:r>
          </w:p>
        </w:tc>
        <w:tc>
          <w:tcPr>
            <w:tcW w:w="12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1.9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Healthcare Management</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9,014</w:t>
            </w:r>
          </w:p>
        </w:tc>
        <w:tc>
          <w:tcPr>
            <w:tcW w:w="1240" w:type="dxa"/>
            <w:vAlign w:val="bottom"/>
            <w:gridSpan w:val="2"/>
          </w:tcPr>
          <w:p>
            <w:pPr>
              <w:jc w:val="right"/>
              <w:ind w:right="304"/>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10,851</w:t>
            </w:r>
          </w:p>
        </w:tc>
        <w:tc>
          <w:tcPr>
            <w:tcW w:w="1260" w:type="dxa"/>
            <w:vAlign w:val="bottom"/>
            <w:gridSpan w:val="2"/>
          </w:tcPr>
          <w:p>
            <w:pPr>
              <w:jc w:val="right"/>
              <w:ind w:right="397"/>
              <w:spacing w:after="0"/>
              <w:rPr>
                <w:sz w:val="20"/>
                <w:szCs w:val="20"/>
                <w:color w:val="auto"/>
              </w:rPr>
            </w:pPr>
            <w:r>
              <w:rPr>
                <w:rFonts w:ascii="Arial" w:cs="Arial" w:eastAsia="Arial" w:hAnsi="Arial"/>
                <w:sz w:val="18"/>
                <w:szCs w:val="18"/>
                <w:color w:val="auto"/>
              </w:rPr>
              <w:t>2.0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and Personal Digital Imaging</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8,810</w:t>
            </w:r>
          </w:p>
        </w:tc>
        <w:tc>
          <w:tcPr>
            <w:tcW w:w="12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1.7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Refrigeration/HVAC Services</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8,736</w:t>
            </w:r>
          </w:p>
        </w:tc>
        <w:tc>
          <w:tcPr>
            <w:tcW w:w="1240" w:type="dxa"/>
            <w:vAlign w:val="bottom"/>
            <w:gridSpan w:val="2"/>
          </w:tcPr>
          <w:p>
            <w:pPr>
              <w:jc w:val="right"/>
              <w:ind w:right="304"/>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right"/>
              <w:ind w:right="964"/>
              <w:spacing w:after="0"/>
              <w:rPr>
                <w:sz w:val="20"/>
                <w:szCs w:val="20"/>
                <w:color w:val="auto"/>
              </w:rPr>
            </w:pPr>
            <w:r>
              <w:rPr>
                <w:rFonts w:ascii="Arial" w:cs="Arial" w:eastAsia="Arial" w:hAnsi="Arial"/>
                <w:sz w:val="18"/>
                <w:szCs w:val="18"/>
                <w:color w:val="auto"/>
                <w:w w:val="89"/>
              </w:rPr>
              <w:t>78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4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4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3520" w:type="dxa"/>
            <w:vAlign w:val="bottom"/>
            <w:gridSpan w:val="3"/>
          </w:tcPr>
          <w:p>
            <w:pPr>
              <w:ind w:left="2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160" w:type="dxa"/>
            <w:vAlign w:val="bottom"/>
          </w:tcPr>
          <w:p>
            <w:pPr>
              <w:spacing w:after="0"/>
              <w:rPr>
                <w:sz w:val="10"/>
                <w:szCs w:val="10"/>
                <w:color w:val="auto"/>
              </w:rPr>
            </w:pPr>
          </w:p>
        </w:tc>
        <w:tc>
          <w:tcPr>
            <w:tcW w:w="108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Percentage of</w:t>
            </w:r>
          </w:p>
        </w:tc>
        <w:tc>
          <w:tcPr>
            <w:tcW w:w="160" w:type="dxa"/>
            <w:vAlign w:val="bottom"/>
          </w:tcPr>
          <w:p>
            <w:pPr>
              <w:spacing w:after="0"/>
              <w:rPr>
                <w:sz w:val="10"/>
                <w:szCs w:val="10"/>
                <w:color w:val="auto"/>
              </w:rPr>
            </w:pPr>
          </w:p>
        </w:tc>
        <w:tc>
          <w:tcPr>
            <w:tcW w:w="98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Investments at</w:t>
            </w:r>
          </w:p>
        </w:tc>
        <w:tc>
          <w:tcPr>
            <w:tcW w:w="160" w:type="dxa"/>
            <w:vAlign w:val="bottom"/>
          </w:tcPr>
          <w:p>
            <w:pPr>
              <w:spacing w:after="0"/>
              <w:rPr>
                <w:sz w:val="10"/>
                <w:szCs w:val="10"/>
                <w:color w:val="auto"/>
              </w:rPr>
            </w:pPr>
          </w:p>
        </w:tc>
        <w:tc>
          <w:tcPr>
            <w:tcW w:w="108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171"/>
        </w:trPr>
        <w:tc>
          <w:tcPr>
            <w:tcW w:w="3520" w:type="dxa"/>
            <w:vAlign w:val="bottom"/>
            <w:gridSpan w:val="3"/>
            <w:vMerge w:val="restart"/>
          </w:tcPr>
          <w:p>
            <w:pPr>
              <w:ind w:left="20"/>
              <w:spacing w:after="0"/>
              <w:rPr>
                <w:sz w:val="20"/>
                <w:szCs w:val="20"/>
                <w:color w:val="auto"/>
              </w:rPr>
            </w:pPr>
            <w:r>
              <w:rPr>
                <w:rFonts w:ascii="Arial" w:cs="Arial" w:eastAsia="Arial" w:hAnsi="Arial"/>
                <w:sz w:val="18"/>
                <w:szCs w:val="18"/>
                <w:color w:val="auto"/>
              </w:rPr>
              <w:t>Oil &amp; Gas Engineering and Consulting</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 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195"/>
        </w:trPr>
        <w:tc>
          <w:tcPr>
            <w:tcW w:w="35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8,528</w:t>
            </w:r>
          </w:p>
        </w:tc>
        <w:tc>
          <w:tcPr>
            <w:tcW w:w="8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4,500</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QSR Franchisor</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Conglomerate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7,645</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8,374</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Bowling Products</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12,503</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Produce Distribution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6,170</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6,182</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Farming</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11,779</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Advertising &amp; Marketing Services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5,157</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3,910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Restaurant</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Medical Device Distributor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4,713</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25,768</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Online Merchandise Retailer</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4,169</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Consumer Electronics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3,498</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20,818</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Home Repair Parts Manufacturer</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1,408</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Replacement Window Manufacturer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1,880</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2,571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Household Product Manufacturer</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1,001</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Data Processing &amp; Digital Marketing</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1,015</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In-Home Healthcare Services</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Automotive Chemicals &amp; Lubricants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2,230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Retail Display &amp; Security Services</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Dental Practice Management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Home Décor Manufacturer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Printing Services</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12,761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Bakery Supplies Distributor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10,776</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Construction Services</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9,500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Specialty Clothing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5,011</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Satellite Communications</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Industrial Specialty Services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Specialty Defense Contractor</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1,532</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Entertainment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499,939</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541,639</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-4570095</wp:posOffset>
            </wp:positionV>
            <wp:extent cx="52139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December 31, 2017 and December 31, 2016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December 31, 2017 and December 31, 2016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1885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At December 31, 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At December 31, 2016</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w w:val="96"/>
              </w:rPr>
              <w:t>Investments at</w:t>
            </w:r>
          </w:p>
        </w:tc>
        <w:tc>
          <w:tcPr>
            <w:tcW w:w="160" w:type="dxa"/>
            <w:vAlign w:val="bottom"/>
          </w:tcPr>
          <w:p>
            <w:pPr>
              <w:spacing w:after="0"/>
              <w:rPr>
                <w:sz w:val="10"/>
                <w:szCs w:val="10"/>
                <w:color w:val="auto"/>
              </w:rPr>
            </w:pPr>
          </w:p>
        </w:tc>
        <w:tc>
          <w:tcPr>
            <w:tcW w:w="11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Percentage of</w:t>
            </w:r>
          </w:p>
        </w:tc>
        <w:tc>
          <w:tcPr>
            <w:tcW w:w="160" w:type="dxa"/>
            <w:vAlign w:val="bottom"/>
          </w:tcPr>
          <w:p>
            <w:pPr>
              <w:spacing w:after="0"/>
              <w:rPr>
                <w:sz w:val="10"/>
                <w:szCs w:val="10"/>
                <w:color w:val="auto"/>
              </w:rPr>
            </w:pPr>
          </w:p>
        </w:tc>
        <w:tc>
          <w:tcPr>
            <w:tcW w:w="100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Investments at</w:t>
            </w:r>
          </w:p>
        </w:tc>
        <w:tc>
          <w:tcPr>
            <w:tcW w:w="160" w:type="dxa"/>
            <w:vAlign w:val="bottom"/>
          </w:tcPr>
          <w:p>
            <w:pPr>
              <w:spacing w:after="0"/>
              <w:rPr>
                <w:sz w:val="10"/>
                <w:szCs w:val="10"/>
                <w:color w:val="auto"/>
              </w:rPr>
            </w:pPr>
          </w:p>
        </w:tc>
        <w:tc>
          <w:tcPr>
            <w:tcW w:w="11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171"/>
        </w:trPr>
        <w:tc>
          <w:tcPr>
            <w:tcW w:w="3440" w:type="dxa"/>
            <w:vAlign w:val="bottom"/>
            <w:vMerge w:val="restart"/>
          </w:tcPr>
          <w:p>
            <w:pPr>
              <w:ind w:left="20"/>
              <w:spacing w:after="0"/>
              <w:rPr>
                <w:sz w:val="20"/>
                <w:szCs w:val="20"/>
                <w:color w:val="auto"/>
              </w:rPr>
            </w:pPr>
            <w:r>
              <w:rPr>
                <w:rFonts w:ascii="Arial" w:cs="Arial" w:eastAsia="Arial" w:hAnsi="Arial"/>
                <w:sz w:val="18"/>
                <w:szCs w:val="18"/>
                <w:color w:val="auto"/>
              </w:rPr>
              <w:t>South</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Total 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254,829</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257,162</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107,835</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85,642</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Midwest</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84,832</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118,682</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44,428</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68,613</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8,015</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11,540</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499,939</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541,639</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919" w:firstLine="270"/>
        <w:spacing w:after="0" w:line="277" w:lineRule="auto"/>
        <w:rPr>
          <w:sz w:val="20"/>
          <w:szCs w:val="20"/>
          <w:color w:val="auto"/>
        </w:rPr>
      </w:pPr>
      <w:r>
        <w:rPr>
          <w:rFonts w:ascii="Arial" w:cs="Arial" w:eastAsia="Arial" w:hAnsi="Arial"/>
          <w:sz w:val="18"/>
          <w:szCs w:val="18"/>
          <w:color w:val="auto"/>
        </w:rPr>
        <w:t>In addition to various risk management tools, our Investment Advisor uses an investment rating system to characterize and monitor our expected level of return on each investment in our portfolio.</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167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60" w:type="dxa"/>
            <w:vAlign w:val="bottom"/>
          </w:tcPr>
          <w:p>
            <w:pPr>
              <w:jc w:val="center"/>
              <w:ind w:right="1508"/>
              <w:spacing w:after="0"/>
              <w:rPr>
                <w:sz w:val="20"/>
                <w:szCs w:val="20"/>
                <w:color w:val="auto"/>
              </w:rPr>
            </w:pPr>
            <w:r>
              <w:rPr>
                <w:rFonts w:ascii="Arial" w:cs="Arial" w:eastAsia="Arial" w:hAnsi="Arial"/>
                <w:sz w:val="14"/>
                <w:szCs w:val="14"/>
                <w:b w:val="1"/>
                <w:bCs w:val="1"/>
                <w:color w:val="auto"/>
                <w:w w:val="91"/>
              </w:rPr>
              <w:t>Investment</w:t>
            </w:r>
          </w:p>
        </w:tc>
        <w:tc>
          <w:tcPr>
            <w:tcW w:w="222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92"/>
              </w:rPr>
              <w:t>Definition</w:t>
            </w:r>
          </w:p>
        </w:tc>
        <w:tc>
          <w:tcPr>
            <w:tcW w:w="0" w:type="dxa"/>
            <w:vAlign w:val="bottom"/>
          </w:tcPr>
          <w:p>
            <w:pPr>
              <w:spacing w:after="0"/>
              <w:rPr>
                <w:sz w:val="1"/>
                <w:szCs w:val="1"/>
                <w:color w:val="auto"/>
              </w:rPr>
            </w:pPr>
          </w:p>
        </w:tc>
      </w:tr>
      <w:tr>
        <w:trPr>
          <w:trHeight w:val="186"/>
        </w:trPr>
        <w:tc>
          <w:tcPr>
            <w:tcW w:w="2260" w:type="dxa"/>
            <w:vAlign w:val="bottom"/>
          </w:tcPr>
          <w:p>
            <w:pPr>
              <w:jc w:val="center"/>
              <w:ind w:right="1508"/>
              <w:spacing w:after="0"/>
              <w:rPr>
                <w:sz w:val="20"/>
                <w:szCs w:val="20"/>
                <w:color w:val="auto"/>
              </w:rPr>
            </w:pPr>
            <w:r>
              <w:rPr>
                <w:rFonts w:ascii="Arial" w:cs="Arial" w:eastAsia="Arial" w:hAnsi="Arial"/>
                <w:sz w:val="14"/>
                <w:szCs w:val="14"/>
                <w:b w:val="1"/>
                <w:bCs w:val="1"/>
                <w:color w:val="auto"/>
                <w:w w:val="91"/>
              </w:rPr>
              <w:t>Rating</w:t>
            </w: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47510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ind w:left="1140" w:right="2979" w:hanging="685"/>
        <w:spacing w:after="0" w:line="264" w:lineRule="auto"/>
        <w:tabs>
          <w:tab w:leader="none" w:pos="11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general, the investment may be performing above our internal expectations. Full return of principal and interest is expected. Capital gain is expected.</w:t>
      </w:r>
    </w:p>
    <w:p>
      <w:pPr>
        <w:spacing w:after="0" w:line="1" w:lineRule="exact"/>
        <w:rPr>
          <w:sz w:val="20"/>
          <w:szCs w:val="20"/>
          <w:color w:val="auto"/>
        </w:rPr>
      </w:pPr>
    </w:p>
    <w:p>
      <w:pPr>
        <w:ind w:left="1140" w:hanging="68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w:t>
      </w:r>
    </w:p>
    <w:p>
      <w:pPr>
        <w:spacing w:after="0" w:line="9" w:lineRule="exact"/>
        <w:rPr>
          <w:sz w:val="20"/>
          <w:szCs w:val="20"/>
          <w:color w:val="auto"/>
        </w:rPr>
      </w:pPr>
    </w:p>
    <w:p>
      <w:pPr>
        <w:ind w:left="1140" w:right="2919"/>
        <w:spacing w:after="0" w:line="250" w:lineRule="auto"/>
        <w:rPr>
          <w:sz w:val="20"/>
          <w:szCs w:val="20"/>
          <w:color w:val="auto"/>
        </w:rPr>
      </w:pPr>
      <w:r>
        <w:rPr>
          <w:rFonts w:ascii="Arial" w:cs="Arial" w:eastAsia="Arial" w:hAnsi="Arial"/>
          <w:sz w:val="18"/>
          <w:szCs w:val="18"/>
          <w:color w:val="auto"/>
        </w:rPr>
        <w:t>potential risks to the applicable investment are considered to be neutral or favorable compared to any potential risks at the time of the original investment. All new investments are initially given this rating.</w:t>
      </w:r>
    </w:p>
    <w:p>
      <w:pPr>
        <w:spacing w:after="0" w:line="1" w:lineRule="exact"/>
        <w:rPr>
          <w:sz w:val="20"/>
          <w:szCs w:val="20"/>
          <w:color w:val="auto"/>
        </w:rPr>
      </w:pPr>
    </w:p>
    <w:p>
      <w:pPr>
        <w:ind w:left="1140" w:right="2619" w:hanging="685"/>
        <w:spacing w:after="0" w:line="281" w:lineRule="auto"/>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general, the investment may be performing below our internal expectations and therefore, investments in this category may require closer internal monitoring; however, the valuation team believes that no loss of investment return (interest and/or dividends)</w:t>
      </w:r>
    </w:p>
    <w:p>
      <w:pPr>
        <w:spacing w:after="0" w:line="2" w:lineRule="exact"/>
        <w:rPr>
          <w:sz w:val="20"/>
          <w:szCs w:val="20"/>
          <w:color w:val="auto"/>
        </w:rPr>
      </w:pPr>
    </w:p>
    <w:p>
      <w:pPr>
        <w:ind w:left="1140" w:right="2919"/>
        <w:spacing w:after="0" w:line="250" w:lineRule="auto"/>
        <w:rPr>
          <w:sz w:val="20"/>
          <w:szCs w:val="20"/>
          <w:color w:val="auto"/>
        </w:rPr>
      </w:pPr>
      <w:r>
        <w:rPr>
          <w:rFonts w:ascii="Arial" w:cs="Arial" w:eastAsia="Arial" w:hAnsi="Arial"/>
          <w:sz w:val="18"/>
          <w:szCs w:val="18"/>
          <w:color w:val="auto"/>
        </w:rPr>
        <w:t>or principal is expected. The investment also may be out of compliance with certain financial covenants.</w:t>
      </w:r>
    </w:p>
    <w:p>
      <w:pPr>
        <w:spacing w:after="0" w:line="1" w:lineRule="exact"/>
        <w:rPr>
          <w:sz w:val="20"/>
          <w:szCs w:val="20"/>
          <w:color w:val="auto"/>
        </w:rPr>
      </w:pPr>
    </w:p>
    <w:p>
      <w:pPr>
        <w:ind w:left="1140" w:hanging="685"/>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w:t>
      </w:r>
    </w:p>
    <w:p>
      <w:pPr>
        <w:spacing w:after="0" w:line="9" w:lineRule="exact"/>
        <w:rPr>
          <w:sz w:val="20"/>
          <w:szCs w:val="20"/>
          <w:color w:val="auto"/>
        </w:rPr>
      </w:pPr>
    </w:p>
    <w:p>
      <w:pPr>
        <w:ind w:left="1140" w:right="3019"/>
        <w:spacing w:after="0" w:line="250" w:lineRule="auto"/>
        <w:rPr>
          <w:sz w:val="20"/>
          <w:szCs w:val="20"/>
          <w:color w:val="auto"/>
        </w:rPr>
      </w:pPr>
      <w:r>
        <w:rPr>
          <w:rFonts w:ascii="Arial" w:cs="Arial" w:eastAsia="Arial" w:hAnsi="Arial"/>
          <w:sz w:val="18"/>
          <w:szCs w:val="18"/>
          <w:color w:val="auto"/>
        </w:rPr>
        <w:t>quantitative or qualitative risks may have increased substantially since the original investment. Loss of some or all principal is expected.</w:t>
      </w:r>
    </w:p>
    <w:p>
      <w:pPr>
        <w:spacing w:after="0" w:line="1" w:lineRule="exact"/>
        <w:rPr>
          <w:sz w:val="20"/>
          <w:szCs w:val="20"/>
          <w:color w:val="auto"/>
        </w:rPr>
      </w:pPr>
    </w:p>
    <w:p>
      <w:pPr>
        <w:ind w:left="1140" w:right="2879" w:hanging="685"/>
        <w:spacing w:after="0" w:line="302" w:lineRule="auto"/>
        <w:tabs>
          <w:tab w:leader="none" w:pos="1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47"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79"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as of December 31, 2017 and 2016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 2017</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 2016</w:t>
            </w: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Investments at</w:t>
            </w:r>
          </w:p>
        </w:tc>
        <w:tc>
          <w:tcPr>
            <w:tcW w:w="10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Investments at</w:t>
            </w:r>
          </w:p>
        </w:tc>
        <w:tc>
          <w:tcPr>
            <w:tcW w:w="100" w:type="dxa"/>
            <w:vAlign w:val="bottom"/>
          </w:tcPr>
          <w:p>
            <w:pPr>
              <w:spacing w:after="0"/>
              <w:rPr>
                <w:sz w:val="10"/>
                <w:szCs w:val="10"/>
                <w:color w:val="auto"/>
              </w:rPr>
            </w:pPr>
          </w:p>
        </w:tc>
        <w:tc>
          <w:tcPr>
            <w:tcW w:w="10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Rating</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191,204</w:t>
            </w:r>
          </w:p>
        </w:tc>
        <w:tc>
          <w:tcPr>
            <w:tcW w:w="10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183,826</w:t>
            </w:r>
          </w:p>
        </w:tc>
        <w:tc>
          <w:tcPr>
            <w:tcW w:w="10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186,445</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215,058</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97,309</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125,381</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24,981</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17,374</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499,939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541,639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302" w:lineRule="auto"/>
        <w:rPr>
          <w:sz w:val="20"/>
          <w:szCs w:val="20"/>
          <w:color w:val="auto"/>
        </w:rPr>
      </w:pPr>
      <w:r>
        <w:rPr>
          <w:rFonts w:ascii="Arial" w:cs="Arial" w:eastAsia="Arial" w:hAnsi="Arial"/>
          <w:sz w:val="16"/>
          <w:szCs w:val="16"/>
          <w:color w:val="auto"/>
        </w:rPr>
        <w:t>As of December 31, 2017, we had debt investments in four portfolio companies on non-accrual status with an amortized cost of $50.1 million and a fair value of $25.0 million, which represented 10.8% and 5.0% of the investment portfolio, respectively. As of December 31, 2016, we had debt investments in three portfolio companies on non-accrual status with amortized cost of $29.5 million and a fair value of $17.4 million, which represented 5.7% and 3.2% of the investment portfolio, respectively.</w:t>
      </w:r>
    </w:p>
    <w:p>
      <w:pPr>
        <w:spacing w:after="0" w:line="200" w:lineRule="exact"/>
        <w:rPr>
          <w:sz w:val="20"/>
          <w:szCs w:val="20"/>
          <w:color w:val="auto"/>
        </w:rPr>
      </w:pPr>
    </w:p>
    <w:p>
      <w:pPr>
        <w:spacing w:after="0" w:line="29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117"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On March 24, 2015, the Company and Trinity Universal Insurance Company (“Trinity”), a subsidiary of Kemper Corporation entered into a limited liability company agreement to co-manage CSLLF. The purpose and design of the joint venture was to invest primarily in broadly syndicated senior secured loans to middle-market companies, which were purchased on the secondary market. Capitala and Trinity committed to provide $25.0 million of equity to CSLLF, with Capitala providing $20.0 million and Trinity providing $5.0 million, resulting in an 80%/20% economic ownership between the two parties. The board of directors and investment committee of CSLLF were split 50/50 between Trinity and Capitala, resulting in equal voting power between the two entities. In September 2016, the Company and Trinity elected to wind-down operations of CSLLF. During the fourth quarter of 2016, CSLLF sold all referenced assets underlying the total return swap (“TRS”) and declared final distributions, inclusive of dividends and return of capital, in December 2016.</w:t>
      </w:r>
    </w:p>
    <w:p>
      <w:pPr>
        <w:spacing w:after="0" w:line="74"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Because the TRS was wound down in a prior period, only comparative period disclosures are included herein. For the years ended December 31, 2016 and December 31, 2015, the Company received $1.8 million and $0.9 million, respectively, in dividend income from its equity interest in CSLLF. For the year ended December 31, 2016, CSLLF declared a return of capital distribution to the Company in the amount of $20.0 million, which included $19.9 million in cash received in December 2016, and $0.1 million paid in the first quarter of 2017.</w:t>
      </w:r>
    </w:p>
    <w:p>
      <w:pPr>
        <w:spacing w:after="0" w:line="80"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On March 27, 2015, CSLLF entered into a TRS with Bank of America, N.A. (“Bank of America”) that was indexed to a basket of senior secured loans purchased by CSLLF. CSLLF obtained the economic benefit of the loans underlying the TRS, including the net interest spread between the interest income generated by the underlying loans and the interest expense type payment under the TRS, the realized gain (loss) on liquidated loans, and the unrealized appreciation (depreciation) on the underlying loans.</w:t>
      </w:r>
    </w:p>
    <w:p>
      <w:pPr>
        <w:spacing w:after="0" w:line="46"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The terms of the TRS were governed by an ISDA 2002 Master Agreement, the Schedule thereto, and Credit Support Annex to such Schedule, and the confirmation exchanged thereunder, between CSLLF and Bank of America, which collectively established the TRS, and are collectively referred to herein as the “TRS Agreement.” Pursuant to the terms of the TRS Agreement, CSLLF selected a portfolio of loans with a maximum market value (determined at the time each such loan becomes subject to the TRS) of $100.0 million, which was also referred to as the maximum notional amount of the TRS. Each individual loan, and the portfolio of loans taken as a whole, had to meet criteria described in the TRS Agreement. CSLLF received from Bank of America a periodic payment on set dates that was based upon any coupons, both earned and accrued, generated by the loans underlying the TRS, subject to limitations described in the TRS Agreement as well as any fees associated with the loans included in the portfolio. CSLLF paid to Bank of America interest at a rate equal to the London Interbank Offered Rate (“LIBOR”) plus 1.25% per annum; the LIBOR option paid by CSLLF was determined on an asset by asset basis such that the tenor of the LIBOR option (1 month, 3 month, etc.) matched the tenor of the underlying reference asset. In addition, upon the termination of any loan subject to the TRS or any repayment of the underlying reference asset, CSLLF either received from Bank of America the appreciation in the value of such loan, or paid to Bank of America any depreciation in the value of such loan.</w:t>
      </w:r>
    </w:p>
    <w:p>
      <w:pPr>
        <w:spacing w:after="0" w:line="67" w:lineRule="exact"/>
        <w:rPr>
          <w:sz w:val="20"/>
          <w:szCs w:val="20"/>
          <w:color w:val="auto"/>
        </w:rPr>
      </w:pPr>
    </w:p>
    <w:p>
      <w:pPr>
        <w:ind w:left="40" w:right="799" w:firstLine="270"/>
        <w:spacing w:after="0" w:line="259" w:lineRule="auto"/>
        <w:rPr>
          <w:sz w:val="20"/>
          <w:szCs w:val="20"/>
          <w:color w:val="auto"/>
        </w:rPr>
      </w:pPr>
      <w:r>
        <w:rPr>
          <w:rFonts w:ascii="Arial" w:cs="Arial" w:eastAsia="Arial" w:hAnsi="Arial"/>
          <w:sz w:val="18"/>
          <w:szCs w:val="18"/>
          <w:color w:val="auto"/>
        </w:rPr>
        <w:t>CSLLF was required to pay an unused facility fee of 1.25% on any amount of unused facility under the minimum facility amount of $70.0 million as outlined in the TRS Agreement. Such unused facility fees were not applied during the first 4 months and last 60 days of the term of the TRS. CSLLF also agreed to pay Bank of America customary fees and expenses in connection with the establishment and maintenance of the TRS.</w:t>
      </w:r>
    </w:p>
    <w:p>
      <w:pPr>
        <w:spacing w:after="0" w:line="79" w:lineRule="exact"/>
        <w:rPr>
          <w:sz w:val="20"/>
          <w:szCs w:val="20"/>
          <w:color w:val="auto"/>
        </w:rPr>
      </w:pPr>
    </w:p>
    <w:p>
      <w:pPr>
        <w:ind w:left="40" w:right="739" w:firstLine="270"/>
        <w:spacing w:after="0" w:line="276" w:lineRule="auto"/>
        <w:rPr>
          <w:sz w:val="20"/>
          <w:szCs w:val="20"/>
          <w:color w:val="auto"/>
        </w:rPr>
      </w:pPr>
      <w:r>
        <w:rPr>
          <w:rFonts w:ascii="Arial" w:cs="Arial" w:eastAsia="Arial" w:hAnsi="Arial"/>
          <w:sz w:val="17"/>
          <w:szCs w:val="17"/>
          <w:color w:val="auto"/>
        </w:rPr>
        <w:t>CSLLF was required to initially cash collateralize a specified percentage of each loan (generally 20% to 35% of the market value of senior secured loans) included under the TRS in accordance with margin requirements described in the TRS Agreement. As of December 31, 2016, CSLLF had posted $0.0 million in collateral to Bank of America in relation to the TRS, which was recorded on CSLLF’s statements of assets and liabilities as cash held as collateral on total return swap. The cash collateral represented CSLLF’s maximum credit exposure as of December 31, 2016.</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4" w:name="page85"/>
    <w:bookmarkEnd w:id="84"/>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699" w:firstLine="270"/>
        <w:spacing w:after="0" w:line="264" w:lineRule="auto"/>
        <w:rPr>
          <w:sz w:val="20"/>
          <w:szCs w:val="20"/>
          <w:color w:val="auto"/>
        </w:rPr>
      </w:pPr>
      <w:r>
        <w:rPr>
          <w:rFonts w:ascii="Arial" w:cs="Arial" w:eastAsia="Arial" w:hAnsi="Arial"/>
          <w:sz w:val="18"/>
          <w:szCs w:val="18"/>
          <w:color w:val="auto"/>
        </w:rPr>
        <w:t>In connection with the TRS, CSLLF made customary representations and warranties and was required to comply with various covenants, reporting requirements and other customary requirements for similar transactions governed by an ISDA 2002 Master Agreement.</w:t>
      </w:r>
    </w:p>
    <w:p>
      <w:pPr>
        <w:spacing w:after="0" w:line="73" w:lineRule="exact"/>
        <w:rPr>
          <w:sz w:val="20"/>
          <w:szCs w:val="20"/>
          <w:color w:val="auto"/>
        </w:rPr>
      </w:pPr>
    </w:p>
    <w:p>
      <w:pPr>
        <w:ind w:left="180" w:right="599" w:firstLine="270"/>
        <w:spacing w:after="0" w:line="259" w:lineRule="auto"/>
        <w:rPr>
          <w:sz w:val="20"/>
          <w:szCs w:val="20"/>
          <w:color w:val="auto"/>
        </w:rPr>
      </w:pPr>
      <w:r>
        <w:rPr>
          <w:rFonts w:ascii="Arial" w:cs="Arial" w:eastAsia="Arial" w:hAnsi="Arial"/>
          <w:sz w:val="18"/>
          <w:szCs w:val="18"/>
          <w:color w:val="auto"/>
        </w:rPr>
        <w:t>CSLLF’s receivable due on the TRS represents realized amounts from payments on underlying loans in the total return swap portfolio. At December 31, 2016, the receivable due on TRS was $0.1 million, and is recorded on CSLLF’s statement of assets and liabilities below. CSLLF does not offset collateral posted in relation to the TRS with any unrealized appreciation or depreciation outstanding in the statement of assets and liabilities as of December 31, 2016.</w:t>
      </w:r>
    </w:p>
    <w:p>
      <w:pPr>
        <w:spacing w:after="0" w:line="79" w:lineRule="exact"/>
        <w:rPr>
          <w:sz w:val="20"/>
          <w:szCs w:val="20"/>
          <w:color w:val="auto"/>
        </w:rPr>
      </w:pPr>
    </w:p>
    <w:p>
      <w:pPr>
        <w:ind w:left="180" w:right="539" w:firstLine="270"/>
        <w:spacing w:after="0" w:line="312" w:lineRule="auto"/>
        <w:rPr>
          <w:sz w:val="20"/>
          <w:szCs w:val="20"/>
          <w:color w:val="auto"/>
        </w:rPr>
      </w:pPr>
      <w:r>
        <w:rPr>
          <w:rFonts w:ascii="Arial" w:cs="Arial" w:eastAsia="Arial" w:hAnsi="Arial"/>
          <w:sz w:val="16"/>
          <w:szCs w:val="16"/>
          <w:color w:val="auto"/>
        </w:rPr>
        <w:t>Transactions in TRS contracts during the year ended December 31, 2016 resulted in $2.3 million in realized gains and $2.8 million in unrealized appreciation. Transactions in TRS contracts during the year ended December 31, 2015 resulted in $1.4 million in realized gains and $(2.8) million in unrealized depreciation, which is recorded on CSLLF’s statements of operations below.</w:t>
      </w:r>
    </w:p>
    <w:p>
      <w:pPr>
        <w:spacing w:after="0" w:line="39" w:lineRule="exact"/>
        <w:rPr>
          <w:sz w:val="20"/>
          <w:szCs w:val="20"/>
          <w:color w:val="auto"/>
        </w:rPr>
      </w:pPr>
    </w:p>
    <w:p>
      <w:pPr>
        <w:ind w:left="180" w:right="839" w:firstLine="270"/>
        <w:spacing w:after="0" w:line="277" w:lineRule="auto"/>
        <w:rPr>
          <w:sz w:val="20"/>
          <w:szCs w:val="20"/>
          <w:color w:val="auto"/>
        </w:rPr>
      </w:pPr>
      <w:r>
        <w:rPr>
          <w:rFonts w:ascii="Arial" w:cs="Arial" w:eastAsia="Arial" w:hAnsi="Arial"/>
          <w:sz w:val="18"/>
          <w:szCs w:val="18"/>
          <w:color w:val="auto"/>
        </w:rPr>
        <w:t>The following represents the volume of the CSLLF’s derivative transactions during the years ended December 31, 2016 and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6"/>
              </w:rPr>
              <w:t>For the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26"/>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9"/>
              </w:rPr>
              <w:t>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6"/>
              <w:spacing w:after="0" w:line="176" w:lineRule="exact"/>
              <w:rPr>
                <w:sz w:val="20"/>
                <w:szCs w:val="20"/>
                <w:color w:val="auto"/>
              </w:rPr>
            </w:pPr>
            <w:r>
              <w:rPr>
                <w:rFonts w:ascii="Arial" w:cs="Arial" w:eastAsia="Arial" w:hAnsi="Arial"/>
                <w:sz w:val="13"/>
                <w:szCs w:val="13"/>
                <w:b w:val="1"/>
                <w:bCs w:val="1"/>
                <w:color w:val="auto"/>
                <w:w w:val="92"/>
              </w:rPr>
              <w:t>2015</w:t>
            </w:r>
            <w:r>
              <w:rPr>
                <w:rFonts w:ascii="Arial" w:cs="Arial" w:eastAsia="Arial" w:hAnsi="Arial"/>
                <w:sz w:val="20"/>
                <w:szCs w:val="20"/>
                <w:b w:val="1"/>
                <w:bCs w:val="1"/>
                <w:color w:val="auto"/>
                <w:w w:val="92"/>
                <w:vertAlign w:val="superscript"/>
              </w:rPr>
              <w:t>(1)</w:t>
            </w:r>
          </w:p>
        </w:tc>
      </w:tr>
      <w:tr>
        <w:trPr>
          <w:trHeight w:val="210"/>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Average notional par amount of contract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56,681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61,306</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25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Average calculated from period of TRS inception, March 27, 2015 to December 31, 2015.</w:t>
      </w:r>
    </w:p>
    <w:p>
      <w:pPr>
        <w:spacing w:after="0" w:line="117" w:lineRule="exact"/>
        <w:rPr>
          <w:sz w:val="20"/>
          <w:szCs w:val="20"/>
          <w:color w:val="auto"/>
        </w:rPr>
      </w:pPr>
    </w:p>
    <w:p>
      <w:pPr>
        <w:ind w:left="180" w:right="619" w:firstLine="270"/>
        <w:spacing w:after="0" w:line="277" w:lineRule="auto"/>
        <w:rPr>
          <w:sz w:val="20"/>
          <w:szCs w:val="20"/>
          <w:color w:val="auto"/>
        </w:rPr>
      </w:pPr>
      <w:r>
        <w:rPr>
          <w:rFonts w:ascii="Arial" w:cs="Arial" w:eastAsia="Arial" w:hAnsi="Arial"/>
          <w:sz w:val="18"/>
          <w:szCs w:val="18"/>
          <w:color w:val="auto"/>
        </w:rPr>
        <w:t>Below is certain summarized financial information for CSLLF as of December 31, 2016 and for the years ended December 31, 2016, and December 31, 2015 (dollars in thousands):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Selected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510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Receivable due on Total Return Swap</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payable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Total net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net assets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120" w:type="dxa"/>
            <w:vAlign w:val="bottom"/>
          </w:tcPr>
          <w:p>
            <w:pPr>
              <w:spacing w:after="0"/>
              <w:rPr>
                <w:sz w:val="24"/>
                <w:szCs w:val="24"/>
                <w:color w:val="auto"/>
              </w:rPr>
            </w:pPr>
          </w:p>
        </w:tc>
        <w:tc>
          <w:tcPr>
            <w:tcW w:w="5340" w:type="dxa"/>
            <w:vAlign w:val="bottom"/>
            <w:tcBorders>
              <w:top w:val="single" w:sz="8" w:color="CCEEFF"/>
            </w:tcBorders>
          </w:tcPr>
          <w:p>
            <w:pPr>
              <w:ind w:left="60"/>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For the</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For the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27,</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2015 to</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left="98"/>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legal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Net operating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(104)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on Total Return Swap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1,366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5340" w:type="dxa"/>
            <w:vAlign w:val="bottom"/>
          </w:tcPr>
          <w:p>
            <w:pPr>
              <w:ind w:left="20"/>
              <w:spacing w:after="0" w:line="201" w:lineRule="exact"/>
              <w:rPr>
                <w:sz w:val="20"/>
                <w:szCs w:val="20"/>
                <w:color w:val="auto"/>
              </w:rPr>
            </w:pPr>
            <w:r>
              <w:rPr>
                <w:rFonts w:ascii="Arial" w:cs="Arial" w:eastAsia="Arial" w:hAnsi="Arial"/>
                <w:sz w:val="18"/>
                <w:szCs w:val="18"/>
                <w:color w:val="auto"/>
                <w:w w:val="97"/>
              </w:rPr>
              <w:t>Net change in unrealized appreciation (depreciation) on Total Return</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Swap</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2,828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(2,828)</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53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 (DECREASE) IN NET ASSETS RESULTING</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0" w:type="dxa"/>
            <w:vAlign w:val="bottom"/>
          </w:tcPr>
          <w:p>
            <w:pPr>
              <w:spacing w:after="0"/>
              <w:rPr>
                <w:sz w:val="23"/>
                <w:szCs w:val="23"/>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(1,566)</w:t>
            </w: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5340" w:type="dxa"/>
            <w:vAlign w:val="bottom"/>
            <w:tcBorders>
              <w:top w:val="single" w:sz="8" w:color="CCEEFF"/>
            </w:tcBorders>
          </w:tcPr>
          <w:p>
            <w:pPr>
              <w:ind w:left="4580"/>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53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5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-3524250</wp:posOffset>
            </wp:positionV>
            <wp:extent cx="475107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-3215005</wp:posOffset>
            </wp:positionV>
            <wp:extent cx="4751070" cy="180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-2614930</wp:posOffset>
            </wp:positionV>
            <wp:extent cx="475107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-1543050</wp:posOffset>
            </wp:positionV>
            <wp:extent cx="4751070" cy="1803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475107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-2331720</wp:posOffset>
            </wp:positionV>
            <wp:extent cx="47510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85" w:name="page86"/>
    <w:bookmarkEnd w:id="8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results for the years ended December 31, 2017, 2016 and 2015 are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Total investment income</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51,089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68,312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63,976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 net of fee waivers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38,649</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15,524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29,040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25,327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realized gain (loss) from investments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(24,189)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(22,766)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w w:val="96"/>
              </w:rPr>
              <w:t>Net unrealized appreciation (depreciation) on investments</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7,049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5,594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(16,913)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 on written call option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Tax provision</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44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 (decrease) in net assets resulting from</w:t>
            </w: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75107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60" w:right="739" w:firstLine="270"/>
        <w:spacing w:after="0" w:line="277" w:lineRule="auto"/>
        <w:rPr>
          <w:sz w:val="20"/>
          <w:szCs w:val="20"/>
          <w:color w:val="auto"/>
        </w:rPr>
      </w:pPr>
      <w:r>
        <w:rPr>
          <w:rFonts w:ascii="Arial" w:cs="Arial" w:eastAsia="Arial" w:hAnsi="Arial"/>
          <w:sz w:val="18"/>
          <w:szCs w:val="18"/>
          <w:color w:val="auto"/>
        </w:rPr>
        <w:t>The composition of our investment income for the years ended December 31, 2017, 2016 and 2015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40,462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54,990</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50,586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income</w:t>
            </w: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Payment-in-kind interest and dividend income</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6,300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Interest from cash and cash equivalents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51,089</w:t>
            </w:r>
          </w:p>
        </w:tc>
        <w:tc>
          <w:tcPr>
            <w:tcW w:w="80" w:type="dxa"/>
            <w:vAlign w:val="bottom"/>
          </w:tcPr>
          <w:p>
            <w:pPr>
              <w:spacing w:after="0"/>
              <w:rPr>
                <w:sz w:val="18"/>
                <w:szCs w:val="18"/>
                <w:color w:val="auto"/>
              </w:rPr>
            </w:pP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68,312</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63,976</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59" w:firstLine="270"/>
        <w:spacing w:after="0" w:line="312" w:lineRule="auto"/>
        <w:rPr>
          <w:sz w:val="20"/>
          <w:szCs w:val="20"/>
          <w:color w:val="auto"/>
        </w:rPr>
      </w:pPr>
      <w:r>
        <w:rPr>
          <w:rFonts w:ascii="Arial" w:cs="Arial" w:eastAsia="Arial" w:hAnsi="Arial"/>
          <w:sz w:val="16"/>
          <w:szCs w:val="16"/>
          <w:color w:val="auto"/>
        </w:rPr>
        <w:t>The income reported as interest income and PIK interest and dividend income is generally based on the stated rates as disclosed in our consolidated schedule of investments. Accretion of discounts paid for purchased loans are included in interest income as an adjustment to yield. As a general rule, our interest income and PIK interest and PIK dividend income are recurring in nature.</w:t>
      </w:r>
    </w:p>
    <w:p>
      <w:pPr>
        <w:spacing w:after="0" w:line="39" w:lineRule="exact"/>
        <w:rPr>
          <w:sz w:val="20"/>
          <w:szCs w:val="20"/>
          <w:color w:val="auto"/>
        </w:rPr>
      </w:pPr>
    </w:p>
    <w:p>
      <w:pPr>
        <w:ind w:left="60" w:right="699" w:firstLine="270"/>
        <w:spacing w:after="0" w:line="259" w:lineRule="auto"/>
        <w:rPr>
          <w:sz w:val="20"/>
          <w:szCs w:val="20"/>
          <w:color w:val="auto"/>
        </w:rPr>
      </w:pPr>
      <w:r>
        <w:rPr>
          <w:rFonts w:ascii="Arial" w:cs="Arial" w:eastAsia="Arial" w:hAnsi="Arial"/>
          <w:sz w:val="18"/>
          <w:szCs w:val="18"/>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79" w:lineRule="exact"/>
        <w:rPr>
          <w:sz w:val="20"/>
          <w:szCs w:val="20"/>
          <w:color w:val="auto"/>
        </w:rPr>
      </w:pPr>
    </w:p>
    <w:p>
      <w:pPr>
        <w:ind w:left="60" w:right="939" w:firstLine="270"/>
        <w:spacing w:after="0" w:line="259" w:lineRule="auto"/>
        <w:rPr>
          <w:sz w:val="20"/>
          <w:szCs w:val="20"/>
          <w:color w:val="auto"/>
        </w:rPr>
      </w:pPr>
      <w:r>
        <w:rPr>
          <w:rFonts w:ascii="Arial" w:cs="Arial" w:eastAsia="Arial" w:hAnsi="Arial"/>
          <w:sz w:val="18"/>
          <w:szCs w:val="18"/>
          <w:color w:val="auto"/>
        </w:rPr>
        <w:t>We earn dividends on certain equity investments within our investment portfolio. As noted in our consolidated schedule of investments, some investments are scheduled to pay a periodic dividend, though these recurring dividends do not make up a significant portion of our total investment income. We may, and have received, more substantial one-time dividends from our equity investments.</w:t>
      </w:r>
    </w:p>
    <w:p>
      <w:pPr>
        <w:spacing w:after="0" w:line="79" w:lineRule="exact"/>
        <w:rPr>
          <w:sz w:val="20"/>
          <w:szCs w:val="20"/>
          <w:color w:val="auto"/>
        </w:rPr>
      </w:pPr>
    </w:p>
    <w:p>
      <w:pPr>
        <w:ind w:left="60" w:right="679" w:firstLine="270"/>
        <w:spacing w:after="0" w:line="291" w:lineRule="auto"/>
        <w:rPr>
          <w:sz w:val="20"/>
          <w:szCs w:val="20"/>
          <w:color w:val="auto"/>
        </w:rPr>
      </w:pPr>
      <w:r>
        <w:rPr>
          <w:rFonts w:ascii="Arial" w:cs="Arial" w:eastAsia="Arial" w:hAnsi="Arial"/>
          <w:sz w:val="16"/>
          <w:szCs w:val="16"/>
          <w:color w:val="auto"/>
        </w:rPr>
        <w:t>For the year ended December 31, 2017, total investment income decreased by $17.2 million, or 25.2%, compared to the year ended December 31, 2016. The decrease from the prior year was driven primarily by a $14.5 million decline in interest income, from $55.0 million for the year ended December 31, 2016, to $40.5 million for the year ended December 31, 2017. The decline in interest income was caused by a decline in average outstanding debt investments, and an increase in average non-accrual debt investments. Fee income declined by $2.1 million compared to the prior year, from $4.1 million for the year ended December 31, 2016 to $2.0 million for the year ended December 31, 2017. For the year ended December 31, 2017, we generated $1.2 million in origination fees from new deployments and $0.8 million in other fees. Comparatively, for the</w:t>
      </w: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6" w:name="page87"/>
    <w:bookmarkEnd w:id="8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39"/>
        <w:spacing w:after="0" w:line="255" w:lineRule="auto"/>
        <w:rPr>
          <w:sz w:val="20"/>
          <w:szCs w:val="20"/>
          <w:color w:val="auto"/>
        </w:rPr>
      </w:pPr>
      <w:r>
        <w:rPr>
          <w:rFonts w:ascii="Arial" w:cs="Arial" w:eastAsia="Arial" w:hAnsi="Arial"/>
          <w:sz w:val="18"/>
          <w:szCs w:val="18"/>
          <w:color w:val="auto"/>
        </w:rPr>
        <w:t>year ended December 31, 2016, we generated $2.1 million in origination fees from new deployments and $2.0 million in other fees. Dividend income decreased from $2.8 million for the year ended December 31, 2016 to $1.2 million for the year ended December 31, 2017, mostly driven by a $1.8 million decrease in dividends paid by CSLLF. PIK income increased $0.8 million compared to the prior year, from $6.3 million for the year ended December 31, 2016 to $7.1 million for the year ended December 31, 2017. The increase in PIK income was primarily due to investments restructured during the year ended December 31, 2017 that provided for an increase in the PIK rate being charged.</w:t>
      </w:r>
    </w:p>
    <w:p>
      <w:pPr>
        <w:spacing w:after="0" w:line="85" w:lineRule="exact"/>
        <w:rPr>
          <w:sz w:val="20"/>
          <w:szCs w:val="20"/>
          <w:color w:val="auto"/>
        </w:rPr>
      </w:pPr>
    </w:p>
    <w:p>
      <w:pPr>
        <w:ind w:left="60" w:right="519" w:firstLine="270"/>
        <w:spacing w:after="0" w:line="291" w:lineRule="auto"/>
        <w:rPr>
          <w:sz w:val="20"/>
          <w:szCs w:val="20"/>
          <w:color w:val="auto"/>
        </w:rPr>
      </w:pPr>
      <w:r>
        <w:rPr>
          <w:rFonts w:ascii="Arial" w:cs="Arial" w:eastAsia="Arial" w:hAnsi="Arial"/>
          <w:sz w:val="16"/>
          <w:szCs w:val="16"/>
          <w:color w:val="auto"/>
        </w:rPr>
        <w:t>For the year ended December 31, 2016, total investment income increased by $4.3 million, or 6.8%, compared to the year ended December 31, 2015. The increase from the prior period relates primarily to higher interest and PIK income from a larger average investment portfolio. For the year ended December 31, 2016, we generated $2.1 million in origination fees from new deployments and $2.0 million in other fees. Comparatively, for the year ended December 31, 2015, we generated $3.5 million in origination fees from new deployments and $2.4 million in other fees. The year over year decline in origination fee income was due to a decline in investment originations. Dividend income increased from $2.1 million for the year ended December 31, 2015 to $2.8 million for the year ended December 31, 2016, mostly driven by a $0.9 million increase in dividends paid by CSLLF.</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composition of our expenses for the years ended December 31, 2017, 2016 and 2015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47510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Interest and financing expenses</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18,825</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19,711</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19,022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Base management fee</w:t>
            </w: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9,780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10,588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10,590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fees, net of incentive fee waiver</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3,878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3,804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 net of fee waivers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35,565</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39,272</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559" w:firstLine="270"/>
        <w:spacing w:after="0" w:line="270" w:lineRule="auto"/>
        <w:rPr>
          <w:sz w:val="20"/>
          <w:szCs w:val="20"/>
          <w:color w:val="auto"/>
        </w:rPr>
      </w:pPr>
      <w:r>
        <w:rPr>
          <w:rFonts w:ascii="Arial" w:cs="Arial" w:eastAsia="Arial" w:hAnsi="Arial"/>
          <w:sz w:val="17"/>
          <w:szCs w:val="17"/>
          <w:color w:val="auto"/>
        </w:rPr>
        <w:t>For the year ended December 31, 2017, operating expenses decreased by $3.7 million, or 9.4%, compared to the year ended December 31, 2016. For the year ended December 31, 2017, we recognized a $2.7 million loss on extinguishment of debt related to repayment of the 7.125% fixed-rate notes due 2021. The increase in expenses related to the loss on extinguishment of debt was offset by (i) a decline in base management fees, from $10.6 million for the year ended December 31, 2016, to $9.8 million for the year ended December 31, 2017 due to lower average assets under management, (ii) a decline in incentive fees, net of incentive fee waiver, from $5.2 million for the year ended December 31, 2016 to $0.4 million for the year ended December 31, 2017, due to lower pre-incentive fee net investment income, and (iii) a decline in interest and financing expenses, from $19.7 million for the year ended December 31, 2016 to $18.8 million for the year ended December 31, 2017, primarily due to a lower average debt balance outstanding during the period.</w:t>
      </w:r>
    </w:p>
    <w:p>
      <w:pPr>
        <w:spacing w:after="0" w:line="74" w:lineRule="exact"/>
        <w:rPr>
          <w:sz w:val="20"/>
          <w:szCs w:val="20"/>
          <w:color w:val="auto"/>
        </w:rPr>
      </w:pPr>
    </w:p>
    <w:p>
      <w:pPr>
        <w:ind w:left="60" w:right="579" w:firstLine="270"/>
        <w:spacing w:after="0" w:line="297" w:lineRule="auto"/>
        <w:rPr>
          <w:sz w:val="20"/>
          <w:szCs w:val="20"/>
          <w:color w:val="auto"/>
        </w:rPr>
      </w:pPr>
      <w:r>
        <w:rPr>
          <w:rFonts w:ascii="Arial" w:cs="Arial" w:eastAsia="Arial" w:hAnsi="Arial"/>
          <w:sz w:val="16"/>
          <w:szCs w:val="16"/>
          <w:color w:val="auto"/>
        </w:rPr>
        <w:t>For the year ended December 31, 2016, operating expenses increased by $0.6 million, or 1.6%, compared to the year ended December 31, 2015. The increase from the prior period was primarily due to an increase in interest and financing expenses due to a larger average outstanding balance on the senior secured revolving credit agreement (the “Credit Facility”) with ING Capital, LLC, as administrative agent, arranger, and bookrunner, and the lender party thereto for the year ended December 31, 2016 compared to the year ended December 31, 2015. Other expenses remained relatively unchanged year over year.</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gains (losses) on sales of investments</w:t>
      </w:r>
    </w:p>
    <w:p>
      <w:pPr>
        <w:spacing w:after="0" w:line="117"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During the years ended December 31, 2017, 2016, and 2015, we recognized $(24.2) million, $(22.8) million and $5.4 million of net realized gains (losses) on our portfolio investments, respectively.</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117" w:lineRule="exact"/>
        <w:rPr>
          <w:sz w:val="20"/>
          <w:szCs w:val="20"/>
          <w:color w:val="auto"/>
        </w:rPr>
      </w:pPr>
    </w:p>
    <w:p>
      <w:pPr>
        <w:ind w:left="40" w:right="699" w:firstLine="270"/>
        <w:spacing w:after="0" w:line="264" w:lineRule="auto"/>
        <w:rPr>
          <w:sz w:val="20"/>
          <w:szCs w:val="20"/>
          <w:color w:val="auto"/>
        </w:rPr>
      </w:pPr>
      <w:r>
        <w:rPr>
          <w:rFonts w:ascii="Arial" w:cs="Arial" w:eastAsia="Arial" w:hAnsi="Arial"/>
          <w:sz w:val="18"/>
          <w:szCs w:val="18"/>
          <w:color w:val="auto"/>
        </w:rPr>
        <w:t>Net change in unrealized appreciation (depreciation) on investments reflects the net change in the fair value of our investment portfolio. For the years ended December 31, 2017, 2016, and 2015, we had $7.0 million, $5.6 million and $(16.9) million of unrealized appreciation (depreciation) on investments, respectively.</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unrealized depreciation on Written Call option</w:t>
      </w:r>
    </w:p>
    <w:p>
      <w:pPr>
        <w:spacing w:after="0" w:line="117"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For the years ended December 31, 2017, 2016 and 2015 we had net unrealized depreciation on the Written Call Option of $4.1 million, $2.7 million, and $0.0 million, respectively.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Tax provision</w:t>
      </w:r>
    </w:p>
    <w:p>
      <w:pPr>
        <w:spacing w:after="0" w:line="117"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For the year ended December 31, 2017, we recorded a tax provision of $1.3 million. For the years ended December 31, 2016 and 2015, we recorded a tax provision of $0.0 million.</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For the years ended December 31, 2017, 2016, and 2015 we recorded a net increase (decrease) in net assets resulting from operations of $(7.0) million, $9.2 million, and $13.9 million, respectively. Based on the weighted average shares of common stock outstanding for the years ended December 31, 2017, 2016, and 2015 our per share net increase (decrease) in net assets resulting from operations was $(0.44), $0.58 and $0.91, respectively.</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Financial Information of Our Unconsolidated Subsidiaries</w:t>
      </w:r>
    </w:p>
    <w:p>
      <w:pPr>
        <w:spacing w:after="0" w:line="121"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 Company holds a control interest, as defined by the 1940 Act, in five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December 31, 2017 and December 31, 2016, and for the three years in the period then ended.</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117"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income the Company generated from CableOrganizer Acquisition, LLC, which includes all interest, dividends, PIK interest and PIK dividends, fees, and unrealized appreciation (depreciation), was $1.8 million, $1.9 million, and $0.4 million for the years ended December 31, 2017, December 31, 2016, and December 31, 2015, respectively.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PIK dividends, fees, and unrealized appreciation (depreciation), was $11.4 million and $14.3 million for the years ended December 31, 2017 and December 31, 2016, respectively. The Company invested in the portfolio company in January 2016. As such, comparative financial information for the year ended December 31, 2015 is not presented.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Kelle’s Transport Service, LLC</w:t>
      </w:r>
    </w:p>
    <w:p>
      <w:pPr>
        <w:spacing w:after="0" w:line="117"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Kelle’s Transport Service, LLC, a Delaware limited liability company organized on March 28, 2014, provides temperature sensitive transportation services throughout North America. The income (loss) the Company generated from Kelle’s Transport Service, LLC, which includes all interest, dividends, PIK interest and PIK dividends, fees, realized losses, and unrealized appreciation (depreciation), was $(6.9) million, $(1.2) million, and $3.0 million for the years ended December 31, 2017, December 31, 2016, and December 31, 2015, respectively.</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8" w:name="page89"/>
    <w:bookmarkEnd w:id="8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117" w:lineRule="exact"/>
        <w:rPr>
          <w:sz w:val="20"/>
          <w:szCs w:val="20"/>
          <w:color w:val="auto"/>
        </w:rPr>
      </w:pPr>
    </w:p>
    <w:p>
      <w:pPr>
        <w:ind w:left="180" w:right="699" w:firstLine="270"/>
        <w:spacing w:after="0" w:line="30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PIK dividends, fees, and unrealized appreciation (depreciation) was $0.7 million, $1.9 million, and $4.2 million for the years ended December 31, 2017, December 31, 2016, and December 31, 2015, respectively.</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On-Site Fuel Services, Inc.</w:t>
      </w:r>
    </w:p>
    <w:p>
      <w:pPr>
        <w:spacing w:after="0" w:line="117" w:lineRule="exact"/>
        <w:rPr>
          <w:sz w:val="20"/>
          <w:szCs w:val="20"/>
          <w:color w:val="auto"/>
        </w:rPr>
      </w:pPr>
    </w:p>
    <w:p>
      <w:pPr>
        <w:ind w:left="180" w:right="559" w:firstLine="270"/>
        <w:spacing w:after="0" w:line="297" w:lineRule="auto"/>
        <w:rPr>
          <w:sz w:val="20"/>
          <w:szCs w:val="20"/>
          <w:color w:val="auto"/>
        </w:rPr>
      </w:pPr>
      <w:r>
        <w:rPr>
          <w:rFonts w:ascii="Arial" w:cs="Arial" w:eastAsia="Arial" w:hAnsi="Arial"/>
          <w:sz w:val="16"/>
          <w:szCs w:val="16"/>
          <w:color w:val="auto"/>
        </w:rPr>
        <w:t>On-Site Fuel Services, Inc. is a 100% owned subsidiary of On-Site Fuel Holdings, Inc., which was incorporated in Delaware on December 19, 2011. On-Site Fuel Services, Inc. provides fueling services for commercial and government vehicle fleets throughout the southeast U.S. The income (loss) the Company generated from On-Site Fuel Service, Inc., which includes all interest, dividends, PIK interest and PIK dividends, fees, and unrealized appreciation (depreciation), was $0.1 million, $4.5 million, and $(3.2) million for the years ended December 31, 2017, December 31, 2016, and December 31, 2015, respectively.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summarized financial information of our unconsolidated subsidiaries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As of</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CableOrganizer Acquisition, LLC</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2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9,872</w:t>
            </w:r>
          </w:p>
        </w:tc>
        <w:tc>
          <w:tcPr>
            <w:tcW w:w="10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14,950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15,461</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12,373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11,882</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17,580</w:t>
            </w: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16,101</w:t>
            </w:r>
          </w:p>
        </w:tc>
        <w:tc>
          <w:tcPr>
            <w:tcW w:w="100" w:type="dxa"/>
            <w:vAlign w:val="bottom"/>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 deficit</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(2,630)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7"/>
          </w:tcPr>
          <w:p>
            <w:pPr>
              <w:jc w:val="right"/>
              <w:ind w:right="33"/>
              <w:spacing w:after="0"/>
              <w:rPr>
                <w:sz w:val="20"/>
                <w:szCs w:val="20"/>
                <w:color w:val="auto"/>
              </w:rPr>
            </w:pPr>
            <w:r>
              <w:rPr>
                <w:rFonts w:ascii="Arial" w:cs="Arial" w:eastAsia="Arial" w:hAnsi="Arial"/>
                <w:sz w:val="14"/>
                <w:szCs w:val="14"/>
                <w:b w:val="1"/>
                <w:bCs w:val="1"/>
                <w:color w:val="auto"/>
                <w:w w:val="95"/>
              </w:rPr>
              <w:t>For the year ended</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CableOrganizer Acquisition, LLC</w:t>
            </w:r>
          </w:p>
        </w:tc>
        <w:tc>
          <w:tcPr>
            <w:tcW w:w="96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left="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27,134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4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23,277</w:t>
            </w:r>
          </w:p>
        </w:tc>
        <w:tc>
          <w:tcPr>
            <w:tcW w:w="100" w:type="dxa"/>
            <w:vAlign w:val="bottom"/>
            <w:tcBorders>
              <w:top w:val="single" w:sz="8" w:color="auto"/>
            </w:tcBorders>
          </w:tcPr>
          <w:p>
            <w:pPr>
              <w:spacing w:after="0"/>
              <w:rPr>
                <w:sz w:val="18"/>
                <w:szCs w:val="18"/>
                <w:color w:val="auto"/>
              </w:rPr>
            </w:pPr>
          </w:p>
        </w:tc>
        <w:tc>
          <w:tcPr>
            <w:tcW w:w="26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25,315</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(2,782)</w:t>
            </w: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As of</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Eastport Holdings, LLC</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2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94,186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96,175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185,087</w:t>
            </w: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145,802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3"/>
          </w:tcPr>
          <w:p>
            <w:pPr>
              <w:jc w:val="right"/>
              <w:ind w:right="2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279,273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241,977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142,250</w:t>
            </w: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157,622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70,765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41,355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213,015</w:t>
            </w: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198,977</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3"/>
          </w:tcPr>
          <w:p>
            <w:pPr>
              <w:jc w:val="right"/>
              <w:ind w:right="2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66,258</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43,000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vMerge w:val="restart"/>
          </w:tcPr>
          <w:p>
            <w:pPr>
              <w:jc w:val="right"/>
              <w:ind w:right="192"/>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-4270375</wp:posOffset>
            </wp:positionV>
            <wp:extent cx="4751070" cy="180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-3669665</wp:posOffset>
            </wp:positionV>
            <wp:extent cx="475107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-2752090</wp:posOffset>
            </wp:positionV>
            <wp:extent cx="475107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-2177415</wp:posOffset>
            </wp:positionV>
            <wp:extent cx="475107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-1431290</wp:posOffset>
            </wp:positionV>
            <wp:extent cx="4751070" cy="180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-831215</wp:posOffset>
            </wp:positionV>
            <wp:extent cx="4751070"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-3438525</wp:posOffset>
            </wp:positionV>
            <wp:extent cx="47421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4218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-2117725</wp:posOffset>
            </wp:positionV>
            <wp:extent cx="47510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240" w:type="dxa"/>
            <w:vAlign w:val="bottom"/>
            <w:gridSpan w:val="3"/>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4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rPr>
              <w:t>For the year ended</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Statement of Operations – Eastport Holdings, LLC</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24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left="13"/>
              <w:spacing w:after="0"/>
              <w:rPr>
                <w:sz w:val="20"/>
                <w:szCs w:val="20"/>
                <w:color w:val="auto"/>
              </w:rPr>
            </w:pPr>
            <w:r>
              <w:rPr>
                <w:rFonts w:ascii="Arial" w:cs="Arial" w:eastAsia="Arial" w:hAnsi="Arial"/>
                <w:sz w:val="18"/>
                <w:szCs w:val="18"/>
                <w:color w:val="auto"/>
                <w:w w:val="89"/>
              </w:rPr>
              <w:t>556,895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499,986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411,167</w:t>
            </w: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377,036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left="13"/>
              <w:spacing w:after="0"/>
              <w:rPr>
                <w:sz w:val="20"/>
                <w:szCs w:val="20"/>
                <w:color w:val="auto"/>
              </w:rPr>
            </w:pPr>
            <w:r>
              <w:rPr>
                <w:rFonts w:ascii="Arial" w:cs="Arial" w:eastAsia="Arial" w:hAnsi="Arial"/>
                <w:sz w:val="18"/>
                <w:szCs w:val="18"/>
                <w:color w:val="auto"/>
                <w:w w:val="89"/>
              </w:rPr>
              <w:t>145,728</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122,950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89"/>
              </w:rPr>
              <w:t>134,231</w:t>
            </w: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111,677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11,497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11,273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10,869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11,273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As of</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 – Kelle’s Transport Service, LLC</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24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8,554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11,801</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left="13"/>
              <w:spacing w:after="0"/>
              <w:rPr>
                <w:sz w:val="20"/>
                <w:szCs w:val="20"/>
                <w:color w:val="auto"/>
              </w:rPr>
            </w:pPr>
            <w:r>
              <w:rPr>
                <w:rFonts w:ascii="Arial" w:cs="Arial" w:eastAsia="Arial" w:hAnsi="Arial"/>
                <w:sz w:val="18"/>
                <w:szCs w:val="18"/>
                <w:color w:val="auto"/>
                <w:w w:val="90"/>
              </w:rPr>
              <w:t>18,535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21,791</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11,092</w:t>
            </w: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center"/>
              <w:ind w:left="13"/>
              <w:spacing w:after="0"/>
              <w:rPr>
                <w:sz w:val="20"/>
                <w:szCs w:val="20"/>
                <w:color w:val="auto"/>
              </w:rPr>
            </w:pPr>
            <w:r>
              <w:rPr>
                <w:rFonts w:ascii="Arial" w:cs="Arial" w:eastAsia="Arial" w:hAnsi="Arial"/>
                <w:sz w:val="18"/>
                <w:szCs w:val="18"/>
                <w:color w:val="auto"/>
                <w:w w:val="90"/>
              </w:rPr>
              <w:t>17,693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14,962</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0"/>
              </w:rPr>
              <w:t>28,785</w:t>
            </w: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19,617</w:t>
            </w:r>
          </w:p>
        </w:tc>
        <w:tc>
          <w:tcPr>
            <w:tcW w:w="120" w:type="dxa"/>
            <w:vAlign w:val="bottom"/>
            <w:tcBorders>
              <w:left w:val="single" w:sz="8" w:color="CCEEFF"/>
            </w:tcBorders>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Total equity (deficit)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(10,250)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8"/>
              </w:rPr>
              <w:t>For the year ended</w:t>
            </w: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Statements of Operations – Kelle’s Transport Service, LLC</w:t>
            </w:r>
          </w:p>
        </w:tc>
        <w:tc>
          <w:tcPr>
            <w:tcW w:w="102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2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left="14"/>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51,405</w:t>
            </w: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65,471</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66,942</w:t>
            </w:r>
          </w:p>
        </w:tc>
        <w:tc>
          <w:tcPr>
            <w:tcW w:w="12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49,343</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55,859</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54,027</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9,612</w:t>
            </w:r>
          </w:p>
        </w:tc>
        <w:tc>
          <w:tcPr>
            <w:tcW w:w="1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12,915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(12,015)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(12,020)</w:t>
            </w:r>
          </w:p>
        </w:tc>
        <w:tc>
          <w:tcPr>
            <w:tcW w:w="8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(3,236)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 – Navis Holdings, Inc.</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2"/>
              </w:rPr>
              <w:t>December 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24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580" w:type="dxa"/>
            <w:vAlign w:val="bottom"/>
          </w:tcPr>
          <w:p>
            <w:pPr>
              <w:jc w:val="center"/>
              <w:ind w:left="73"/>
              <w:spacing w:after="0"/>
              <w:rPr>
                <w:sz w:val="20"/>
                <w:szCs w:val="20"/>
                <w:color w:val="auto"/>
              </w:rPr>
            </w:pPr>
            <w:r>
              <w:rPr>
                <w:rFonts w:ascii="Arial" w:cs="Arial" w:eastAsia="Arial" w:hAnsi="Arial"/>
                <w:sz w:val="18"/>
                <w:szCs w:val="18"/>
                <w:color w:val="auto"/>
                <w:w w:val="93"/>
              </w:rPr>
              <w:t>4,721</w:t>
            </w: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4,655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3"/>
              </w:rPr>
              <w:t>2,950</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3,446</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580" w:type="dxa"/>
            <w:vAlign w:val="bottom"/>
          </w:tcPr>
          <w:p>
            <w:pPr>
              <w:jc w:val="center"/>
              <w:ind w:left="73"/>
              <w:spacing w:after="0"/>
              <w:rPr>
                <w:sz w:val="20"/>
                <w:szCs w:val="20"/>
                <w:color w:val="auto"/>
              </w:rPr>
            </w:pPr>
            <w:r>
              <w:rPr>
                <w:rFonts w:ascii="Arial" w:cs="Arial" w:eastAsia="Arial" w:hAnsi="Arial"/>
                <w:sz w:val="18"/>
                <w:szCs w:val="18"/>
                <w:color w:val="auto"/>
                <w:w w:val="93"/>
              </w:rPr>
              <w:t>7,671</w:t>
            </w:r>
          </w:p>
        </w:tc>
        <w:tc>
          <w:tcPr>
            <w:tcW w:w="1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8,101</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3"/>
              </w:rPr>
              <w:t>1,941</w:t>
            </w: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2,448</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ind w:left="73"/>
              <w:spacing w:after="0"/>
              <w:rPr>
                <w:sz w:val="20"/>
                <w:szCs w:val="20"/>
                <w:color w:val="auto"/>
              </w:rPr>
            </w:pPr>
            <w:r>
              <w:rPr>
                <w:rFonts w:ascii="Arial" w:cs="Arial" w:eastAsia="Arial" w:hAnsi="Arial"/>
                <w:sz w:val="18"/>
                <w:szCs w:val="18"/>
                <w:color w:val="auto"/>
                <w:w w:val="93"/>
              </w:rPr>
              <w:t>6,973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6,719</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3"/>
              </w:rPr>
              <w:t>8,914</w:t>
            </w:r>
          </w:p>
        </w:tc>
        <w:tc>
          <w:tcPr>
            <w:tcW w:w="100" w:type="dxa"/>
            <w:vAlign w:val="bottom"/>
            <w:tcBorders>
              <w:left w:val="single" w:sz="8" w:color="CCEEFF"/>
            </w:tcBorders>
            <w:shd w:val="clear" w:color="auto" w:fill="CCEEFF"/>
          </w:tcPr>
          <w:p>
            <w:pPr>
              <w:spacing w:after="0"/>
              <w:rPr>
                <w:sz w:val="20"/>
                <w:szCs w:val="20"/>
                <w:color w:val="auto"/>
              </w:rPr>
            </w:pP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9,167</w:t>
            </w:r>
          </w:p>
        </w:tc>
        <w:tc>
          <w:tcPr>
            <w:tcW w:w="120" w:type="dxa"/>
            <w:vAlign w:val="bottom"/>
            <w:tcBorders>
              <w:left w:val="single" w:sz="8" w:color="CCEEFF"/>
            </w:tcBorders>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Total deficit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68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(1,243)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vMerge w:val="restart"/>
          </w:tcPr>
          <w:p>
            <w:pPr>
              <w:ind w:left="14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25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25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-5865495</wp:posOffset>
            </wp:positionV>
            <wp:extent cx="475107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-5299075</wp:posOffset>
            </wp:positionV>
            <wp:extent cx="475107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-4407535</wp:posOffset>
            </wp:positionV>
            <wp:extent cx="4751070" cy="180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-3806825</wp:posOffset>
            </wp:positionV>
            <wp:extent cx="4751070"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-2889250</wp:posOffset>
            </wp:positionV>
            <wp:extent cx="475107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-2323465</wp:posOffset>
            </wp:positionV>
            <wp:extent cx="4751070"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-1431290</wp:posOffset>
            </wp:positionV>
            <wp:extent cx="4751070" cy="180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-831215</wp:posOffset>
            </wp:positionV>
            <wp:extent cx="4751070" cy="2057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-6551295</wp:posOffset>
            </wp:positionV>
            <wp:extent cx="47510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-5093335</wp:posOffset>
            </wp:positionV>
            <wp:extent cx="47510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-3575685</wp:posOffset>
            </wp:positionV>
            <wp:extent cx="47510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-2117725</wp:posOffset>
            </wp:positionV>
            <wp:extent cx="4742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ectPr>
          <w:pgSz w:w="11900" w:h="16838" w:orient="portrait"/>
          <w:cols w:equalWidth="0" w:num="1">
            <w:col w:w="10219"/>
          </w:cols>
          <w:pgMar w:left="240" w:top="789"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4140" w:type="dxa"/>
            <w:vAlign w:val="bottom"/>
            <w:gridSpan w:val="4"/>
          </w:tcPr>
          <w:p>
            <w:pPr>
              <w:ind w:left="2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2"/>
              </w:rPr>
              <w:t>For the year ended</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Statements of Operations – Navis Holdings, Inc.</w:t>
            </w:r>
          </w:p>
        </w:tc>
        <w:tc>
          <w:tcPr>
            <w:tcW w:w="10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9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414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13,948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5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17,803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17,076</w:t>
            </w:r>
          </w:p>
        </w:tc>
        <w:tc>
          <w:tcPr>
            <w:tcW w:w="0" w:type="dxa"/>
            <w:vAlign w:val="bottom"/>
          </w:tcPr>
          <w:p>
            <w:pPr>
              <w:spacing w:after="0"/>
              <w:rPr>
                <w:sz w:val="1"/>
                <w:szCs w:val="1"/>
                <w:color w:val="auto"/>
              </w:rPr>
            </w:pPr>
          </w:p>
        </w:tc>
      </w:tr>
      <w:tr>
        <w:trPr>
          <w:trHeight w:val="216"/>
        </w:trPr>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10,933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4"/>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5,224</w:t>
            </w:r>
          </w:p>
        </w:tc>
        <w:tc>
          <w:tcPr>
            <w:tcW w:w="380" w:type="dxa"/>
            <w:vAlign w:val="bottom"/>
            <w:gridSpan w:val="4"/>
          </w:tcPr>
          <w:p>
            <w:pPr>
              <w:jc w:val="right"/>
              <w:ind w:right="5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
              <w:spacing w:after="0"/>
              <w:rPr>
                <w:sz w:val="20"/>
                <w:szCs w:val="20"/>
                <w:color w:val="auto"/>
              </w:rPr>
            </w:pPr>
            <w:r>
              <w:rPr>
                <w:rFonts w:ascii="Arial" w:cs="Arial" w:eastAsia="Arial" w:hAnsi="Arial"/>
                <w:sz w:val="18"/>
                <w:szCs w:val="18"/>
                <w:color w:val="auto"/>
              </w:rPr>
              <w:t>6,870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4,647</w:t>
            </w:r>
          </w:p>
        </w:tc>
        <w:tc>
          <w:tcPr>
            <w:tcW w:w="380" w:type="dxa"/>
            <w:vAlign w:val="bottom"/>
            <w:gridSpan w:val="4"/>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5,070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16"/>
        </w:trPr>
        <w:tc>
          <w:tcPr>
            <w:tcW w:w="4140" w:type="dxa"/>
            <w:vAlign w:val="bottom"/>
            <w:gridSpan w:val="4"/>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4"/>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348</w:t>
            </w:r>
          </w:p>
        </w:tc>
        <w:tc>
          <w:tcPr>
            <w:tcW w:w="380" w:type="dxa"/>
            <w:vAlign w:val="bottom"/>
            <w:gridSpan w:val="4"/>
          </w:tcPr>
          <w:p>
            <w:pPr>
              <w:jc w:val="right"/>
              <w:ind w:right="5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19"/>
        </w:trPr>
        <w:tc>
          <w:tcPr>
            <w:tcW w:w="41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Balance Sheet – On-Site Fuel Services, Inc.</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9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auto"/>
            </w:tcBorders>
            <w:gridSpan w:val="4"/>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gridSpan w:val="4"/>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28,064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4"/>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54,871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29,393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16,498</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4"/>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67,141</w:t>
            </w:r>
          </w:p>
        </w:tc>
        <w:tc>
          <w:tcPr>
            <w:tcW w:w="14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36,401</w:t>
            </w:r>
          </w:p>
        </w:tc>
        <w:tc>
          <w:tcPr>
            <w:tcW w:w="1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4"/>
          </w:tcPr>
          <w:p>
            <w:pPr>
              <w:ind w:left="20"/>
              <w:spacing w:after="0"/>
              <w:rPr>
                <w:sz w:val="20"/>
                <w:szCs w:val="20"/>
                <w:color w:val="auto"/>
              </w:rPr>
            </w:pPr>
            <w:r>
              <w:rPr>
                <w:rFonts w:ascii="Arial" w:cs="Arial" w:eastAsia="Arial" w:hAnsi="Arial"/>
                <w:sz w:val="18"/>
                <w:szCs w:val="18"/>
                <w:color w:val="auto"/>
              </w:rPr>
              <w:t>Total deficit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(12,270)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2"/>
              </w:rPr>
              <w:t>For the year ended</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Statements of Operations – On-Site Fuel Service, Inc.</w:t>
            </w:r>
          </w:p>
        </w:tc>
        <w:tc>
          <w:tcPr>
            <w:tcW w:w="10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9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414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157,774</w:t>
            </w:r>
          </w:p>
        </w:tc>
        <w:tc>
          <w:tcPr>
            <w:tcW w:w="140" w:type="dxa"/>
            <w:vAlign w:val="bottom"/>
            <w:tcBorders>
              <w:top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220" w:type="dxa"/>
            <w:vAlign w:val="bottom"/>
            <w:tcBorders>
              <w:top w:val="single" w:sz="8" w:color="auto"/>
            </w:tcBorders>
            <w:gridSpan w:val="2"/>
          </w:tcPr>
          <w:p>
            <w:pPr>
              <w:jc w:val="right"/>
              <w:ind w:right="5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110,412</w:t>
            </w: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114,137</w:t>
            </w:r>
          </w:p>
        </w:tc>
        <w:tc>
          <w:tcPr>
            <w:tcW w:w="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149,436</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101,714</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106,668</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4"/>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8,338</w:t>
            </w:r>
          </w:p>
        </w:tc>
        <w:tc>
          <w:tcPr>
            <w:tcW w:w="140" w:type="dxa"/>
            <w:vAlign w:val="bottom"/>
          </w:tcPr>
          <w:p>
            <w:pPr>
              <w:spacing w:after="0"/>
              <w:rPr>
                <w:sz w:val="18"/>
                <w:szCs w:val="18"/>
                <w:color w:val="auto"/>
              </w:rPr>
            </w:pPr>
          </w:p>
        </w:tc>
        <w:tc>
          <w:tcPr>
            <w:tcW w:w="380" w:type="dxa"/>
            <w:vAlign w:val="bottom"/>
            <w:gridSpan w:val="4"/>
          </w:tcPr>
          <w:p>
            <w:pPr>
              <w:jc w:val="right"/>
              <w:ind w:right="5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14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4"/>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4"/>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(5,262)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(6,123)</w:t>
            </w:r>
          </w:p>
        </w:tc>
        <w:tc>
          <w:tcPr>
            <w:tcW w:w="0" w:type="dxa"/>
            <w:vAlign w:val="bottom"/>
          </w:tcPr>
          <w:p>
            <w:pPr>
              <w:spacing w:after="0"/>
              <w:rPr>
                <w:sz w:val="1"/>
                <w:szCs w:val="1"/>
                <w:color w:val="auto"/>
              </w:rPr>
            </w:pPr>
          </w:p>
        </w:tc>
      </w:tr>
      <w:tr>
        <w:trPr>
          <w:trHeight w:val="216"/>
        </w:trPr>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4"/>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(5,262)</w:t>
            </w:r>
          </w:p>
        </w:tc>
        <w:tc>
          <w:tcPr>
            <w:tcW w:w="380" w:type="dxa"/>
            <w:vAlign w:val="bottom"/>
            <w:gridSpan w:val="4"/>
          </w:tcPr>
          <w:p>
            <w:pPr>
              <w:jc w:val="right"/>
              <w:ind w:right="5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(4,998)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-3721100</wp:posOffset>
            </wp:positionV>
            <wp:extent cx="475107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-3155315</wp:posOffset>
            </wp:positionV>
            <wp:extent cx="4751070"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-2263140</wp:posOffset>
            </wp:positionV>
            <wp:extent cx="4751070" cy="180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-1663065</wp:posOffset>
            </wp:positionV>
            <wp:extent cx="4751070"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-745490</wp:posOffset>
            </wp:positionV>
            <wp:extent cx="475107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-4407535</wp:posOffset>
            </wp:positionV>
            <wp:extent cx="47510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-2949575</wp:posOffset>
            </wp:positionV>
            <wp:extent cx="47510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-1431290</wp:posOffset>
            </wp:positionV>
            <wp:extent cx="47510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left="60" w:right="1219" w:firstLine="270"/>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September 30, 2013, we issued 4,000,000 shares at $20.00 per share in our IPO, yielding net proceeds of $74.25 million.</w:t>
      </w:r>
    </w:p>
    <w:p>
      <w:pPr>
        <w:spacing w:after="0" w:line="140" w:lineRule="exact"/>
        <w:rPr>
          <w:sz w:val="20"/>
          <w:szCs w:val="20"/>
          <w:color w:val="auto"/>
        </w:rPr>
      </w:pPr>
    </w:p>
    <w:p>
      <w:pPr>
        <w:ind w:left="60" w:right="599" w:firstLine="270"/>
        <w:spacing w:after="0" w:line="257" w:lineRule="auto"/>
        <w:rPr>
          <w:sz w:val="20"/>
          <w:szCs w:val="20"/>
          <w:color w:val="auto"/>
        </w:rPr>
      </w:pPr>
      <w:r>
        <w:rPr>
          <w:rFonts w:ascii="Arial" w:cs="Arial" w:eastAsia="Arial" w:hAnsi="Arial"/>
          <w:sz w:val="18"/>
          <w:szCs w:val="18"/>
          <w:color w:val="auto"/>
        </w:rPr>
        <w:t>On October 17, 2014, we entered into the Credit Facility. On June 16, 2017, we entered into an amendment to our Credit Facility with ING Capital, LLC (the “Amendment”). Pursuant to the Amendment, the Credit Facility currently provides for borrowings up to $114.5 million and may be increased up to $200.0 million pursuant to its “accordion” feature. The Credit Facility matures on June 16, 2021. As of December 31, 2017, we had $9.0 million outstanding and $105.5 million available under the Credit Facility.</w:t>
      </w:r>
    </w:p>
    <w:p>
      <w:pPr>
        <w:spacing w:after="0" w:line="80" w:lineRule="exact"/>
        <w:rPr>
          <w:sz w:val="20"/>
          <w:szCs w:val="20"/>
          <w:color w:val="auto"/>
        </w:rPr>
      </w:pPr>
    </w:p>
    <w:p>
      <w:pPr>
        <w:ind w:left="60" w:right="519" w:firstLine="270"/>
        <w:spacing w:after="0" w:line="264" w:lineRule="auto"/>
        <w:rPr>
          <w:sz w:val="20"/>
          <w:szCs w:val="20"/>
          <w:color w:val="auto"/>
        </w:rPr>
      </w:pPr>
      <w:r>
        <w:rPr>
          <w:rFonts w:ascii="Arial" w:cs="Arial" w:eastAsia="Arial" w:hAnsi="Arial"/>
          <w:sz w:val="18"/>
          <w:szCs w:val="18"/>
          <w:color w:val="auto"/>
        </w:rPr>
        <w:t>On April 13, 2015, we completed an underwritten offering of 3,500,000 shares of our common stock at a public offering price of $18.32 per share. The total proceeds received in the offering net of underwriting discounts and offering costs were approximately $61.7 million.</w:t>
      </w:r>
    </w:p>
    <w:p>
      <w:pPr>
        <w:spacing w:after="0" w:line="73" w:lineRule="exact"/>
        <w:rPr>
          <w:sz w:val="20"/>
          <w:szCs w:val="20"/>
          <w:color w:val="auto"/>
        </w:rPr>
      </w:pPr>
    </w:p>
    <w:p>
      <w:pPr>
        <w:ind w:left="60" w:right="539" w:firstLine="270"/>
        <w:spacing w:after="0" w:line="257" w:lineRule="auto"/>
        <w:rPr>
          <w:sz w:val="20"/>
          <w:szCs w:val="20"/>
          <w:color w:val="auto"/>
        </w:rPr>
      </w:pPr>
      <w:r>
        <w:rPr>
          <w:rFonts w:ascii="Arial" w:cs="Arial" w:eastAsia="Arial" w:hAnsi="Arial"/>
          <w:sz w:val="18"/>
          <w:szCs w:val="18"/>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w:t>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719"/>
        <w:spacing w:after="0" w:line="308" w:lineRule="auto"/>
        <w:rPr>
          <w:sz w:val="20"/>
          <w:szCs w:val="20"/>
          <w:color w:val="auto"/>
        </w:rPr>
      </w:pPr>
      <w:r>
        <w:rPr>
          <w:rFonts w:ascii="Arial" w:cs="Arial" w:eastAsia="Arial" w:hAnsi="Arial"/>
          <w:sz w:val="17"/>
          <w:szCs w:val="17"/>
          <w:color w:val="auto"/>
        </w:rPr>
        <w:t>principal, plus accrued and unpaid interest. Interest is payable quarterly beginning August 31, 2017. The 2022 Notes are listed on the NASDAQ Global Select Market under the trading symbol “CPTAL” with a par value $25.00 per share.</w:t>
      </w:r>
    </w:p>
    <w:p>
      <w:pPr>
        <w:spacing w:after="0" w:line="38" w:lineRule="exact"/>
        <w:rPr>
          <w:sz w:val="20"/>
          <w:szCs w:val="20"/>
          <w:color w:val="auto"/>
        </w:rPr>
      </w:pPr>
    </w:p>
    <w:p>
      <w:pPr>
        <w:ind w:left="60" w:right="579" w:firstLine="270"/>
        <w:spacing w:after="0" w:line="257" w:lineRule="auto"/>
        <w:rPr>
          <w:sz w:val="20"/>
          <w:szCs w:val="20"/>
          <w:color w:val="auto"/>
        </w:rPr>
      </w:pPr>
      <w:r>
        <w:rPr>
          <w:rFonts w:ascii="Arial" w:cs="Arial" w:eastAsia="Arial" w:hAnsi="Arial"/>
          <w:sz w:val="18"/>
          <w:szCs w:val="18"/>
          <w:color w:val="auto"/>
        </w:rPr>
        <w:t>On May 26, 2017, we issued $50.0 million in aggregate principal amount of 5.75% fixed-rate convertible notes due on May 31, 2022 (the “2022 Convertible Notes”). On June 26, 2017, we issued an additional $2.1 million in aggregate principal amount of the 2022 Convertible Notes pursuant to a partial exercise of the underwriters’ overallotment option. Interest is payable quarterly beginning August 31, 2017. The 2022 Convertible Notes are listed on the NASDAQ Capital Market under the trading symbol “CPTAG” with a par value $25.00 per share.</w:t>
      </w:r>
    </w:p>
    <w:p>
      <w:pPr>
        <w:spacing w:after="0" w:line="80" w:lineRule="exact"/>
        <w:rPr>
          <w:sz w:val="20"/>
          <w:szCs w:val="20"/>
          <w:color w:val="auto"/>
        </w:rPr>
      </w:pPr>
    </w:p>
    <w:p>
      <w:pPr>
        <w:ind w:left="60" w:right="619" w:firstLine="270"/>
        <w:spacing w:after="0" w:line="271" w:lineRule="auto"/>
        <w:rPr>
          <w:sz w:val="20"/>
          <w:szCs w:val="20"/>
          <w:color w:val="auto"/>
        </w:rPr>
      </w:pPr>
      <w:r>
        <w:rPr>
          <w:rFonts w:ascii="Arial" w:cs="Arial" w:eastAsia="Arial" w:hAnsi="Arial"/>
          <w:sz w:val="17"/>
          <w:szCs w:val="17"/>
          <w:color w:val="auto"/>
        </w:rPr>
        <w:t>As of December 31, 2017, Fund II had $26.2 million in regulatory capital and $20.7 million in SBA-guaranteed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1934 Act, with respect to Fund II and Fund III. We intend to comply with the conditions of the order.</w:t>
      </w:r>
    </w:p>
    <w:p>
      <w:pPr>
        <w:spacing w:after="0" w:line="71" w:lineRule="exact"/>
        <w:rPr>
          <w:sz w:val="20"/>
          <w:szCs w:val="20"/>
          <w:color w:val="auto"/>
        </w:rPr>
      </w:pPr>
    </w:p>
    <w:p>
      <w:pPr>
        <w:ind w:left="60" w:right="1159" w:firstLine="270"/>
        <w:spacing w:after="0" w:line="391" w:lineRule="auto"/>
        <w:rPr>
          <w:sz w:val="20"/>
          <w:szCs w:val="20"/>
          <w:color w:val="auto"/>
        </w:rPr>
      </w:pPr>
      <w:r>
        <w:rPr>
          <w:rFonts w:ascii="Arial" w:cs="Arial" w:eastAsia="Arial" w:hAnsi="Arial"/>
          <w:sz w:val="18"/>
          <w:szCs w:val="18"/>
          <w:color w:val="auto"/>
        </w:rPr>
        <w:t xml:space="preserve">As of December 31, 2017, we had $31.2 million in cash and cash equivalents, and our net assets totaled $221.9 million. </w:t>
      </w:r>
      <w:r>
        <w:rPr>
          <w:rFonts w:ascii="Arial" w:cs="Arial" w:eastAsia="Arial" w:hAnsi="Arial"/>
          <w:sz w:val="18"/>
          <w:szCs w:val="18"/>
          <w:b w:val="1"/>
          <w:bCs w:val="1"/>
          <w:color w:val="auto"/>
        </w:rPr>
        <w:t>Contractual Obligations</w:t>
      </w:r>
    </w:p>
    <w:p>
      <w:pPr>
        <w:spacing w:after="0" w:line="1" w:lineRule="exact"/>
        <w:rPr>
          <w:sz w:val="20"/>
          <w:szCs w:val="20"/>
          <w:color w:val="auto"/>
        </w:rPr>
      </w:pPr>
    </w:p>
    <w:p>
      <w:pPr>
        <w:jc w:val="both"/>
        <w:ind w:left="60" w:right="659" w:firstLine="270"/>
        <w:spacing w:after="0" w:line="288" w:lineRule="auto"/>
        <w:rPr>
          <w:sz w:val="20"/>
          <w:szCs w:val="20"/>
          <w:color w:val="auto"/>
        </w:rPr>
      </w:pPr>
      <w:r>
        <w:rPr>
          <w:rFonts w:ascii="Arial" w:cs="Arial" w:eastAsia="Arial" w:hAnsi="Arial"/>
          <w:sz w:val="16"/>
          <w:szCs w:val="16"/>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w:t>
      </w:r>
    </w:p>
    <w:p>
      <w:pPr>
        <w:ind w:left="60" w:right="559"/>
        <w:spacing w:after="0" w:line="255" w:lineRule="auto"/>
        <w:rPr>
          <w:sz w:val="20"/>
          <w:szCs w:val="20"/>
          <w:color w:val="auto"/>
        </w:rPr>
      </w:pPr>
      <w:r>
        <w:rPr>
          <w:rFonts w:ascii="Arial" w:cs="Arial" w:eastAsia="Arial" w:hAnsi="Arial"/>
          <w:sz w:val="18"/>
          <w:szCs w:val="18"/>
          <w:color w:val="auto"/>
        </w:rPr>
        <w:t>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82" w:lineRule="exact"/>
        <w:rPr>
          <w:sz w:val="20"/>
          <w:szCs w:val="20"/>
          <w:color w:val="auto"/>
        </w:rPr>
      </w:pPr>
    </w:p>
    <w:p>
      <w:pPr>
        <w:ind w:left="60" w:right="599" w:firstLine="270"/>
        <w:spacing w:after="0" w:line="276"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our significant contractual payment obligations as of December 31, 2017 are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51885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2"/>
              </w:rPr>
              <w:t>Contractual Obligations Payments Due by Period</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7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w w:val="99"/>
              </w:rPr>
              <w:t>Less Than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1 – 3</w:t>
            </w:r>
          </w:p>
        </w:tc>
        <w:tc>
          <w:tcPr>
            <w:tcW w:w="160" w:type="dxa"/>
            <w:vAlign w:val="bottom"/>
          </w:tcPr>
          <w:p>
            <w:pPr>
              <w:spacing w:after="0"/>
              <w:rPr>
                <w:sz w:val="10"/>
                <w:szCs w:val="10"/>
                <w:color w:val="auto"/>
              </w:rPr>
            </w:pPr>
          </w:p>
        </w:tc>
        <w:tc>
          <w:tcPr>
            <w:tcW w:w="760" w:type="dxa"/>
            <w:vAlign w:val="bottom"/>
          </w:tcPr>
          <w:p>
            <w:pPr>
              <w:jc w:val="right"/>
              <w:ind w:right="144"/>
              <w:spacing w:after="0" w:line="119" w:lineRule="exact"/>
              <w:rPr>
                <w:sz w:val="20"/>
                <w:szCs w:val="20"/>
                <w:color w:val="auto"/>
              </w:rPr>
            </w:pPr>
            <w:r>
              <w:rPr>
                <w:rFonts w:ascii="Arial" w:cs="Arial" w:eastAsia="Arial" w:hAnsi="Arial"/>
                <w:sz w:val="13"/>
                <w:szCs w:val="13"/>
                <w:b w:val="1"/>
                <w:bCs w:val="1"/>
                <w:color w:val="auto"/>
              </w:rPr>
              <w:t>3 – 5</w:t>
            </w:r>
          </w:p>
        </w:tc>
        <w:tc>
          <w:tcPr>
            <w:tcW w:w="16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SBA Debentures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 Year</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$ 24,000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$ 121,700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$ 25,000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170,700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Notes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2022 Convertible Notes</w:t>
            </w:r>
          </w:p>
        </w:tc>
        <w:tc>
          <w:tcPr>
            <w:tcW w:w="12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52,088</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52,088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$ 24,000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$ 257,788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$ 25,000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306,788</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2" w:name="page93"/>
    <w:bookmarkEnd w:id="92"/>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599"/>
        <w:spacing w:after="0" w:line="273" w:lineRule="auto"/>
        <w:rPr>
          <w:sz w:val="20"/>
          <w:szCs w:val="20"/>
          <w:color w:val="auto"/>
        </w:rPr>
      </w:pPr>
      <w:r>
        <w:rPr>
          <w:rFonts w:ascii="Arial" w:cs="Arial" w:eastAsia="Arial" w:hAnsi="Arial"/>
          <w:sz w:val="17"/>
          <w:szCs w:val="17"/>
          <w:color w:val="auto"/>
        </w:rPr>
        <w:t>(during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70" w:lineRule="exact"/>
        <w:rPr>
          <w:sz w:val="20"/>
          <w:szCs w:val="20"/>
          <w:color w:val="auto"/>
        </w:rPr>
      </w:pPr>
    </w:p>
    <w:p>
      <w:pPr>
        <w:ind w:left="180" w:right="619" w:firstLine="270"/>
        <w:spacing w:after="0" w:line="297"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50" w:lineRule="exact"/>
        <w:rPr>
          <w:sz w:val="20"/>
          <w:szCs w:val="20"/>
          <w:color w:val="auto"/>
        </w:rPr>
      </w:pPr>
    </w:p>
    <w:p>
      <w:pPr>
        <w:ind w:left="180" w:right="739" w:firstLine="270"/>
        <w:spacing w:after="0" w:line="276"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64" w:lineRule="exact"/>
        <w:rPr>
          <w:sz w:val="20"/>
          <w:szCs w:val="20"/>
          <w:color w:val="auto"/>
        </w:rPr>
      </w:pPr>
    </w:p>
    <w:p>
      <w:pPr>
        <w:jc w:val="both"/>
        <w:ind w:left="180" w:right="599" w:firstLine="270"/>
        <w:spacing w:after="0" w:line="288" w:lineRule="auto"/>
        <w:rPr>
          <w:sz w:val="20"/>
          <w:szCs w:val="20"/>
          <w:color w:val="auto"/>
        </w:rPr>
      </w:pPr>
      <w:r>
        <w:rPr>
          <w:rFonts w:ascii="Arial" w:cs="Arial" w:eastAsia="Arial" w:hAnsi="Arial"/>
          <w:sz w:val="16"/>
          <w:szCs w:val="16"/>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w:t>
      </w:r>
    </w:p>
    <w:p>
      <w:pPr>
        <w:jc w:val="both"/>
        <w:ind w:left="180" w:right="519"/>
        <w:spacing w:after="0" w:line="255" w:lineRule="auto"/>
        <w:rPr>
          <w:sz w:val="20"/>
          <w:szCs w:val="20"/>
          <w:color w:val="auto"/>
        </w:rPr>
      </w:pPr>
      <w:r>
        <w:rPr>
          <w:rFonts w:ascii="Arial" w:cs="Arial" w:eastAsia="Arial" w:hAnsi="Arial"/>
          <w:sz w:val="18"/>
          <w:szCs w:val="18"/>
          <w:color w:val="auto"/>
        </w:rPr>
        <w:t>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our distributions declared from January 2, 2015 through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6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Per 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 2017</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February 20, 2017</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 2017</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23, 2017</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30, 2017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April 3, 2017</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April 19, 2017</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April 27, 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3, 2017</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23, 2017</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29, 2017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April 3, 2017</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June 24, 2017</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June 29, 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3, 2017</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21, 2017</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28, 2017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July 3, 2017</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August 23, 2017</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August 30, 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3, 2017</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20, 2017</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28, 2017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October 2, 2017</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October 23, 2017</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October 30, 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0.0833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2017</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21, 2017</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0.0833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October 2, 2017</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December 20, 2017</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December 28, 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0.0833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29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Total Distributions Declared and</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0" w:type="dxa"/>
            <w:vAlign w:val="bottom"/>
          </w:tcPr>
          <w:p>
            <w:pPr>
              <w:spacing w:after="0"/>
              <w:rPr>
                <w:sz w:val="23"/>
                <w:szCs w:val="23"/>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Distributed for 2017</w:t>
            </w: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296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-659765</wp:posOffset>
            </wp:positionV>
            <wp:extent cx="475107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6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gridSpan w:val="2"/>
          </w:tcPr>
          <w:p>
            <w:pPr>
              <w:spacing w:after="0" w:line="195" w:lineRule="exact"/>
              <w:rPr>
                <w:sz w:val="20"/>
                <w:szCs w:val="20"/>
                <w:color w:val="auto"/>
              </w:rPr>
            </w:pPr>
            <w:r>
              <w:rPr>
                <w:rFonts w:ascii="Arial" w:cs="Arial" w:eastAsia="Arial" w:hAnsi="Arial"/>
                <w:sz w:val="18"/>
                <w:szCs w:val="18"/>
                <w:color w:val="auto"/>
              </w:rPr>
              <w:t>January 4, 2016</w:t>
            </w:r>
          </w:p>
        </w:tc>
        <w:tc>
          <w:tcPr>
            <w:tcW w:w="160" w:type="dxa"/>
            <w:vAlign w:val="bottom"/>
          </w:tcPr>
          <w:p>
            <w:pPr>
              <w:spacing w:after="0"/>
              <w:rPr>
                <w:sz w:val="16"/>
                <w:szCs w:val="16"/>
                <w:color w:val="auto"/>
              </w:rPr>
            </w:pPr>
          </w:p>
        </w:tc>
        <w:tc>
          <w:tcPr>
            <w:tcW w:w="1640" w:type="dxa"/>
            <w:vAlign w:val="bottom"/>
          </w:tcPr>
          <w:p>
            <w:pPr>
              <w:jc w:val="center"/>
              <w:spacing w:after="0" w:line="195" w:lineRule="exact"/>
              <w:rPr>
                <w:sz w:val="20"/>
                <w:szCs w:val="20"/>
                <w:color w:val="auto"/>
              </w:rPr>
            </w:pPr>
            <w:r>
              <w:rPr>
                <w:rFonts w:ascii="Arial" w:cs="Arial" w:eastAsia="Arial" w:hAnsi="Arial"/>
                <w:sz w:val="18"/>
                <w:szCs w:val="18"/>
                <w:color w:val="auto"/>
                <w:w w:val="87"/>
              </w:rPr>
              <w:t>January 22, 2016</w:t>
            </w:r>
          </w:p>
        </w:tc>
        <w:tc>
          <w:tcPr>
            <w:tcW w:w="160" w:type="dxa"/>
            <w:vAlign w:val="bottom"/>
          </w:tcPr>
          <w:p>
            <w:pPr>
              <w:spacing w:after="0"/>
              <w:rPr>
                <w:sz w:val="16"/>
                <w:szCs w:val="16"/>
                <w:color w:val="auto"/>
              </w:rPr>
            </w:pPr>
          </w:p>
        </w:tc>
        <w:tc>
          <w:tcPr>
            <w:tcW w:w="1660" w:type="dxa"/>
            <w:vAlign w:val="bottom"/>
          </w:tcPr>
          <w:p>
            <w:pPr>
              <w:jc w:val="center"/>
              <w:spacing w:after="0" w:line="195" w:lineRule="exact"/>
              <w:rPr>
                <w:sz w:val="20"/>
                <w:szCs w:val="20"/>
                <w:color w:val="auto"/>
              </w:rPr>
            </w:pPr>
            <w:r>
              <w:rPr>
                <w:rFonts w:ascii="Arial" w:cs="Arial" w:eastAsia="Arial" w:hAnsi="Arial"/>
                <w:sz w:val="18"/>
                <w:szCs w:val="18"/>
                <w:color w:val="auto"/>
                <w:w w:val="89"/>
              </w:rPr>
              <w:t>January 28,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January 4,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February 19,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January 4,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March 22,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30,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April 22,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April 28,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May 23,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May 30,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June 21,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July 22,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July 29,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August 22,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August 30,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September 22,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September 29,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October 21,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October 28,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November 21, 2016</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November 29,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December 21, 2016</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December 29,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Total Distributions Declared and</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Distributed for 2016</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6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gridSpan w:val="2"/>
          </w:tcPr>
          <w:p>
            <w:pPr>
              <w:spacing w:after="0" w:line="195" w:lineRule="exact"/>
              <w:rPr>
                <w:sz w:val="20"/>
                <w:szCs w:val="20"/>
                <w:color w:val="auto"/>
              </w:rPr>
            </w:pPr>
            <w:r>
              <w:rPr>
                <w:rFonts w:ascii="Arial" w:cs="Arial" w:eastAsia="Arial" w:hAnsi="Arial"/>
                <w:sz w:val="18"/>
                <w:szCs w:val="18"/>
                <w:color w:val="auto"/>
              </w:rPr>
              <w:t>January 2, 2015</w:t>
            </w:r>
          </w:p>
        </w:tc>
        <w:tc>
          <w:tcPr>
            <w:tcW w:w="160" w:type="dxa"/>
            <w:vAlign w:val="bottom"/>
          </w:tcPr>
          <w:p>
            <w:pPr>
              <w:spacing w:after="0"/>
              <w:rPr>
                <w:sz w:val="16"/>
                <w:szCs w:val="16"/>
                <w:color w:val="auto"/>
              </w:rPr>
            </w:pPr>
          </w:p>
        </w:tc>
        <w:tc>
          <w:tcPr>
            <w:tcW w:w="1640" w:type="dxa"/>
            <w:vAlign w:val="bottom"/>
          </w:tcPr>
          <w:p>
            <w:pPr>
              <w:jc w:val="center"/>
              <w:spacing w:after="0" w:line="195" w:lineRule="exact"/>
              <w:rPr>
                <w:sz w:val="20"/>
                <w:szCs w:val="20"/>
                <w:color w:val="auto"/>
              </w:rPr>
            </w:pPr>
            <w:r>
              <w:rPr>
                <w:rFonts w:ascii="Arial" w:cs="Arial" w:eastAsia="Arial" w:hAnsi="Arial"/>
                <w:sz w:val="18"/>
                <w:szCs w:val="18"/>
                <w:color w:val="auto"/>
                <w:w w:val="89"/>
              </w:rPr>
              <w:t>January 22, 2015</w:t>
            </w:r>
          </w:p>
        </w:tc>
        <w:tc>
          <w:tcPr>
            <w:tcW w:w="160" w:type="dxa"/>
            <w:vAlign w:val="bottom"/>
          </w:tcPr>
          <w:p>
            <w:pPr>
              <w:spacing w:after="0"/>
              <w:rPr>
                <w:sz w:val="16"/>
                <w:szCs w:val="16"/>
                <w:color w:val="auto"/>
              </w:rPr>
            </w:pPr>
          </w:p>
        </w:tc>
        <w:tc>
          <w:tcPr>
            <w:tcW w:w="1660" w:type="dxa"/>
            <w:vAlign w:val="bottom"/>
          </w:tcPr>
          <w:p>
            <w:pPr>
              <w:jc w:val="center"/>
              <w:spacing w:after="0" w:line="195" w:lineRule="exact"/>
              <w:rPr>
                <w:sz w:val="20"/>
                <w:szCs w:val="20"/>
                <w:color w:val="auto"/>
              </w:rPr>
            </w:pPr>
            <w:r>
              <w:rPr>
                <w:rFonts w:ascii="Arial" w:cs="Arial" w:eastAsia="Arial" w:hAnsi="Arial"/>
                <w:sz w:val="18"/>
                <w:szCs w:val="18"/>
                <w:color w:val="auto"/>
                <w:w w:val="89"/>
              </w:rPr>
              <w:t>January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February 20,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26,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March 23,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30,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88"/>
              </w:rPr>
              <w:t>March 23, 2015</w:t>
            </w:r>
            <w:r>
              <w:rPr>
                <w:rFonts w:ascii="Arial" w:cs="Arial" w:eastAsia="Arial" w:hAnsi="Arial"/>
                <w:sz w:val="29"/>
                <w:szCs w:val="29"/>
                <w:color w:val="auto"/>
                <w:w w:val="88"/>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30,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92"/>
              </w:rPr>
              <w:t>April 23, 2015</w:t>
            </w:r>
            <w:r>
              <w:rPr>
                <w:rFonts w:ascii="Arial" w:cs="Arial" w:eastAsia="Arial" w:hAnsi="Arial"/>
                <w:sz w:val="29"/>
                <w:szCs w:val="29"/>
                <w:color w:val="auto"/>
                <w:w w:val="92"/>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April 29,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88"/>
              </w:rPr>
              <w:t>May 21, 2015</w:t>
            </w:r>
            <w:r>
              <w:rPr>
                <w:rFonts w:ascii="Arial" w:cs="Arial" w:eastAsia="Arial" w:hAnsi="Arial"/>
                <w:sz w:val="29"/>
                <w:szCs w:val="29"/>
                <w:color w:val="auto"/>
                <w:w w:val="88"/>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May 28,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85"/>
              </w:rPr>
              <w:t>June 22, 2015</w:t>
            </w:r>
            <w:r>
              <w:rPr>
                <w:rFonts w:ascii="Arial" w:cs="Arial" w:eastAsia="Arial" w:hAnsi="Arial"/>
                <w:sz w:val="29"/>
                <w:szCs w:val="29"/>
                <w:color w:val="auto"/>
                <w:w w:val="85"/>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June 29,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88"/>
              </w:rPr>
              <w:t>July 23, 2015</w:t>
            </w:r>
            <w:r>
              <w:rPr>
                <w:rFonts w:ascii="Arial" w:cs="Arial" w:eastAsia="Arial" w:hAnsi="Arial"/>
                <w:sz w:val="29"/>
                <w:szCs w:val="29"/>
                <w:color w:val="auto"/>
                <w:w w:val="88"/>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July 30, 2015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22"/>
                <w:szCs w:val="22"/>
                <w:color w:val="auto"/>
              </w:rPr>
            </w:pPr>
          </w:p>
        </w:tc>
        <w:tc>
          <w:tcPr>
            <w:tcW w:w="1640" w:type="dxa"/>
            <w:vAlign w:val="bottom"/>
          </w:tcPr>
          <w:p>
            <w:pPr>
              <w:jc w:val="center"/>
              <w:spacing w:after="0" w:line="256" w:lineRule="exact"/>
              <w:rPr>
                <w:sz w:val="20"/>
                <w:szCs w:val="20"/>
                <w:color w:val="auto"/>
              </w:rPr>
            </w:pPr>
            <w:r>
              <w:rPr>
                <w:rFonts w:ascii="Arial" w:cs="Arial" w:eastAsia="Arial" w:hAnsi="Arial"/>
                <w:sz w:val="18"/>
                <w:szCs w:val="18"/>
                <w:color w:val="auto"/>
                <w:w w:val="87"/>
              </w:rPr>
              <w:t>August 21, 2015</w:t>
            </w:r>
            <w:r>
              <w:rPr>
                <w:rFonts w:ascii="Arial" w:cs="Arial" w:eastAsia="Arial" w:hAnsi="Arial"/>
                <w:sz w:val="29"/>
                <w:szCs w:val="29"/>
                <w:color w:val="auto"/>
                <w:w w:val="87"/>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August 28, 2015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September 23,</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February 26, 2015</w:t>
            </w:r>
          </w:p>
        </w:tc>
        <w:tc>
          <w:tcPr>
            <w:tcW w:w="1800" w:type="dxa"/>
            <w:vAlign w:val="bottom"/>
            <w:gridSpan w:val="2"/>
          </w:tcPr>
          <w:p>
            <w:pPr>
              <w:jc w:val="center"/>
              <w:ind w:left="112"/>
              <w:spacing w:after="0" w:line="256" w:lineRule="exact"/>
              <w:rPr>
                <w:sz w:val="20"/>
                <w:szCs w:val="20"/>
                <w:color w:val="auto"/>
              </w:rPr>
            </w:pPr>
            <w:r>
              <w:rPr>
                <w:rFonts w:ascii="Arial" w:cs="Arial" w:eastAsia="Arial" w:hAnsi="Arial"/>
                <w:sz w:val="18"/>
                <w:szCs w:val="18"/>
                <w:color w:val="auto"/>
                <w:w w:val="81"/>
              </w:rPr>
              <w:t>2015</w:t>
            </w:r>
            <w:r>
              <w:rPr>
                <w:rFonts w:ascii="Arial" w:cs="Arial" w:eastAsia="Arial" w:hAnsi="Arial"/>
                <w:sz w:val="29"/>
                <w:szCs w:val="29"/>
                <w:color w:val="auto"/>
                <w:w w:val="81"/>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September 29, 2015</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center"/>
              <w:spacing w:after="0" w:line="253" w:lineRule="exact"/>
              <w:rPr>
                <w:sz w:val="20"/>
                <w:szCs w:val="20"/>
                <w:color w:val="auto"/>
              </w:rPr>
            </w:pPr>
            <w:r>
              <w:rPr>
                <w:rFonts w:ascii="Arial" w:cs="Arial" w:eastAsia="Arial" w:hAnsi="Arial"/>
                <w:sz w:val="18"/>
                <w:szCs w:val="18"/>
                <w:color w:val="auto"/>
                <w:w w:val="88"/>
              </w:rPr>
              <w:t>October 23, 2015</w:t>
            </w:r>
            <w:r>
              <w:rPr>
                <w:rFonts w:ascii="Arial" w:cs="Arial" w:eastAsia="Arial" w:hAnsi="Arial"/>
                <w:sz w:val="29"/>
                <w:szCs w:val="29"/>
                <w:color w:val="auto"/>
                <w:w w:val="88"/>
                <w:vertAlign w:val="superscript"/>
              </w:rPr>
              <w:t>(1)</w:t>
            </w:r>
          </w:p>
        </w:tc>
        <w:tc>
          <w:tcPr>
            <w:tcW w:w="16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October 29, 2015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November 20,</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0" w:type="dxa"/>
            <w:vAlign w:val="bottom"/>
            <w:gridSpan w:val="2"/>
          </w:tcPr>
          <w:p>
            <w:pPr>
              <w:jc w:val="center"/>
              <w:ind w:left="112"/>
              <w:spacing w:after="0" w:line="253" w:lineRule="exact"/>
              <w:rPr>
                <w:sz w:val="20"/>
                <w:szCs w:val="20"/>
                <w:color w:val="auto"/>
              </w:rPr>
            </w:pPr>
            <w:r>
              <w:rPr>
                <w:rFonts w:ascii="Arial" w:cs="Arial" w:eastAsia="Arial" w:hAnsi="Arial"/>
                <w:sz w:val="18"/>
                <w:szCs w:val="18"/>
                <w:color w:val="auto"/>
                <w:w w:val="81"/>
              </w:rPr>
              <w:t>2015</w:t>
            </w:r>
            <w:r>
              <w:rPr>
                <w:rFonts w:ascii="Arial" w:cs="Arial" w:eastAsia="Arial" w:hAnsi="Arial"/>
                <w:sz w:val="29"/>
                <w:szCs w:val="29"/>
                <w:color w:val="auto"/>
                <w:w w:val="81"/>
                <w:vertAlign w:val="superscript"/>
              </w:rPr>
              <w:t>(1)</w:t>
            </w:r>
          </w:p>
        </w:tc>
        <w:tc>
          <w:tcPr>
            <w:tcW w:w="16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November 27, 2015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December 22,</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0" w:type="dxa"/>
            <w:vAlign w:val="bottom"/>
            <w:gridSpan w:val="2"/>
          </w:tcPr>
          <w:p>
            <w:pPr>
              <w:jc w:val="center"/>
              <w:ind w:left="112"/>
              <w:spacing w:after="0" w:line="253" w:lineRule="exact"/>
              <w:rPr>
                <w:sz w:val="20"/>
                <w:szCs w:val="20"/>
                <w:color w:val="auto"/>
              </w:rPr>
            </w:pPr>
            <w:r>
              <w:rPr>
                <w:rFonts w:ascii="Arial" w:cs="Arial" w:eastAsia="Arial" w:hAnsi="Arial"/>
                <w:sz w:val="18"/>
                <w:szCs w:val="18"/>
                <w:color w:val="auto"/>
                <w:w w:val="81"/>
              </w:rPr>
              <w:t>2015</w:t>
            </w:r>
            <w:r>
              <w:rPr>
                <w:rFonts w:ascii="Arial" w:cs="Arial" w:eastAsia="Arial" w:hAnsi="Arial"/>
                <w:sz w:val="29"/>
                <w:szCs w:val="29"/>
                <w:color w:val="auto"/>
                <w:w w:val="81"/>
                <w:vertAlign w:val="superscript"/>
              </w:rPr>
              <w:t>(1)</w:t>
            </w:r>
          </w:p>
        </w:tc>
        <w:tc>
          <w:tcPr>
            <w:tcW w:w="16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December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April 23,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April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May 21,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May 28,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June 22,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June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July 23,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July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August 21,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August 28,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September 23,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September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October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October 23,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October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October 1, 2015</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November 20, 2015</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November 27,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October 1, 2015</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December 22, 2015</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December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Total Distributions Declared and</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Distributed for 2015</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-6233795</wp:posOffset>
            </wp:positionV>
            <wp:extent cx="475107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-5959475</wp:posOffset>
            </wp:positionV>
            <wp:extent cx="475107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-5685155</wp:posOffset>
            </wp:positionV>
            <wp:extent cx="475107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-5410835</wp:posOffset>
            </wp:positionV>
            <wp:extent cx="475107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-5136515</wp:posOffset>
            </wp:positionV>
            <wp:extent cx="475107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-4861560</wp:posOffset>
            </wp:positionV>
            <wp:extent cx="475107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-6508115</wp:posOffset>
            </wp:positionV>
            <wp:extent cx="4751070" cy="67233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51070" cy="67233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-6508115</wp:posOffset>
            </wp:positionV>
            <wp:extent cx="4751070" cy="67233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51070" cy="6723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2619"/>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4800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000000"/>
                        </a:clrFrom>
                        <a:clrTo>
                          <a:srgbClr val="000000">
                            <a:alpha val="0"/>
                          </a:srgbClr>
                        </a:clrTo>
                      </a:clrChange>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-164465</wp:posOffset>
            </wp:positionV>
            <wp:extent cx="4800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jc w:val="center"/>
        <w:ind w:right="2619"/>
        <w:spacing w:after="0"/>
        <w:rPr>
          <w:sz w:val="20"/>
          <w:szCs w:val="20"/>
          <w:color w:val="auto"/>
        </w:rPr>
      </w:pPr>
      <w:r>
        <w:rPr>
          <w:rFonts w:ascii="Arial" w:cs="Arial" w:eastAsia="Arial" w:hAnsi="Arial"/>
          <w:sz w:val="13"/>
          <w:szCs w:val="13"/>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800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 w:lineRule="exact"/>
        <w:rPr>
          <w:sz w:val="20"/>
          <w:szCs w:val="20"/>
          <w:color w:val="auto"/>
        </w:rPr>
      </w:pPr>
    </w:p>
    <w:p>
      <w:pPr>
        <w:ind w:left="200" w:hanging="200"/>
        <w:spacing w:after="0"/>
        <w:tabs>
          <w:tab w:leader="none" w:pos="2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0.1567</w:t>
      </w:r>
    </w:p>
    <w:p>
      <w:pPr>
        <w:spacing w:after="0" w:line="42"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0.1300</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0.1300</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4375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39" w:lineRule="exact"/>
        <w:rPr>
          <w:sz w:val="20"/>
          <w:szCs w:val="20"/>
          <w:color w:val="auto"/>
        </w:rPr>
      </w:pPr>
    </w:p>
    <w:p>
      <w:pPr>
        <w:ind w:left="380" w:hanging="380"/>
        <w:spacing w:after="0"/>
        <w:tabs>
          <w:tab w:leader="none" w:pos="380" w:val="left"/>
        </w:tabs>
        <w:numPr>
          <w:ilvl w:val="0"/>
          <w:numId w:val="5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4800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000000"/>
                        </a:clrFrom>
                        <a:clrTo>
                          <a:srgbClr val="000000">
                            <a:alpha val="0"/>
                          </a:srgbClr>
                        </a:clrTo>
                      </a:clrChange>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97155</wp:posOffset>
            </wp:positionV>
            <wp:extent cx="4800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31" w:lineRule="exact"/>
        <w:rPr>
          <w:sz w:val="20"/>
          <w:szCs w:val="20"/>
          <w:color w:val="auto"/>
        </w:rPr>
      </w:pPr>
    </w:p>
    <w:p>
      <w:pPr>
        <w:jc w:val="center"/>
        <w:ind w:right="2619"/>
        <w:spacing w:after="0"/>
        <w:rPr>
          <w:sz w:val="20"/>
          <w:szCs w:val="20"/>
          <w:color w:val="auto"/>
        </w:rPr>
      </w:pPr>
      <w:r>
        <w:rPr>
          <w:rFonts w:ascii="Arial" w:cs="Arial" w:eastAsia="Arial" w:hAnsi="Arial"/>
          <w:sz w:val="14"/>
          <w:szCs w:val="14"/>
          <w:b w:val="1"/>
          <w:bCs w:val="1"/>
          <w:color w:val="auto"/>
        </w:rPr>
        <w:t>Amount</w:t>
      </w:r>
    </w:p>
    <w:p>
      <w:pPr>
        <w:spacing w:after="0" w:line="4" w:lineRule="exact"/>
        <w:rPr>
          <w:sz w:val="20"/>
          <w:szCs w:val="20"/>
          <w:color w:val="auto"/>
        </w:rPr>
      </w:pPr>
    </w:p>
    <w:p>
      <w:pPr>
        <w:jc w:val="center"/>
        <w:ind w:right="2619"/>
        <w:spacing w:after="0"/>
        <w:rPr>
          <w:sz w:val="20"/>
          <w:szCs w:val="20"/>
          <w:color w:val="auto"/>
        </w:rPr>
      </w:pPr>
      <w:r>
        <w:rPr>
          <w:rFonts w:ascii="Arial" w:cs="Arial" w:eastAsia="Arial" w:hAnsi="Arial"/>
          <w:sz w:val="13"/>
          <w:szCs w:val="13"/>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800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 w:lineRule="exact"/>
        <w:rPr>
          <w:sz w:val="20"/>
          <w:szCs w:val="20"/>
          <w:color w:val="auto"/>
        </w:rPr>
      </w:pPr>
    </w:p>
    <w:p>
      <w:pPr>
        <w:ind w:left="200" w:hanging="200"/>
        <w:spacing w:after="0"/>
        <w:tabs>
          <w:tab w:leader="none" w:pos="2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0.1567</w:t>
      </w:r>
    </w:p>
    <w:p>
      <w:pPr>
        <w:spacing w:after="0" w:line="42"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69"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300"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84"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300"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300"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0.0500</w:t>
      </w:r>
    </w:p>
    <w:p>
      <w:pPr>
        <w:spacing w:after="0" w:line="57"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43"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5"/>
          <w:szCs w:val="15"/>
          <w:color w:val="auto"/>
        </w:rPr>
        <w:t>0.1567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4375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39" w:lineRule="exact"/>
        <w:rPr>
          <w:sz w:val="20"/>
          <w:szCs w:val="20"/>
          <w:color w:val="auto"/>
        </w:rPr>
      </w:pPr>
    </w:p>
    <w:p>
      <w:pPr>
        <w:ind w:left="380" w:hanging="380"/>
        <w:spacing w:after="0"/>
        <w:tabs>
          <w:tab w:leader="none" w:pos="380" w:val="left"/>
        </w:tabs>
        <w:numPr>
          <w:ilvl w:val="0"/>
          <w:numId w:val="60"/>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2.38</w:t>
      </w:r>
    </w:p>
    <w:p>
      <w:pPr>
        <w:spacing w:after="0" w:line="257" w:lineRule="exact"/>
        <w:rPr>
          <w:sz w:val="20"/>
          <w:szCs w:val="20"/>
          <w:color w:val="auto"/>
        </w:rPr>
      </w:pPr>
    </w:p>
    <w:p>
      <w:pPr>
        <w:sectPr>
          <w:pgSz w:w="11900" w:h="16838" w:orient="portrait"/>
          <w:cols w:equalWidth="0" w:num="2">
            <w:col w:w="6580" w:space="160"/>
            <w:col w:w="3360"/>
          </w:cols>
          <w:pgMar w:left="360" w:top="789" w:right="1440" w:bottom="1440" w:gutter="0" w:footer="0" w:header="0"/>
        </w:sectPr>
      </w:pPr>
    </w:p>
    <w:p>
      <w:pPr>
        <w:spacing w:after="0" w:line="393" w:lineRule="exact"/>
        <w:rPr>
          <w:sz w:val="20"/>
          <w:szCs w:val="20"/>
          <w:color w:val="auto"/>
        </w:rPr>
      </w:pPr>
    </w:p>
    <w:p>
      <w:pPr>
        <w:ind w:left="300" w:right="539" w:hanging="272"/>
        <w:spacing w:after="0" w:line="277" w:lineRule="auto"/>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February 26, 2015, the Company’s Board declared a special distribution of $0.50 per share of the Company’s common stock, which was paid monthly over the remainder of 2015.</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Parties</w:t>
      </w:r>
    </w:p>
    <w:p>
      <w:pPr>
        <w:spacing w:after="0" w:line="121" w:lineRule="exact"/>
        <w:rPr>
          <w:sz w:val="20"/>
          <w:szCs w:val="20"/>
          <w:color w:val="auto"/>
        </w:rPr>
      </w:pPr>
    </w:p>
    <w:p>
      <w:pPr>
        <w:jc w:val="both"/>
        <w:ind w:left="60" w:right="779" w:firstLine="270"/>
        <w:spacing w:after="0" w:line="286" w:lineRule="auto"/>
        <w:rPr>
          <w:sz w:val="20"/>
          <w:szCs w:val="20"/>
          <w:color w:val="auto"/>
        </w:rPr>
      </w:pPr>
      <w:r>
        <w:rPr>
          <w:rFonts w:ascii="Arial" w:cs="Arial" w:eastAsia="Arial" w:hAnsi="Arial"/>
          <w:sz w:val="17"/>
          <w:szCs w:val="17"/>
          <w:color w:val="auto"/>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type w:val="continuous"/>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firstLine="270"/>
        <w:spacing w:after="0" w:line="286" w:lineRule="auto"/>
        <w:rPr>
          <w:sz w:val="20"/>
          <w:szCs w:val="20"/>
          <w:color w:val="auto"/>
        </w:rPr>
      </w:pPr>
      <w:r>
        <w:rPr>
          <w:rFonts w:ascii="Arial" w:cs="Arial" w:eastAsia="Arial" w:hAnsi="Arial"/>
          <w:sz w:val="16"/>
          <w:szCs w:val="16"/>
          <w:color w:val="auto"/>
        </w:rPr>
        <w:t>In addition, an affiliate of the Investment Advisor also manages CapitalSouth Partners SBIC Fund IV, L.P.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providing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 However, we do expect to make co-investments with Fund V given its similar investment strategy.</w:t>
      </w:r>
    </w:p>
    <w:p>
      <w:pPr>
        <w:spacing w:after="0" w:line="61"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61" w:lineRule="exact"/>
        <w:rPr>
          <w:sz w:val="20"/>
          <w:szCs w:val="20"/>
          <w:color w:val="auto"/>
        </w:rPr>
      </w:pPr>
    </w:p>
    <w:p>
      <w:pPr>
        <w:ind w:left="40" w:right="839" w:firstLine="270"/>
        <w:spacing w:after="0" w:line="257"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w:t>
      </w:r>
    </w:p>
    <w:p>
      <w:pPr>
        <w:spacing w:after="0" w:line="80"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62"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0" w:right="679" w:firstLine="270"/>
        <w:spacing w:after="0" w:line="302" w:lineRule="auto"/>
        <w:rPr>
          <w:sz w:val="20"/>
          <w:szCs w:val="20"/>
          <w:color w:val="auto"/>
        </w:rPr>
      </w:pPr>
      <w:r>
        <w:rPr>
          <w:rFonts w:ascii="Arial" w:cs="Arial" w:eastAsia="Arial" w:hAnsi="Arial"/>
          <w:sz w:val="16"/>
          <w:szCs w:val="16"/>
          <w:color w:val="auto"/>
        </w:rPr>
        <w:t>As of December 31, 2017, the Company had outstanding unfunded commitments related to debt investments in existing portfolio companies of $3.1 million (Portrait Studio, LLC), $2.0 million (CIS Secure Computing, Inc.), $1.0 million (Kelle’s Transport Service, LLC), and $0.7 million (U.S. Well Services, LLC). As of December 31, 2016, the Company had outstanding unfunded commitments related to debt investments in an existing portfolio company of $1.2 million (On-Site Fuel Services, Inc.).</w:t>
      </w:r>
    </w:p>
    <w:p>
      <w:pPr>
        <w:spacing w:after="0" w:line="46"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In addition to unfunded commitments related to debt investments, the Company also has extended a guaranty on behalf of one of our portfolio companies, whereby we have guaranteed $1.9 million of obligations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5" w:name="page96"/>
    <w:bookmarkEnd w:id="9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39"/>
        <w:spacing w:after="0" w:line="308" w:lineRule="auto"/>
        <w:rPr>
          <w:sz w:val="20"/>
          <w:szCs w:val="20"/>
          <w:color w:val="auto"/>
        </w:rPr>
      </w:pPr>
      <w:r>
        <w:rPr>
          <w:rFonts w:ascii="Arial" w:cs="Arial" w:eastAsia="Arial" w:hAnsi="Arial"/>
          <w:sz w:val="17"/>
          <w:szCs w:val="17"/>
          <w:color w:val="auto"/>
        </w:rPr>
        <w:t>of Kelle’s Transport Service, LLC. As of December 31, 2017 we have not been required to make payments on this or any previous guaranties, and we consider the credit risks to be remote and the fair value of this guaranty to be immaterial.</w:t>
      </w:r>
    </w:p>
    <w:p>
      <w:pPr>
        <w:spacing w:after="0" w:line="38" w:lineRule="exact"/>
        <w:rPr>
          <w:sz w:val="20"/>
          <w:szCs w:val="20"/>
          <w:color w:val="auto"/>
        </w:rPr>
      </w:pPr>
    </w:p>
    <w:p>
      <w:pPr>
        <w:jc w:val="both"/>
        <w:ind w:left="60" w:right="839" w:firstLine="270"/>
        <w:spacing w:after="0" w:line="264"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2, 2018, our Board declared the following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6564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6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Amount Per</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2018</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22, 2018</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30, 2018</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January 2, 2018</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20, 2018</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2, 2018</w:t>
            </w: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23, 2018</w:t>
            </w: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29, 2018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line="195" w:lineRule="exact"/>
              <w:rPr>
                <w:sz w:val="20"/>
                <w:szCs w:val="20"/>
                <w:color w:val="auto"/>
              </w:rPr>
            </w:pPr>
            <w:r>
              <w:rPr>
                <w:rFonts w:ascii="Arial" w:cs="Arial" w:eastAsia="Arial" w:hAnsi="Arial"/>
                <w:sz w:val="18"/>
                <w:szCs w:val="18"/>
                <w:color w:val="auto"/>
                <w:w w:val="99"/>
              </w:rPr>
              <w:t>Total Distributions Declared for Fiscal</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4751070" cy="3175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51070" cy="31750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117" w:lineRule="exact"/>
        <w:rPr>
          <w:sz w:val="20"/>
          <w:szCs w:val="20"/>
          <w:color w:val="auto"/>
        </w:rPr>
      </w:pPr>
    </w:p>
    <w:p>
      <w:pPr>
        <w:ind w:left="60" w:right="839" w:firstLine="270"/>
        <w:spacing w:after="0" w:line="277" w:lineRule="auto"/>
        <w:rPr>
          <w:sz w:val="20"/>
          <w:szCs w:val="20"/>
          <w:color w:val="auto"/>
        </w:rPr>
      </w:pPr>
      <w:r>
        <w:rPr>
          <w:rFonts w:ascii="Arial" w:cs="Arial" w:eastAsia="Arial" w:hAnsi="Arial"/>
          <w:sz w:val="18"/>
          <w:szCs w:val="18"/>
          <w:color w:val="auto"/>
        </w:rPr>
        <w:t>On January 2, 2018, the Company invested $15.0 million in first lien debt and $0.5 million in membership units of US Bath Group, LLC. The debt investment has a yield of LIBOR + 9.0% with a 1.0% floor.</w:t>
      </w:r>
    </w:p>
    <w:p>
      <w:pPr>
        <w:spacing w:after="0" w:line="62" w:lineRule="exact"/>
        <w:rPr>
          <w:sz w:val="20"/>
          <w:szCs w:val="20"/>
          <w:color w:val="auto"/>
        </w:rPr>
      </w:pPr>
    </w:p>
    <w:p>
      <w:pPr>
        <w:ind w:left="60" w:right="959" w:firstLine="270"/>
        <w:spacing w:after="0" w:line="277" w:lineRule="auto"/>
        <w:rPr>
          <w:sz w:val="20"/>
          <w:szCs w:val="20"/>
          <w:color w:val="auto"/>
        </w:rPr>
      </w:pPr>
      <w:r>
        <w:rPr>
          <w:rFonts w:ascii="Arial" w:cs="Arial" w:eastAsia="Arial" w:hAnsi="Arial"/>
          <w:sz w:val="18"/>
          <w:szCs w:val="18"/>
          <w:color w:val="auto"/>
        </w:rPr>
        <w:t>On January 19, 2018, the Company received $7.2 million in cash repayment for its first lien debt investment in Brunswick Bowling Products, Inc., repaid at par.</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6" w:name="page97"/>
    <w:bookmarkEnd w:id="9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80" w:right="539" w:firstLine="270"/>
        <w:spacing w:after="0" w:line="279" w:lineRule="auto"/>
        <w:rPr>
          <w:sz w:val="20"/>
          <w:szCs w:val="20"/>
          <w:color w:val="auto"/>
        </w:rPr>
      </w:pPr>
      <w:r>
        <w:rPr>
          <w:rFonts w:ascii="Arial" w:cs="Arial" w:eastAsia="Arial" w:hAnsi="Arial"/>
          <w:sz w:val="17"/>
          <w:szCs w:val="17"/>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year ended December 31, 2017, we did not engage in hedging activities.</w:t>
      </w:r>
    </w:p>
    <w:p>
      <w:pPr>
        <w:spacing w:after="0" w:line="63" w:lineRule="exact"/>
        <w:rPr>
          <w:sz w:val="20"/>
          <w:szCs w:val="20"/>
          <w:color w:val="auto"/>
        </w:rPr>
      </w:pPr>
    </w:p>
    <w:p>
      <w:pPr>
        <w:ind w:left="180" w:right="559" w:firstLine="270"/>
        <w:spacing w:after="0" w:line="254" w:lineRule="auto"/>
        <w:rPr>
          <w:sz w:val="20"/>
          <w:szCs w:val="20"/>
          <w:color w:val="auto"/>
        </w:rPr>
      </w:pPr>
      <w:r>
        <w:rPr>
          <w:rFonts w:ascii="Arial" w:cs="Arial" w:eastAsia="Arial" w:hAnsi="Arial"/>
          <w:sz w:val="18"/>
          <w:szCs w:val="18"/>
          <w:color w:val="auto"/>
        </w:rPr>
        <w:t>As of December 31, 2017, we held 21 securities bearing a variable rate of interest. Our variable rate investments represent approximately 48.3% of the fair value of total debt investments. As of December 31, 2017, 8.5% of variable rate securities were yielding interest at a rate equal to the established interest rate floor or interest rate ceiling and 91.5% of variable rate securities were yielding interest at a rate above its interest rate floor, below its interest rate ceiling, or were not subject to an interest rate floor. As of December 31, 2017, we had $9.0 million outstanding on our Credit Facility, which has a variable rate of interest at one-month LIBOR + 3.0%. As of December 31, 2017, all of our other interest paying liabilities, consisting of $170.7 million in SBA-guaranteed debentures, $75.0 million in 2022 Notes, and $52.1 million in 2022 Convertible Notes, were bearing interest at a fixed rate.</w:t>
      </w:r>
    </w:p>
    <w:p>
      <w:pPr>
        <w:spacing w:after="0" w:line="84" w:lineRule="exact"/>
        <w:rPr>
          <w:sz w:val="20"/>
          <w:szCs w:val="20"/>
          <w:color w:val="auto"/>
        </w:rPr>
      </w:pPr>
    </w:p>
    <w:p>
      <w:pPr>
        <w:ind w:left="180" w:right="619" w:firstLine="270"/>
        <w:spacing w:after="0" w:line="259"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79" w:lineRule="exact"/>
        <w:rPr>
          <w:sz w:val="20"/>
          <w:szCs w:val="20"/>
          <w:color w:val="auto"/>
        </w:rPr>
      </w:pPr>
    </w:p>
    <w:p>
      <w:pPr>
        <w:jc w:val="both"/>
        <w:ind w:left="180" w:right="639" w:firstLine="270"/>
        <w:spacing w:after="0" w:line="312" w:lineRule="auto"/>
        <w:rPr>
          <w:sz w:val="20"/>
          <w:szCs w:val="20"/>
          <w:color w:val="auto"/>
        </w:rPr>
      </w:pPr>
      <w:r>
        <w:rPr>
          <w:rFonts w:ascii="Arial" w:cs="Arial" w:eastAsia="Arial" w:hAnsi="Arial"/>
          <w:sz w:val="16"/>
          <w:szCs w:val="16"/>
          <w:color w:val="auto"/>
        </w:rPr>
        <w:t>Based on our December 31, 2017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wp:posOffset>
            </wp:positionV>
            <wp:extent cx="47510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(Increase)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Increase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(decrease)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decrease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8"/>
              </w:rPr>
              <w:t>(decrease)</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in interest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in interest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in net</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expense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income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5,240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(270)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4,970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3,486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7"/>
              <w:spacing w:after="0"/>
              <w:rPr>
                <w:sz w:val="20"/>
                <w:szCs w:val="20"/>
                <w:color w:val="auto"/>
              </w:rPr>
            </w:pPr>
            <w:r>
              <w:rPr>
                <w:rFonts w:ascii="Arial" w:cs="Arial" w:eastAsia="Arial" w:hAnsi="Arial"/>
                <w:sz w:val="18"/>
                <w:szCs w:val="18"/>
                <w:color w:val="auto"/>
              </w:rPr>
              <w:t>(180)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7"/>
              <w:spacing w:after="0"/>
              <w:rPr>
                <w:sz w:val="20"/>
                <w:szCs w:val="20"/>
                <w:color w:val="auto"/>
              </w:rPr>
            </w:pPr>
            <w:r>
              <w:rPr>
                <w:rFonts w:ascii="Arial" w:cs="Arial" w:eastAsia="Arial" w:hAnsi="Arial"/>
                <w:sz w:val="18"/>
                <w:szCs w:val="18"/>
                <w:color w:val="auto"/>
              </w:rPr>
              <w:t>3,306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1,731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1,641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Down 100 basis points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(1,282)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7"/>
              <w:spacing w:after="0"/>
              <w:rPr>
                <w:sz w:val="20"/>
                <w:szCs w:val="20"/>
                <w:color w:val="auto"/>
              </w:rPr>
            </w:pPr>
            <w:r>
              <w:rPr>
                <w:rFonts w:ascii="Arial" w:cs="Arial" w:eastAsia="Arial" w:hAnsi="Arial"/>
                <w:sz w:val="18"/>
                <w:szCs w:val="18"/>
                <w:color w:val="auto"/>
              </w:rPr>
              <w:t>91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(1,191)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 200 basis points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143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(1,218)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Down 300 basis points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(1,361)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7"/>
              <w:spacing w:after="0"/>
              <w:rPr>
                <w:sz w:val="20"/>
                <w:szCs w:val="20"/>
                <w:color w:val="auto"/>
              </w:rPr>
            </w:pPr>
            <w:r>
              <w:rPr>
                <w:rFonts w:ascii="Arial" w:cs="Arial" w:eastAsia="Arial" w:hAnsi="Arial"/>
                <w:sz w:val="18"/>
                <w:szCs w:val="18"/>
                <w:color w:val="auto"/>
              </w:rPr>
              <w:t>143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(1,218)</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97"/>
              <w:spacing w:after="0"/>
              <w:rPr>
                <w:sz w:val="20"/>
                <w:szCs w:val="20"/>
                <w:color w:val="auto"/>
              </w:rPr>
            </w:pPr>
            <w:r>
              <w:rPr>
                <w:rFonts w:ascii="Arial" w:cs="Arial" w:eastAsia="Arial" w:hAnsi="Arial"/>
                <w:sz w:val="18"/>
                <w:szCs w:val="18"/>
                <w:color w:val="auto"/>
                <w:w w:val="89"/>
              </w:rPr>
              <w:t>94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97" w:name="page98"/>
    <w:bookmarkEnd w:id="97"/>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7660" w:type="dxa"/>
            <w:vAlign w:val="bottom"/>
            <w:gridSpan w:val="13"/>
          </w:tcPr>
          <w:p>
            <w:pPr>
              <w:jc w:val="right"/>
              <w:ind w:right="540"/>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6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rPr>
              <w:t>INDEX TO CONSOLIDATED FINANCIAL STATEMENTS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5"/>
        </w:trPr>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24"/>
                <w:szCs w:val="24"/>
                <w:color w:val="auto"/>
              </w:rPr>
            </w:pPr>
          </w:p>
        </w:tc>
      </w:tr>
      <w:tr>
        <w:trPr>
          <w:trHeight w:val="169"/>
        </w:trPr>
        <w:tc>
          <w:tcPr>
            <w:tcW w:w="140" w:type="dxa"/>
            <w:vAlign w:val="bottom"/>
            <w:tcBorders>
              <w:right w:val="single" w:sz="8" w:color="CCEEFF"/>
            </w:tcBorders>
          </w:tcPr>
          <w:p>
            <w:pPr>
              <w:spacing w:after="0"/>
              <w:rPr>
                <w:sz w:val="14"/>
                <w:szCs w:val="14"/>
                <w:color w:val="auto"/>
              </w:rPr>
            </w:pPr>
          </w:p>
        </w:tc>
        <w:tc>
          <w:tcPr>
            <w:tcW w:w="7660" w:type="dxa"/>
            <w:vAlign w:val="bottom"/>
            <w:gridSpan w:val="13"/>
            <w:shd w:val="clear" w:color="auto" w:fill="CCEEFF"/>
          </w:tcPr>
          <w:p>
            <w:pPr>
              <w:spacing w:after="0" w:line="170" w:lineRule="exact"/>
              <w:rPr>
                <w:rFonts w:ascii="Arial" w:cs="Arial" w:eastAsia="Arial" w:hAnsi="Arial"/>
                <w:sz w:val="18"/>
                <w:szCs w:val="18"/>
                <w:color w:val="0000EE"/>
              </w:rPr>
            </w:pPr>
            <w:hyperlink w:anchor="page99">
              <w:r>
                <w:rPr>
                  <w:rFonts w:ascii="Arial" w:cs="Arial" w:eastAsia="Arial" w:hAnsi="Arial"/>
                  <w:sz w:val="18"/>
                  <w:szCs w:val="18"/>
                  <w:color w:val="0000EE"/>
                </w:rPr>
                <w:t>Report of Independent Registered Public Accounting Firm</w:t>
              </w:r>
            </w:hyperlink>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60"/>
              <w:spacing w:after="0" w:line="170" w:lineRule="exact"/>
              <w:rPr>
                <w:rFonts w:ascii="Arial" w:cs="Arial" w:eastAsia="Arial" w:hAnsi="Arial"/>
                <w:sz w:val="18"/>
                <w:szCs w:val="18"/>
                <w:color w:val="0000EE"/>
              </w:rPr>
            </w:pPr>
            <w:hyperlink w:anchor="page99">
              <w:r>
                <w:rPr>
                  <w:rFonts w:ascii="Arial" w:cs="Arial" w:eastAsia="Arial" w:hAnsi="Arial"/>
                  <w:sz w:val="18"/>
                  <w:szCs w:val="18"/>
                  <w:color w:val="0000EE"/>
                </w:rPr>
                <w:t>F-1</w:t>
              </w:r>
            </w:hyperlink>
          </w:p>
        </w:tc>
        <w:tc>
          <w:tcPr>
            <w:tcW w:w="1260" w:type="dxa"/>
            <w:vAlign w:val="bottom"/>
          </w:tcPr>
          <w:p>
            <w:pPr>
              <w:spacing w:after="0"/>
              <w:rPr>
                <w:sz w:val="14"/>
                <w:szCs w:val="14"/>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660" w:type="dxa"/>
            <w:vAlign w:val="bottom"/>
            <w:gridSpan w:val="13"/>
          </w:tcPr>
          <w:p>
            <w:pPr>
              <w:spacing w:after="0"/>
              <w:rPr>
                <w:sz w:val="20"/>
                <w:szCs w:val="20"/>
                <w:color w:val="auto"/>
              </w:rPr>
            </w:pPr>
            <w:r>
              <w:rPr>
                <w:rFonts w:ascii="Arial" w:cs="Arial" w:eastAsia="Arial" w:hAnsi="Arial"/>
                <w:sz w:val="18"/>
                <w:szCs w:val="18"/>
                <w:b w:val="1"/>
                <w:bCs w:val="1"/>
                <w:color w:val="auto"/>
              </w:rPr>
              <w:t>Audited Financial Statements: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3"/>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Statements of Assets and Liabilities as of December 31, 2017 and December 31,</w:t>
              </w:r>
            </w:hyperlink>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540" w:type="dxa"/>
            <w:vAlign w:val="bottom"/>
            <w:tcBorders>
              <w:top w:val="single" w:sz="8" w:color="0000EE"/>
            </w:tcBorders>
            <w:gridSpan w:val="2"/>
            <w:shd w:val="clear" w:color="auto" w:fill="CCEEFF"/>
          </w:tcPr>
          <w:p>
            <w:pPr>
              <w:ind w:left="180"/>
              <w:spacing w:after="0" w:line="196" w:lineRule="exact"/>
              <w:rPr>
                <w:rFonts w:ascii="Arial" w:cs="Arial" w:eastAsia="Arial" w:hAnsi="Arial"/>
                <w:sz w:val="18"/>
                <w:szCs w:val="18"/>
                <w:color w:val="0000EE"/>
                <w:w w:val="84"/>
              </w:rPr>
            </w:pPr>
            <w:hyperlink w:anchor="page100">
              <w:r>
                <w:rPr>
                  <w:rFonts w:ascii="Arial" w:cs="Arial" w:eastAsia="Arial" w:hAnsi="Arial"/>
                  <w:sz w:val="18"/>
                  <w:szCs w:val="18"/>
                  <w:color w:val="0000EE"/>
                  <w:w w:val="84"/>
                </w:rPr>
                <w:t>2016</w:t>
              </w:r>
            </w:hyperlink>
          </w:p>
        </w:tc>
        <w:tc>
          <w:tcPr>
            <w:tcW w:w="104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1080" w:type="dxa"/>
            <w:vAlign w:val="bottom"/>
            <w:tcBorders>
              <w:top w:val="single" w:sz="8" w:color="0000EE"/>
            </w:tcBorders>
            <w:shd w:val="clear" w:color="auto" w:fill="CCEEFF"/>
          </w:tcPr>
          <w:p>
            <w:pPr>
              <w:spacing w:after="0"/>
              <w:rPr>
                <w:sz w:val="17"/>
                <w:szCs w:val="17"/>
                <w:color w:val="auto"/>
              </w:rPr>
            </w:pPr>
          </w:p>
        </w:tc>
        <w:tc>
          <w:tcPr>
            <w:tcW w:w="222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F-2</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3"/>
          </w:tcPr>
          <w:p>
            <w:pPr>
              <w:spacing w:after="0" w:line="17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Consolidated Statements of Operations for the years ended December 31, 2017, December 31, 2016 and</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500" w:type="dxa"/>
            <w:vAlign w:val="bottom"/>
            <w:tcBorders>
              <w:top w:val="single" w:sz="8" w:color="0000EE"/>
            </w:tcBorders>
            <w:gridSpan w:val="12"/>
          </w:tcPr>
          <w:p>
            <w:pPr>
              <w:ind w:left="180"/>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December 31, 2015</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F-3</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3"/>
            <w:shd w:val="clear" w:color="auto" w:fill="CCEEFF"/>
          </w:tcPr>
          <w:p>
            <w:pPr>
              <w:spacing w:after="0" w:line="176" w:lineRule="exact"/>
              <w:rPr>
                <w:rFonts w:ascii="Arial" w:cs="Arial" w:eastAsia="Arial" w:hAnsi="Arial"/>
                <w:sz w:val="18"/>
                <w:szCs w:val="18"/>
                <w:color w:val="0000EE"/>
                <w:w w:val="92"/>
              </w:rPr>
            </w:pPr>
            <w:hyperlink w:anchor="page102">
              <w:r>
                <w:rPr>
                  <w:rFonts w:ascii="Arial" w:cs="Arial" w:eastAsia="Arial" w:hAnsi="Arial"/>
                  <w:sz w:val="18"/>
                  <w:szCs w:val="18"/>
                  <w:color w:val="0000EE"/>
                  <w:w w:val="92"/>
                </w:rPr>
                <w:t>Consolidated Statements of Changes in Net Assets for the years ended December 31, 2017, December</w:t>
              </w:r>
            </w:hyperlink>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7360" w:type="dxa"/>
            <w:vAlign w:val="bottom"/>
            <w:tcBorders>
              <w:top w:val="single" w:sz="8" w:color="0000EE"/>
            </w:tcBorders>
            <w:gridSpan w:val="11"/>
            <w:shd w:val="clear" w:color="auto" w:fill="CCEEFF"/>
          </w:tcPr>
          <w:p>
            <w:pPr>
              <w:ind w:left="180"/>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31, 2016 and December 31, 2015</w:t>
              </w:r>
            </w:hyperlink>
          </w:p>
        </w:tc>
        <w:tc>
          <w:tcPr>
            <w:tcW w:w="3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F-4</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3"/>
          </w:tcPr>
          <w:p>
            <w:pPr>
              <w:spacing w:after="0" w:line="176" w:lineRule="exact"/>
              <w:rPr>
                <w:rFonts w:ascii="Arial" w:cs="Arial" w:eastAsia="Arial" w:hAnsi="Arial"/>
                <w:sz w:val="18"/>
                <w:szCs w:val="18"/>
                <w:color w:val="0000EE"/>
                <w:w w:val="94"/>
              </w:rPr>
            </w:pPr>
            <w:hyperlink w:anchor="page103">
              <w:r>
                <w:rPr>
                  <w:rFonts w:ascii="Arial" w:cs="Arial" w:eastAsia="Arial" w:hAnsi="Arial"/>
                  <w:sz w:val="18"/>
                  <w:szCs w:val="18"/>
                  <w:color w:val="0000EE"/>
                  <w:w w:val="94"/>
                </w:rPr>
                <w:t>Consolidated Statements of Cash Flows for the years ended December 31, 2017, December 31, 2016</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240" w:type="dxa"/>
            <w:vAlign w:val="bottom"/>
            <w:tcBorders>
              <w:top w:val="single" w:sz="8" w:color="0000EE"/>
            </w:tcBorders>
            <w:gridSpan w:val="10"/>
          </w:tcPr>
          <w:p>
            <w:pPr>
              <w:ind w:left="18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and December 31, 2015</w:t>
              </w:r>
            </w:hyperlink>
          </w:p>
        </w:tc>
        <w:tc>
          <w:tcPr>
            <w:tcW w:w="4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F-5</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3"/>
            <w:shd w:val="clear" w:color="auto" w:fill="CCEEFF"/>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Consolidated Schedules of Investments as of December 31, 2017 and December 31, 2016</w:t>
              </w:r>
            </w:hyperlink>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F-6</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3"/>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Notes to Consolidated Financial Statements</w:t>
              </w:r>
            </w:hyperlink>
          </w:p>
        </w:tc>
        <w:tc>
          <w:tcPr>
            <w:tcW w:w="140" w:type="dxa"/>
            <w:vAlign w:val="bottom"/>
          </w:tcPr>
          <w:p>
            <w:pPr>
              <w:spacing w:after="0"/>
              <w:rPr>
                <w:sz w:val="15"/>
                <w:szCs w:val="15"/>
                <w:color w:val="auto"/>
              </w:rPr>
            </w:pPr>
          </w:p>
        </w:tc>
        <w:tc>
          <w:tcPr>
            <w:tcW w:w="400" w:type="dxa"/>
            <w:vAlign w:val="bottom"/>
            <w:gridSpan w:val="2"/>
          </w:tcPr>
          <w:p>
            <w:pPr>
              <w:jc w:val="right"/>
              <w:ind w:right="60"/>
              <w:spacing w:after="0" w:line="176"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F-18</w:t>
              </w:r>
            </w:hyperlink>
          </w:p>
        </w:tc>
        <w:tc>
          <w:tcPr>
            <w:tcW w:w="1260" w:type="dxa"/>
            <w:vAlign w:val="bottom"/>
          </w:tcPr>
          <w:p>
            <w:pPr>
              <w:spacing w:after="0"/>
              <w:rPr>
                <w:sz w:val="15"/>
                <w:szCs w:val="15"/>
                <w:color w:val="auto"/>
              </w:rPr>
            </w:pPr>
          </w:p>
        </w:tc>
      </w:tr>
      <w:tr>
        <w:trPr>
          <w:trHeight w:val="804"/>
        </w:trPr>
        <w:tc>
          <w:tcPr>
            <w:tcW w:w="140" w:type="dxa"/>
            <w:vAlign w:val="bottom"/>
          </w:tcPr>
          <w:p>
            <w:pPr>
              <w:spacing w:after="0"/>
              <w:rPr>
                <w:sz w:val="24"/>
                <w:szCs w:val="24"/>
                <w:color w:val="auto"/>
              </w:rPr>
            </w:pPr>
          </w:p>
        </w:tc>
        <w:tc>
          <w:tcPr>
            <w:tcW w:w="3140" w:type="dxa"/>
            <w:vAlign w:val="bottom"/>
            <w:tcBorders>
              <w:top w:val="single" w:sz="8" w:color="0000EE"/>
            </w:tcBorders>
            <w:gridSpan w:val="6"/>
          </w:tcPr>
          <w:p>
            <w:pPr>
              <w:spacing w:after="0"/>
              <w:rPr>
                <w:sz w:val="24"/>
                <w:szCs w:val="24"/>
                <w:color w:val="auto"/>
              </w:rPr>
            </w:pPr>
          </w:p>
        </w:tc>
        <w:tc>
          <w:tcPr>
            <w:tcW w:w="3300" w:type="dxa"/>
            <w:vAlign w:val="bottom"/>
            <w:gridSpan w:val="2"/>
          </w:tcPr>
          <w:p>
            <w:pPr>
              <w:jc w:val="right"/>
              <w:ind w:right="1700"/>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-2494915</wp:posOffset>
            </wp:positionV>
            <wp:extent cx="521398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0" w:right="3059" w:firstLine="2474"/>
        <w:spacing w:after="0" w:line="414"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the Board of Directors of Capitala Finance Corp.</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40" w:right="579"/>
        <w:spacing w:after="0" w:line="272" w:lineRule="auto"/>
        <w:rPr>
          <w:sz w:val="20"/>
          <w:szCs w:val="20"/>
          <w:color w:val="auto"/>
        </w:rPr>
      </w:pPr>
      <w:r>
        <w:rPr>
          <w:rFonts w:ascii="Arial" w:cs="Arial" w:eastAsia="Arial" w:hAnsi="Arial"/>
          <w:sz w:val="17"/>
          <w:szCs w:val="17"/>
          <w:color w:val="auto"/>
        </w:rPr>
        <w:t>We have audited the accompanying consolidated statements of assets and liabilities of Capitala Finance Corp. (the “Company”), including the consolidated schedules of investments, as of December 31, 2017 and 2016, and the related consolidated statements of operations, changes in net assets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Capitala Finance Corp. at December 31, 2017 and 2016, the results of its operations, changes in its net assets, and its cash flows for each of the three years in the period ended December 31, 2017, in conformity with U.S. generally accepted accounting principles.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40" w:right="739"/>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40" w:right="539"/>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5" w:lineRule="exact"/>
        <w:rPr>
          <w:sz w:val="20"/>
          <w:szCs w:val="20"/>
          <w:color w:val="auto"/>
        </w:rPr>
      </w:pPr>
    </w:p>
    <w:p>
      <w:pPr>
        <w:ind w:left="40" w:right="539"/>
        <w:spacing w:after="0" w:line="272"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procedures included confirmation of securities owned as of December 31, 2017 and 2016 by correspondence with the custodian and directly with management or designees of the portfolio companies, as applicable.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0"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2013.</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2018</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9" w:name="page100"/>
    <w:bookmarkEnd w:id="9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8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200"/>
              <w:spacing w:after="0" w:line="201" w:lineRule="exact"/>
              <w:rPr>
                <w:sz w:val="20"/>
                <w:szCs w:val="20"/>
                <w:color w:val="auto"/>
              </w:rPr>
            </w:pPr>
            <w:r>
              <w:rPr>
                <w:rFonts w:ascii="Arial" w:cs="Arial" w:eastAsia="Arial" w:hAnsi="Arial"/>
                <w:sz w:val="18"/>
                <w:szCs w:val="18"/>
                <w:color w:val="auto"/>
              </w:rPr>
              <w:t>Non-control/non-affiliate investments (amortized cost of $298,132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80"/>
              <w:spacing w:after="0"/>
              <w:rPr>
                <w:sz w:val="20"/>
                <w:szCs w:val="20"/>
                <w:color w:val="auto"/>
              </w:rPr>
            </w:pPr>
            <w:r>
              <w:rPr>
                <w:rFonts w:ascii="Arial" w:cs="Arial" w:eastAsia="Arial" w:hAnsi="Arial"/>
                <w:sz w:val="18"/>
                <w:szCs w:val="18"/>
                <w:color w:val="auto"/>
              </w:rPr>
              <w:t>$391,706, respectively)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w w:val="92"/>
              </w:rPr>
              <w:t>288,374</w:t>
            </w:r>
          </w:p>
        </w:tc>
        <w:tc>
          <w:tcPr>
            <w:tcW w:w="3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393,525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 investments (amortized cost of $77,336 and $39,279, respectively)</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103,957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61,464</w:t>
            </w: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Control investments (amortized cost of $89,559 and $82,791, respectively)</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w w:val="92"/>
              </w:rPr>
              <w:t>107,608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86,650</w:t>
            </w:r>
          </w:p>
        </w:tc>
        <w:tc>
          <w:tcPr>
            <w:tcW w:w="0" w:type="dxa"/>
            <w:vAlign w:val="bottom"/>
          </w:tcPr>
          <w:p>
            <w:pPr>
              <w:spacing w:after="0"/>
              <w:rPr>
                <w:sz w:val="1"/>
                <w:szCs w:val="1"/>
                <w:color w:val="auto"/>
              </w:rPr>
            </w:pPr>
          </w:p>
        </w:tc>
      </w:tr>
      <w:tr>
        <w:trPr>
          <w:trHeight w:val="195"/>
        </w:trPr>
        <w:tc>
          <w:tcPr>
            <w:tcW w:w="620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Total investments at fair value (amortized cost of $465,027 and $513,776,</w:t>
            </w: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499,939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541,639</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31,221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36,281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dividend receivable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Due from related parties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534,595</w:t>
            </w:r>
          </w:p>
        </w:tc>
        <w:tc>
          <w:tcPr>
            <w:tcW w:w="3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584,415</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SBA debentures (net of deferred financing costs of $2,300 and $2,911,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168,400</w:t>
            </w:r>
          </w:p>
        </w:tc>
        <w:tc>
          <w:tcPr>
            <w:tcW w:w="3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167,789</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2021 Notes (net of deferred financing costs of $0 and $3,025, respectively)</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110,413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Notes (net of deferred financing costs of $2,496 and $0, respectively)</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72,504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00" w:type="dxa"/>
            <w:vAlign w:val="bottom"/>
          </w:tcPr>
          <w:p>
            <w:pPr>
              <w:ind w:left="20"/>
              <w:spacing w:after="0" w:line="201" w:lineRule="exact"/>
              <w:rPr>
                <w:sz w:val="20"/>
                <w:szCs w:val="20"/>
                <w:color w:val="auto"/>
              </w:rPr>
            </w:pPr>
            <w:r>
              <w:rPr>
                <w:rFonts w:ascii="Arial" w:cs="Arial" w:eastAsia="Arial" w:hAnsi="Arial"/>
                <w:sz w:val="18"/>
                <w:szCs w:val="18"/>
                <w:color w:val="auto"/>
              </w:rPr>
              <w:t>2022 Convertible Notes (net of deferred financing costs of $1,583 and $0,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50,505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Credit Facility (net of deferred financing costs of $1,293 and $759, respectively)</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7,707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43,241</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Due to related parties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incentive fee payable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6,426</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Interest and financing fees payable</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3,141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Trade settlement payable</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Written call option at fair value (proceeds of $20 and $20, respectively)</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312,708</w:t>
            </w:r>
          </w:p>
        </w:tc>
        <w:tc>
          <w:tcPr>
            <w:tcW w:w="3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333,833</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Commitments and contingencies (Note 2)</w:t>
            </w: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20"/>
              <w:spacing w:after="0" w:line="201" w:lineRule="exact"/>
              <w:rPr>
                <w:sz w:val="20"/>
                <w:szCs w:val="20"/>
                <w:color w:val="auto"/>
              </w:rPr>
            </w:pPr>
            <w:r>
              <w:rPr>
                <w:rFonts w:ascii="Arial" w:cs="Arial" w:eastAsia="Arial" w:hAnsi="Arial"/>
                <w:sz w:val="18"/>
                <w:szCs w:val="18"/>
                <w:color w:val="auto"/>
              </w:rPr>
              <w:t>Common stock, par value $.01, 100,000,000 common shares authorized,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0"/>
              <w:spacing w:after="0"/>
              <w:rPr>
                <w:sz w:val="20"/>
                <w:szCs w:val="20"/>
                <w:color w:val="auto"/>
              </w:rPr>
            </w:pPr>
            <w:r>
              <w:rPr>
                <w:rFonts w:ascii="Arial" w:cs="Arial" w:eastAsia="Arial" w:hAnsi="Arial"/>
                <w:sz w:val="18"/>
                <w:szCs w:val="18"/>
                <w:color w:val="auto"/>
                <w:w w:val="92"/>
              </w:rPr>
              <w:t>15,951,231 and 15,868,045 common shares issued and outstanding, respectively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160</w:t>
            </w:r>
          </w:p>
        </w:tc>
        <w:tc>
          <w:tcPr>
            <w:tcW w:w="3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241,027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240,184</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Undistributed net investment income</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15,854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22,973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net realized losses from investments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(61,982)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(37,881)</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Net unrealized appreciation on investments, net of deferred taxes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33,623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27,863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 on written call option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tcPr>
          <w:p>
            <w:pPr>
              <w:ind w:left="200"/>
              <w:spacing w:after="0"/>
              <w:rPr>
                <w:sz w:val="20"/>
                <w:szCs w:val="20"/>
                <w:color w:val="auto"/>
              </w:rPr>
            </w:pPr>
            <w:r>
              <w:rPr>
                <w:rFonts w:ascii="Arial" w:cs="Arial" w:eastAsia="Arial" w:hAnsi="Arial"/>
                <w:sz w:val="18"/>
                <w:szCs w:val="18"/>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221,887</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250,582</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net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534,595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584,415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200" w:type="dxa"/>
            <w:vAlign w:val="bottom"/>
          </w:tcPr>
          <w:p>
            <w:pPr>
              <w:ind w:left="20"/>
              <w:spacing w:after="0"/>
              <w:rPr>
                <w:sz w:val="20"/>
                <w:szCs w:val="20"/>
                <w:color w:val="auto"/>
              </w:rPr>
            </w:pPr>
            <w:r>
              <w:rPr>
                <w:rFonts w:ascii="Arial" w:cs="Arial" w:eastAsia="Arial" w:hAnsi="Arial"/>
                <w:sz w:val="18"/>
                <w:szCs w:val="18"/>
                <w:color w:val="auto"/>
              </w:rPr>
              <w:t>Net asset value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13.91</w:t>
            </w:r>
          </w:p>
        </w:tc>
        <w:tc>
          <w:tcPr>
            <w:tcW w:w="3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-3953510</wp:posOffset>
            </wp:positionV>
            <wp:extent cx="5213985"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-1715135</wp:posOffset>
            </wp:positionV>
            <wp:extent cx="5213985" cy="146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-471805</wp:posOffset>
            </wp:positionV>
            <wp:extent cx="5213985"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0" w:name="page101"/>
    <w:bookmarkEnd w:id="10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83"/>
        </w:trPr>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INVESTMENT INCOME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fee income: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rPr>
                <w:sz w:val="20"/>
                <w:szCs w:val="20"/>
                <w:color w:val="auto"/>
              </w:rPr>
            </w:pPr>
            <w:r>
              <w:rPr>
                <w:rFonts w:ascii="Arial" w:cs="Arial" w:eastAsia="Arial" w:hAnsi="Arial"/>
                <w:sz w:val="16"/>
                <w:szCs w:val="16"/>
                <w:color w:val="auto"/>
              </w:rPr>
              <w:t>Non-control/non-affiliate investments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31,084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42,667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39,535</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Affiliate investments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4,509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11,589</w:t>
            </w: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rPr>
                <w:sz w:val="20"/>
                <w:szCs w:val="20"/>
                <w:color w:val="auto"/>
              </w:rPr>
            </w:pPr>
            <w:r>
              <w:rPr>
                <w:rFonts w:ascii="Arial" w:cs="Arial" w:eastAsia="Arial" w:hAnsi="Arial"/>
                <w:sz w:val="16"/>
                <w:szCs w:val="16"/>
                <w:color w:val="auto"/>
              </w:rPr>
              <w:t>Control investments</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6,896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10,718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5,406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interest and fee income</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42,489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59,108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56,530</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Payment-in-kind interest and dividend income:</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Non-control/non-affiliate investments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4,503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2,644</w:t>
            </w: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rPr>
                <w:sz w:val="20"/>
                <w:szCs w:val="20"/>
                <w:color w:val="auto"/>
              </w:rPr>
            </w:pPr>
            <w:r>
              <w:rPr>
                <w:rFonts w:ascii="Arial" w:cs="Arial" w:eastAsia="Arial" w:hAnsi="Arial"/>
                <w:sz w:val="16"/>
                <w:szCs w:val="16"/>
                <w:color w:val="auto"/>
              </w:rPr>
              <w:t>Affiliate investments</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Control investments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tcPr>
          <w:p>
            <w:pPr>
              <w:ind w:left="200"/>
              <w:spacing w:after="0"/>
              <w:rPr>
                <w:sz w:val="20"/>
                <w:szCs w:val="20"/>
                <w:color w:val="auto"/>
              </w:rPr>
            </w:pPr>
            <w:r>
              <w:rPr>
                <w:rFonts w:ascii="Arial" w:cs="Arial" w:eastAsia="Arial" w:hAnsi="Arial"/>
                <w:sz w:val="16"/>
                <w:szCs w:val="16"/>
                <w:color w:val="auto"/>
              </w:rPr>
              <w:t>Total payment-in-kind interest and dividend income</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7,143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6,300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income:</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rPr>
                <w:sz w:val="20"/>
                <w:szCs w:val="20"/>
                <w:color w:val="auto"/>
              </w:rPr>
            </w:pPr>
            <w:r>
              <w:rPr>
                <w:rFonts w:ascii="Arial" w:cs="Arial" w:eastAsia="Arial" w:hAnsi="Arial"/>
                <w:sz w:val="16"/>
                <w:szCs w:val="16"/>
                <w:color w:val="auto"/>
              </w:rPr>
              <w:t>Non-control/non-affiliate investments</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Affiliate investments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rPr>
                <w:sz w:val="20"/>
                <w:szCs w:val="20"/>
                <w:color w:val="auto"/>
              </w:rPr>
            </w:pPr>
            <w:r>
              <w:rPr>
                <w:rFonts w:ascii="Arial" w:cs="Arial" w:eastAsia="Arial" w:hAnsi="Arial"/>
                <w:sz w:val="16"/>
                <w:szCs w:val="16"/>
                <w:color w:val="auto"/>
              </w:rPr>
              <w:t>Control investments</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2,414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dividend income</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2,101</w:t>
            </w:r>
          </w:p>
        </w:tc>
        <w:tc>
          <w:tcPr>
            <w:tcW w:w="0" w:type="dxa"/>
            <w:vAlign w:val="bottom"/>
          </w:tcPr>
          <w:p>
            <w:pPr>
              <w:spacing w:after="0"/>
              <w:rPr>
                <w:sz w:val="1"/>
                <w:szCs w:val="1"/>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from cash and cash equivalents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tcPr>
          <w:p>
            <w:pPr>
              <w:ind w:left="200"/>
              <w:spacing w:after="0"/>
              <w:rPr>
                <w:sz w:val="20"/>
                <w:szCs w:val="20"/>
                <w:color w:val="auto"/>
              </w:rPr>
            </w:pPr>
            <w:r>
              <w:rPr>
                <w:rFonts w:ascii="Arial" w:cs="Arial" w:eastAsia="Arial" w:hAnsi="Arial"/>
                <w:sz w:val="16"/>
                <w:szCs w:val="16"/>
                <w:color w:val="auto"/>
              </w:rPr>
              <w:t>Total investment income</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51,089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68,312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63,976</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6"/>
                <w:szCs w:val="16"/>
                <w:color w:val="auto"/>
              </w:rPr>
              <w:t>Interest and financing expenses</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18,825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19,711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19,022</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6"/>
                <w:szCs w:val="16"/>
                <w:color w:val="auto"/>
              </w:rPr>
              <w:t>Base management fee</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9,780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10,588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10,590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fees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6,043</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3,878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3,804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Expenses before incentive fee waiver</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36,523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40,945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39,707</w:t>
            </w: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rPr>
                <w:sz w:val="20"/>
                <w:szCs w:val="20"/>
                <w:color w:val="auto"/>
              </w:rPr>
            </w:pPr>
            <w:r>
              <w:rPr>
                <w:rFonts w:ascii="Arial" w:cs="Arial" w:eastAsia="Arial" w:hAnsi="Arial"/>
                <w:sz w:val="16"/>
                <w:szCs w:val="16"/>
                <w:color w:val="auto"/>
              </w:rPr>
              <w:t>Incentive fee waiver (See Note 7)</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(1,673)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expenses, net of fee waivers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35,565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39,272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38,649</w:t>
            </w:r>
          </w:p>
        </w:tc>
        <w:tc>
          <w:tcPr>
            <w:tcW w:w="0" w:type="dxa"/>
            <w:vAlign w:val="bottom"/>
          </w:tcPr>
          <w:p>
            <w:pPr>
              <w:spacing w:after="0"/>
              <w:rPr>
                <w:sz w:val="1"/>
                <w:szCs w:val="1"/>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tcPr>
          <w:p>
            <w:pPr>
              <w:ind w:left="200"/>
              <w:spacing w:after="0"/>
              <w:rPr>
                <w:sz w:val="20"/>
                <w:szCs w:val="20"/>
                <w:color w:val="auto"/>
              </w:rPr>
            </w:pPr>
            <w:r>
              <w:rPr>
                <w:rFonts w:ascii="Arial" w:cs="Arial" w:eastAsia="Arial" w:hAnsi="Arial"/>
                <w:sz w:val="16"/>
                <w:szCs w:val="16"/>
                <w:color w:val="auto"/>
              </w:rPr>
              <w:t>NET INVESTMENT INCOME</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15,524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29,040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25,327</w:t>
            </w:r>
          </w:p>
        </w:tc>
        <w:tc>
          <w:tcPr>
            <w:tcW w:w="0" w:type="dxa"/>
            <w:vAlign w:val="bottom"/>
          </w:tcPr>
          <w:p>
            <w:pPr>
              <w:spacing w:after="0"/>
              <w:rPr>
                <w:sz w:val="1"/>
                <w:szCs w:val="1"/>
                <w:color w:val="auto"/>
              </w:rPr>
            </w:pPr>
          </w:p>
        </w:tc>
      </w:tr>
      <w:tr>
        <w:trPr>
          <w:trHeight w:val="18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AND UNREALIZED GAIN (LOSS) ON INVESTMENTS AND</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WRITTEN CALL OPTION: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6"/>
                <w:szCs w:val="16"/>
                <w:color w:val="auto"/>
              </w:rPr>
              <w:t>Net realized gain (loss) from investments: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Non-control/non-affiliate investments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(6,682)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8,758</w:t>
            </w: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rPr>
                <w:sz w:val="20"/>
                <w:szCs w:val="20"/>
                <w:color w:val="auto"/>
              </w:rPr>
            </w:pPr>
            <w:r>
              <w:rPr>
                <w:rFonts w:ascii="Arial" w:cs="Arial" w:eastAsia="Arial" w:hAnsi="Arial"/>
                <w:sz w:val="16"/>
                <w:szCs w:val="16"/>
                <w:color w:val="auto"/>
              </w:rPr>
              <w:t>Affiliate investments</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4,926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(24,172)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(9,109)</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Control investments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(22,433)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5,787</w:t>
            </w:r>
          </w:p>
        </w:tc>
        <w:tc>
          <w:tcPr>
            <w:tcW w:w="0" w:type="dxa"/>
            <w:vAlign w:val="bottom"/>
          </w:tcPr>
          <w:p>
            <w:pPr>
              <w:spacing w:after="0"/>
              <w:rPr>
                <w:sz w:val="1"/>
                <w:szCs w:val="1"/>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tcPr>
          <w:p>
            <w:pPr>
              <w:ind w:left="200"/>
              <w:spacing w:after="0"/>
              <w:rPr>
                <w:sz w:val="20"/>
                <w:szCs w:val="20"/>
                <w:color w:val="auto"/>
              </w:rPr>
            </w:pPr>
            <w:r>
              <w:rPr>
                <w:rFonts w:ascii="Arial" w:cs="Arial" w:eastAsia="Arial" w:hAnsi="Arial"/>
                <w:sz w:val="16"/>
                <w:szCs w:val="16"/>
                <w:color w:val="auto"/>
              </w:rPr>
              <w:t>Net realized gain (loss) from investments</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(24,189)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(22,766)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5,436</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unrealized appreciation (depreciation) on investments: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rPr>
                <w:sz w:val="20"/>
                <w:szCs w:val="20"/>
                <w:color w:val="auto"/>
              </w:rPr>
            </w:pPr>
            <w:r>
              <w:rPr>
                <w:rFonts w:ascii="Arial" w:cs="Arial" w:eastAsia="Arial" w:hAnsi="Arial"/>
                <w:sz w:val="16"/>
                <w:szCs w:val="16"/>
                <w:color w:val="auto"/>
              </w:rPr>
              <w:t>Non-control/non-affiliate investments</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(11,577)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(11,661)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Affiliate investments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4,436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03"/>
        </w:trPr>
        <w:tc>
          <w:tcPr>
            <w:tcW w:w="5240" w:type="dxa"/>
            <w:vAlign w:val="bottom"/>
          </w:tcPr>
          <w:p>
            <w:pPr>
              <w:ind w:left="200"/>
              <w:spacing w:after="0"/>
              <w:rPr>
                <w:sz w:val="20"/>
                <w:szCs w:val="20"/>
                <w:color w:val="auto"/>
              </w:rPr>
            </w:pPr>
            <w:r>
              <w:rPr>
                <w:rFonts w:ascii="Arial" w:cs="Arial" w:eastAsia="Arial" w:hAnsi="Arial"/>
                <w:sz w:val="16"/>
                <w:szCs w:val="16"/>
                <w:color w:val="auto"/>
              </w:rPr>
              <w:t>Control investments</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14,190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13,131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(13,894)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unrealized appreciation (depreciation) from investments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7,049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(16,913)</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6"/>
                <w:szCs w:val="16"/>
                <w:color w:val="auto"/>
              </w:rPr>
              <w:t>Net unrealized depreciation on written call option</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(4,079)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(2,716)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 on investments and written call option</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(21,219)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(19,888)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(11,477)</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6"/>
                <w:szCs w:val="16"/>
                <w:color w:val="auto"/>
              </w:rPr>
              <w:t>Tax provision</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4"/>
              </w:rPr>
              <w:t>Total net realized and unrealized gain (loss) on investments and written call</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option, net of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(22,508)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(11,477)</w:t>
            </w:r>
          </w:p>
        </w:tc>
        <w:tc>
          <w:tcPr>
            <w:tcW w:w="0" w:type="dxa"/>
            <w:vAlign w:val="bottom"/>
          </w:tcPr>
          <w:p>
            <w:pPr>
              <w:spacing w:after="0"/>
              <w:rPr>
                <w:sz w:val="1"/>
                <w:szCs w:val="1"/>
                <w:color w:val="auto"/>
              </w:rPr>
            </w:pPr>
          </w:p>
        </w:tc>
      </w:tr>
      <w:tr>
        <w:trPr>
          <w:trHeight w:val="189"/>
        </w:trPr>
        <w:tc>
          <w:tcPr>
            <w:tcW w:w="5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NET INCREASE (DECREASE) IN NET ASSETS RESULTING FROM</w:t>
            </w: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(6,984)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9,152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13,850</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NET ASSETS PER SHARE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RESULTING FROM OPERATIONS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193"/>
        </w:trPr>
        <w:tc>
          <w:tcPr>
            <w:tcW w:w="5240" w:type="dxa"/>
            <w:vAlign w:val="bottom"/>
          </w:tcPr>
          <w:p>
            <w:pPr>
              <w:ind w:left="20"/>
              <w:spacing w:after="0"/>
              <w:rPr>
                <w:sz w:val="20"/>
                <w:szCs w:val="20"/>
                <w:color w:val="auto"/>
              </w:rPr>
            </w:pPr>
            <w:r>
              <w:rPr>
                <w:rFonts w:ascii="Arial" w:cs="Arial" w:eastAsia="Arial" w:hAnsi="Arial"/>
                <w:sz w:val="16"/>
                <w:szCs w:val="16"/>
                <w:color w:val="auto"/>
              </w:rPr>
              <w:t>WEIGHTED AVERAGE COMMON STOCK OUTSTANDING – BASIC</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0"/>
              <w:spacing w:after="0"/>
              <w:rPr>
                <w:sz w:val="20"/>
                <w:szCs w:val="20"/>
                <w:color w:val="auto"/>
              </w:rPr>
            </w:pPr>
            <w:r>
              <w:rPr>
                <w:rFonts w:ascii="Arial" w:cs="Arial" w:eastAsia="Arial" w:hAnsi="Arial"/>
                <w:sz w:val="16"/>
                <w:szCs w:val="16"/>
                <w:color w:val="auto"/>
              </w:rPr>
              <w:t>AND DILUTED</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15,903,167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15,819,175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15,210,577</w:t>
            </w: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PAID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-6225540</wp:posOffset>
            </wp:positionV>
            <wp:extent cx="521398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-5702300</wp:posOffset>
            </wp:positionV>
            <wp:extent cx="5213985"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-4904740</wp:posOffset>
            </wp:positionV>
            <wp:extent cx="5213985" cy="146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-4630420</wp:posOffset>
            </wp:positionV>
            <wp:extent cx="5213985"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-3309620</wp:posOffset>
            </wp:positionV>
            <wp:extent cx="5213985"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-2392045</wp:posOffset>
            </wp:positionV>
            <wp:extent cx="5213985"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-942975</wp:posOffset>
            </wp:positionV>
            <wp:extent cx="5213985" cy="3003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3003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045" w:gutter="0" w:footer="0" w:header="0"/>
        </w:sectPr>
      </w:pPr>
    </w:p>
    <w:bookmarkStart w:id="101" w:name="page102"/>
    <w:bookmarkEnd w:id="10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1885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420" w:type="dxa"/>
            <w:vAlign w:val="bottom"/>
          </w:tcPr>
          <w:p>
            <w:pPr>
              <w:spacing w:after="0"/>
              <w:rPr>
                <w:sz w:val="12"/>
                <w:szCs w:val="12"/>
                <w:color w:val="auto"/>
              </w:rPr>
            </w:pPr>
          </w:p>
        </w:tc>
        <w:tc>
          <w:tcPr>
            <w:tcW w:w="1280" w:type="dxa"/>
            <w:vAlign w:val="bottom"/>
            <w:tcBorders>
              <w:bottom w:val="single" w:sz="8" w:color="auto"/>
            </w:tcBorders>
            <w:gridSpan w:val="4"/>
          </w:tcPr>
          <w:p>
            <w:pPr>
              <w:jc w:val="right"/>
              <w:ind w:right="240"/>
              <w:spacing w:after="0" w:line="135" w:lineRule="exact"/>
              <w:rPr>
                <w:sz w:val="20"/>
                <w:szCs w:val="20"/>
                <w:color w:val="auto"/>
              </w:rPr>
            </w:pPr>
            <w:r>
              <w:rPr>
                <w:rFonts w:ascii="Arial" w:cs="Arial" w:eastAsia="Arial" w:hAnsi="Arial"/>
                <w:sz w:val="13"/>
                <w:szCs w:val="13"/>
                <w:b w:val="1"/>
                <w:bCs w:val="1"/>
                <w:color w:val="auto"/>
              </w:rPr>
              <w:t>Common Stock</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3"/>
          </w:tcPr>
          <w:p>
            <w:pPr>
              <w:jc w:val="center"/>
              <w:ind w:right="40"/>
              <w:spacing w:after="0" w:line="104" w:lineRule="exact"/>
              <w:rPr>
                <w:sz w:val="20"/>
                <w:szCs w:val="20"/>
                <w:color w:val="auto"/>
              </w:rPr>
            </w:pPr>
            <w:r>
              <w:rPr>
                <w:rFonts w:ascii="Arial" w:cs="Arial" w:eastAsia="Arial" w:hAnsi="Arial"/>
                <w:sz w:val="11"/>
                <w:szCs w:val="11"/>
                <w:b w:val="1"/>
                <w:bCs w:val="1"/>
                <w:color w:val="auto"/>
              </w:rPr>
              <w:t>(Depreciation)</w:t>
            </w: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75"/>
              </w:rPr>
              <w:t>on</w:t>
            </w:r>
          </w:p>
        </w:tc>
        <w:tc>
          <w:tcPr>
            <w:tcW w:w="140" w:type="dxa"/>
            <w:vAlign w:val="bottom"/>
          </w:tcPr>
          <w:p>
            <w:pPr>
              <w:spacing w:after="0"/>
              <w:rPr>
                <w:sz w:val="11"/>
                <w:szCs w:val="11"/>
                <w:color w:val="auto"/>
              </w:rPr>
            </w:pP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Net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6"/>
          </w:tcPr>
          <w:p>
            <w:pPr>
              <w:ind w:left="20"/>
              <w:spacing w:after="0" w:line="135" w:lineRule="exact"/>
              <w:rPr>
                <w:sz w:val="20"/>
                <w:szCs w:val="20"/>
                <w:color w:val="auto"/>
              </w:rPr>
            </w:pPr>
            <w:r>
              <w:rPr>
                <w:rFonts w:ascii="Arial" w:cs="Arial" w:eastAsia="Arial" w:hAnsi="Arial"/>
                <w:sz w:val="13"/>
                <w:szCs w:val="13"/>
                <w:b w:val="1"/>
                <w:bCs w:val="1"/>
                <w:color w:val="auto"/>
                <w:w w:val="89"/>
              </w:rPr>
              <w:t>Undistributed Accumulated</w:t>
            </w:r>
          </w:p>
        </w:tc>
        <w:tc>
          <w:tcPr>
            <w:tcW w:w="84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Investments,</w:t>
            </w:r>
          </w:p>
        </w:tc>
        <w:tc>
          <w:tcPr>
            <w:tcW w:w="7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Unrealized</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Net</w:t>
            </w:r>
          </w:p>
        </w:tc>
        <w:tc>
          <w:tcPr>
            <w:tcW w:w="7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net of</w:t>
            </w: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1"/>
              </w:rPr>
              <w:t>Depreciation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Number of</w:t>
            </w:r>
          </w:p>
        </w:tc>
        <w:tc>
          <w:tcPr>
            <w:tcW w:w="44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Par</w:t>
            </w:r>
          </w:p>
        </w:tc>
        <w:tc>
          <w:tcPr>
            <w:tcW w:w="68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9"/>
              </w:rPr>
              <w:t>Paid in</w:t>
            </w:r>
          </w:p>
        </w:tc>
        <w:tc>
          <w:tcPr>
            <w:tcW w:w="10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Deferred</w:t>
            </w:r>
          </w:p>
        </w:tc>
        <w:tc>
          <w:tcPr>
            <w:tcW w:w="7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on Written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BALANCE, December 31, 2014</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Value</w:t>
            </w:r>
          </w:p>
        </w:tc>
        <w:tc>
          <w:tcPr>
            <w:tcW w:w="6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2"/>
              </w:rPr>
              <w:t>(Losses)</w:t>
            </w:r>
          </w:p>
        </w:tc>
        <w:tc>
          <w:tcPr>
            <w:tcW w:w="1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Taxes</w:t>
            </w:r>
          </w:p>
        </w:tc>
        <w:tc>
          <w:tcPr>
            <w:tcW w:w="7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Call Option</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420" w:type="dxa"/>
            <w:vAlign w:val="bottom"/>
            <w:vMerge w:val="continue"/>
          </w:tcPr>
          <w:p>
            <w:pPr>
              <w:spacing w:after="0"/>
              <w:rPr>
                <w:sz w:val="12"/>
                <w:szCs w:val="12"/>
                <w:color w:val="auto"/>
              </w:rPr>
            </w:pPr>
          </w:p>
        </w:tc>
        <w:tc>
          <w:tcPr>
            <w:tcW w:w="8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color w:val="auto"/>
                <w:w w:val="96"/>
              </w:rPr>
              <w:t>12,974,420</w:t>
            </w:r>
          </w:p>
        </w:tc>
        <w:tc>
          <w:tcPr>
            <w:tcW w:w="4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color w:val="auto"/>
                <w:w w:val="89"/>
              </w:rPr>
              <w:t>$130</w:t>
            </w:r>
          </w:p>
        </w:tc>
        <w:tc>
          <w:tcPr>
            <w:tcW w:w="6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2"/>
              </w:rPr>
              <w:t>$188,408</w:t>
            </w: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12,314</w:t>
            </w:r>
          </w:p>
        </w:tc>
        <w:tc>
          <w:tcPr>
            <w:tcW w:w="1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803</w:t>
            </w: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rPr>
              <w:t>39,182</w:t>
            </w: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w w:val="92"/>
              </w:rPr>
              <w:t>$240,837</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investment income</w:t>
            </w:r>
          </w:p>
        </w:tc>
        <w:tc>
          <w:tcPr>
            <w:tcW w:w="8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25,327</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25,327</w:t>
            </w: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Net realized gain from investments</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5,436</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5,436</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3"/>
              </w:rPr>
              <w:t>Net change in unrealized depreciation</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on investments</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(16,913)</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(16,913)</w:t>
            </w:r>
          </w:p>
        </w:tc>
        <w:tc>
          <w:tcPr>
            <w:tcW w:w="0" w:type="dxa"/>
            <w:vAlign w:val="bottom"/>
          </w:tcPr>
          <w:p>
            <w:pPr>
              <w:spacing w:after="0"/>
              <w:rPr>
                <w:sz w:val="1"/>
                <w:szCs w:val="1"/>
                <w:color w:val="auto"/>
              </w:rPr>
            </w:pPr>
          </w:p>
        </w:tc>
      </w:tr>
      <w:tr>
        <w:trPr>
          <w:trHeight w:val="130"/>
        </w:trPr>
        <w:tc>
          <w:tcPr>
            <w:tcW w:w="2420" w:type="dxa"/>
            <w:vAlign w:val="bottom"/>
          </w:tcPr>
          <w:p>
            <w:pPr>
              <w:ind w:left="200"/>
              <w:spacing w:after="0" w:line="130" w:lineRule="exact"/>
              <w:rPr>
                <w:sz w:val="20"/>
                <w:szCs w:val="20"/>
                <w:color w:val="auto"/>
              </w:rPr>
            </w:pPr>
            <w:r>
              <w:rPr>
                <w:rFonts w:ascii="Arial" w:cs="Arial" w:eastAsia="Arial" w:hAnsi="Arial"/>
                <w:sz w:val="14"/>
                <w:szCs w:val="14"/>
                <w:color w:val="auto"/>
              </w:rPr>
              <w:t>Issuance of common stock, net of</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380"/>
              <w:spacing w:after="0"/>
              <w:rPr>
                <w:sz w:val="20"/>
                <w:szCs w:val="20"/>
                <w:color w:val="auto"/>
              </w:rPr>
            </w:pPr>
            <w:r>
              <w:rPr>
                <w:rFonts w:ascii="Arial" w:cs="Arial" w:eastAsia="Arial" w:hAnsi="Arial"/>
                <w:sz w:val="14"/>
                <w:szCs w:val="14"/>
                <w:color w:val="auto"/>
              </w:rPr>
              <w:t>offering and underwriting costs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3,500,000</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35</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61,665</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61,700</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Repurchase and retirement of</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common stock under stock</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program</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(774,858)</w:t>
            </w:r>
          </w:p>
        </w:tc>
        <w:tc>
          <w:tcPr>
            <w:tcW w:w="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w:t>
            </w:r>
          </w:p>
        </w:tc>
        <w:tc>
          <w:tcPr>
            <w:tcW w:w="6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(11,992)</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Distributions to Shareholders: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Stock issued under dividend</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reinvestment plan</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77,783</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49"/>
        </w:trPr>
        <w:tc>
          <w:tcPr>
            <w:tcW w:w="2420" w:type="dxa"/>
            <w:vAlign w:val="bottom"/>
          </w:tcPr>
          <w:p>
            <w:pPr>
              <w:ind w:left="380"/>
              <w:spacing w:after="0" w:line="149" w:lineRule="exact"/>
              <w:rPr>
                <w:sz w:val="20"/>
                <w:szCs w:val="20"/>
                <w:color w:val="auto"/>
              </w:rPr>
            </w:pPr>
            <w:r>
              <w:rPr>
                <w:rFonts w:ascii="Arial" w:cs="Arial" w:eastAsia="Arial" w:hAnsi="Arial"/>
                <w:sz w:val="14"/>
                <w:szCs w:val="14"/>
                <w:color w:val="auto"/>
              </w:rPr>
              <w:t>Distributions declared</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(25,673)</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(10,936)</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(36,609)</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9"/>
              </w:rPr>
              <w:t>Tax reclassification of stockholders’</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equity in accordance with</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generally accepted accounting</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principles</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(3,398)</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3,398</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tcPr>
          <w:p>
            <w:pPr>
              <w:ind w:left="20"/>
              <w:spacing w:after="0" w:line="142" w:lineRule="exact"/>
              <w:rPr>
                <w:sz w:val="20"/>
                <w:szCs w:val="20"/>
                <w:color w:val="auto"/>
              </w:rPr>
            </w:pPr>
            <w:r>
              <w:rPr>
                <w:rFonts w:ascii="Arial" w:cs="Arial" w:eastAsia="Arial" w:hAnsi="Arial"/>
                <w:sz w:val="14"/>
                <w:szCs w:val="14"/>
                <w:color w:val="auto"/>
              </w:rPr>
              <w:t>BALANCE, December 31, 2015</w:t>
            </w:r>
          </w:p>
        </w:tc>
        <w:tc>
          <w:tcPr>
            <w:tcW w:w="8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6"/>
              </w:rPr>
              <w:t>15,777,345</w:t>
            </w:r>
          </w:p>
        </w:tc>
        <w:tc>
          <w:tcPr>
            <w:tcW w:w="4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89"/>
              </w:rPr>
              <w:t>$158</w:t>
            </w:r>
          </w:p>
        </w:tc>
        <w:tc>
          <w:tcPr>
            <w:tcW w:w="6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2"/>
              </w:rPr>
              <w:t>$239,104</w:t>
            </w: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8,570</w:t>
            </w:r>
          </w:p>
        </w:tc>
        <w:tc>
          <w:tcPr>
            <w:tcW w:w="12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(1,299)</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22,269</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2"/>
              </w:rPr>
              <w:t>$268,802</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investment income</w:t>
            </w:r>
          </w:p>
        </w:tc>
        <w:tc>
          <w:tcPr>
            <w:tcW w:w="8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29,040</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29,040</w:t>
            </w: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Net realized loss from investments</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(22,766)</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(22,766)</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3"/>
              </w:rPr>
              <w:t>Net change in unrealized appreciation</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on investments</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5,594</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5,594</w:t>
            </w:r>
          </w:p>
        </w:tc>
        <w:tc>
          <w:tcPr>
            <w:tcW w:w="0" w:type="dxa"/>
            <w:vAlign w:val="bottom"/>
          </w:tcPr>
          <w:p>
            <w:pPr>
              <w:spacing w:after="0"/>
              <w:rPr>
                <w:sz w:val="1"/>
                <w:szCs w:val="1"/>
                <w:color w:val="auto"/>
              </w:rPr>
            </w:pPr>
          </w:p>
        </w:tc>
      </w:tr>
      <w:tr>
        <w:trPr>
          <w:trHeight w:val="130"/>
        </w:trPr>
        <w:tc>
          <w:tcPr>
            <w:tcW w:w="2420" w:type="dxa"/>
            <w:vAlign w:val="bottom"/>
          </w:tcPr>
          <w:p>
            <w:pPr>
              <w:ind w:left="200"/>
              <w:spacing w:after="0" w:line="130" w:lineRule="exact"/>
              <w:rPr>
                <w:sz w:val="20"/>
                <w:szCs w:val="20"/>
                <w:color w:val="auto"/>
              </w:rPr>
            </w:pPr>
            <w:r>
              <w:rPr>
                <w:rFonts w:ascii="Arial" w:cs="Arial" w:eastAsia="Arial" w:hAnsi="Arial"/>
                <w:sz w:val="14"/>
                <w:szCs w:val="14"/>
                <w:color w:val="auto"/>
                <w:w w:val="93"/>
              </w:rPr>
              <w:t>Net change in unrealized depreciation</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380"/>
              <w:spacing w:after="0"/>
              <w:rPr>
                <w:sz w:val="20"/>
                <w:szCs w:val="20"/>
                <w:color w:val="auto"/>
              </w:rPr>
            </w:pPr>
            <w:r>
              <w:rPr>
                <w:rFonts w:ascii="Arial" w:cs="Arial" w:eastAsia="Arial" w:hAnsi="Arial"/>
                <w:sz w:val="14"/>
                <w:szCs w:val="14"/>
                <w:color w:val="auto"/>
              </w:rPr>
              <w:t>on written call option</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(2,716)</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(2,716)</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to Shareholders:</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tcPr>
          <w:p>
            <w:pPr>
              <w:ind w:left="380"/>
              <w:spacing w:after="0" w:line="130" w:lineRule="exact"/>
              <w:rPr>
                <w:sz w:val="20"/>
                <w:szCs w:val="20"/>
                <w:color w:val="auto"/>
              </w:rPr>
            </w:pPr>
            <w:r>
              <w:rPr>
                <w:rFonts w:ascii="Arial" w:cs="Arial" w:eastAsia="Arial" w:hAnsi="Arial"/>
                <w:sz w:val="14"/>
                <w:szCs w:val="14"/>
                <w:color w:val="auto"/>
              </w:rPr>
              <w:t>Stock issued under dividend</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560"/>
              <w:spacing w:after="0"/>
              <w:rPr>
                <w:sz w:val="20"/>
                <w:szCs w:val="20"/>
                <w:color w:val="auto"/>
              </w:rPr>
            </w:pPr>
            <w:r>
              <w:rPr>
                <w:rFonts w:ascii="Arial" w:cs="Arial" w:eastAsia="Arial" w:hAnsi="Arial"/>
                <w:sz w:val="14"/>
                <w:szCs w:val="14"/>
                <w:color w:val="auto"/>
              </w:rPr>
              <w:t>reinvestment plan</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90,700</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Distributions declared</w:t>
            </w:r>
          </w:p>
        </w:tc>
        <w:tc>
          <w:tcPr>
            <w:tcW w:w="8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(28,475)</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(28,475)</w:t>
            </w:r>
          </w:p>
        </w:tc>
        <w:tc>
          <w:tcPr>
            <w:tcW w:w="0" w:type="dxa"/>
            <w:vAlign w:val="bottom"/>
          </w:tcPr>
          <w:p>
            <w:pPr>
              <w:spacing w:after="0"/>
              <w:rPr>
                <w:sz w:val="1"/>
                <w:szCs w:val="1"/>
                <w:color w:val="auto"/>
              </w:rPr>
            </w:pPr>
          </w:p>
        </w:tc>
      </w:tr>
      <w:tr>
        <w:trPr>
          <w:trHeight w:val="130"/>
        </w:trPr>
        <w:tc>
          <w:tcPr>
            <w:tcW w:w="2420" w:type="dxa"/>
            <w:vAlign w:val="bottom"/>
          </w:tcPr>
          <w:p>
            <w:pPr>
              <w:ind w:left="200"/>
              <w:spacing w:after="0" w:line="130" w:lineRule="exact"/>
              <w:rPr>
                <w:sz w:val="20"/>
                <w:szCs w:val="20"/>
                <w:color w:val="auto"/>
              </w:rPr>
            </w:pPr>
            <w:r>
              <w:rPr>
                <w:rFonts w:ascii="Arial" w:cs="Arial" w:eastAsia="Arial" w:hAnsi="Arial"/>
                <w:sz w:val="14"/>
                <w:szCs w:val="14"/>
                <w:color w:val="auto"/>
                <w:w w:val="99"/>
              </w:rPr>
              <w:t>Tax reclassification of stockholders’</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80"/>
              <w:spacing w:after="0" w:line="149" w:lineRule="exact"/>
              <w:rPr>
                <w:sz w:val="20"/>
                <w:szCs w:val="20"/>
                <w:color w:val="auto"/>
              </w:rPr>
            </w:pPr>
            <w:r>
              <w:rPr>
                <w:rFonts w:ascii="Arial" w:cs="Arial" w:eastAsia="Arial" w:hAnsi="Arial"/>
                <w:sz w:val="14"/>
                <w:szCs w:val="14"/>
                <w:color w:val="auto"/>
              </w:rPr>
              <w:t>equity in accordance with</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80"/>
              <w:spacing w:after="0" w:line="149" w:lineRule="exact"/>
              <w:rPr>
                <w:sz w:val="20"/>
                <w:szCs w:val="20"/>
                <w:color w:val="auto"/>
              </w:rPr>
            </w:pPr>
            <w:r>
              <w:rPr>
                <w:rFonts w:ascii="Arial" w:cs="Arial" w:eastAsia="Arial" w:hAnsi="Arial"/>
                <w:sz w:val="14"/>
                <w:szCs w:val="14"/>
                <w:color w:val="auto"/>
              </w:rPr>
              <w:t>generally accepted accounting</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380"/>
              <w:spacing w:after="0"/>
              <w:rPr>
                <w:sz w:val="20"/>
                <w:szCs w:val="20"/>
                <w:color w:val="auto"/>
              </w:rPr>
            </w:pPr>
            <w:r>
              <w:rPr>
                <w:rFonts w:ascii="Arial" w:cs="Arial" w:eastAsia="Arial" w:hAnsi="Arial"/>
                <w:sz w:val="14"/>
                <w:szCs w:val="14"/>
                <w:color w:val="auto"/>
              </w:rPr>
              <w:t>principles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13,838</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(13,816)</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2016</w:t>
            </w:r>
          </w:p>
        </w:tc>
        <w:tc>
          <w:tcPr>
            <w:tcW w:w="84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6"/>
              </w:rPr>
              <w:t>15,868,045</w:t>
            </w:r>
          </w:p>
        </w:tc>
        <w:tc>
          <w:tcPr>
            <w:tcW w:w="44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9"/>
              </w:rPr>
              <w:t>$159</w:t>
            </w:r>
          </w:p>
        </w:tc>
        <w:tc>
          <w:tcPr>
            <w:tcW w:w="68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2"/>
              </w:rPr>
              <w:t>$240,184</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22,973</w:t>
            </w:r>
          </w:p>
        </w:tc>
        <w:tc>
          <w:tcPr>
            <w:tcW w:w="1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9"/>
              </w:rPr>
              <w:t>(37,881)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27,863</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(2,716)</w:t>
            </w: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2"/>
              </w:rPr>
              <w:t>$250,582</w:t>
            </w: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Net investment income</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15,524</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15,524</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realized loss from investments</w:t>
            </w:r>
          </w:p>
        </w:tc>
        <w:tc>
          <w:tcPr>
            <w:tcW w:w="8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(24,189)</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(24,189)</w:t>
            </w:r>
          </w:p>
        </w:tc>
        <w:tc>
          <w:tcPr>
            <w:tcW w:w="0" w:type="dxa"/>
            <w:vAlign w:val="bottom"/>
          </w:tcPr>
          <w:p>
            <w:pPr>
              <w:spacing w:after="0"/>
              <w:rPr>
                <w:sz w:val="1"/>
                <w:szCs w:val="1"/>
                <w:color w:val="auto"/>
              </w:rPr>
            </w:pPr>
          </w:p>
        </w:tc>
      </w:tr>
      <w:tr>
        <w:trPr>
          <w:trHeight w:val="130"/>
        </w:trPr>
        <w:tc>
          <w:tcPr>
            <w:tcW w:w="2420" w:type="dxa"/>
            <w:vAlign w:val="bottom"/>
          </w:tcPr>
          <w:p>
            <w:pPr>
              <w:ind w:left="200"/>
              <w:spacing w:after="0" w:line="130" w:lineRule="exact"/>
              <w:rPr>
                <w:sz w:val="20"/>
                <w:szCs w:val="20"/>
                <w:color w:val="auto"/>
              </w:rPr>
            </w:pPr>
            <w:r>
              <w:rPr>
                <w:rFonts w:ascii="Arial" w:cs="Arial" w:eastAsia="Arial" w:hAnsi="Arial"/>
                <w:sz w:val="14"/>
                <w:szCs w:val="14"/>
                <w:color w:val="auto"/>
                <w:w w:val="93"/>
              </w:rPr>
              <w:t>Net change in unrealized appreciation</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380"/>
              <w:spacing w:after="0"/>
              <w:rPr>
                <w:sz w:val="20"/>
                <w:szCs w:val="20"/>
                <w:color w:val="auto"/>
              </w:rPr>
            </w:pPr>
            <w:r>
              <w:rPr>
                <w:rFonts w:ascii="Arial" w:cs="Arial" w:eastAsia="Arial" w:hAnsi="Arial"/>
                <w:sz w:val="14"/>
                <w:szCs w:val="14"/>
                <w:color w:val="auto"/>
              </w:rPr>
              <w:t>on investments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7,049</w:t>
            </w: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7,049</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3"/>
              </w:rPr>
              <w:t>Net change in unrealized depreciation</w:t>
            </w:r>
          </w:p>
        </w:tc>
        <w:tc>
          <w:tcPr>
            <w:tcW w:w="7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on written call option</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(4,079)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149"/>
        </w:trPr>
        <w:tc>
          <w:tcPr>
            <w:tcW w:w="2420" w:type="dxa"/>
            <w:vAlign w:val="bottom"/>
          </w:tcPr>
          <w:p>
            <w:pPr>
              <w:ind w:left="200"/>
              <w:spacing w:after="0" w:line="149" w:lineRule="exact"/>
              <w:rPr>
                <w:sz w:val="20"/>
                <w:szCs w:val="20"/>
                <w:color w:val="auto"/>
              </w:rPr>
            </w:pPr>
            <w:r>
              <w:rPr>
                <w:rFonts w:ascii="Arial" w:cs="Arial" w:eastAsia="Arial" w:hAnsi="Arial"/>
                <w:sz w:val="14"/>
                <w:szCs w:val="14"/>
                <w:color w:val="auto"/>
              </w:rPr>
              <w:t>Tax provision</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(1,289)</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to Shareholders:</w:t>
            </w:r>
          </w:p>
        </w:tc>
        <w:tc>
          <w:tcPr>
            <w:tcW w:w="7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20" w:type="dxa"/>
            <w:vAlign w:val="bottom"/>
          </w:tcPr>
          <w:p>
            <w:pPr>
              <w:ind w:left="380"/>
              <w:spacing w:after="0" w:line="130" w:lineRule="exact"/>
              <w:rPr>
                <w:sz w:val="20"/>
                <w:szCs w:val="20"/>
                <w:color w:val="auto"/>
              </w:rPr>
            </w:pPr>
            <w:r>
              <w:rPr>
                <w:rFonts w:ascii="Arial" w:cs="Arial" w:eastAsia="Arial" w:hAnsi="Arial"/>
                <w:sz w:val="14"/>
                <w:szCs w:val="14"/>
                <w:color w:val="auto"/>
              </w:rPr>
              <w:t>Stock issued under dividend</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560"/>
              <w:spacing w:after="0"/>
              <w:rPr>
                <w:sz w:val="20"/>
                <w:szCs w:val="20"/>
                <w:color w:val="auto"/>
              </w:rPr>
            </w:pPr>
            <w:r>
              <w:rPr>
                <w:rFonts w:ascii="Arial" w:cs="Arial" w:eastAsia="Arial" w:hAnsi="Arial"/>
                <w:sz w:val="14"/>
                <w:szCs w:val="14"/>
                <w:color w:val="auto"/>
              </w:rPr>
              <w:t>reinvestment plan</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83,186</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Distributions declared</w:t>
            </w:r>
          </w:p>
        </w:tc>
        <w:tc>
          <w:tcPr>
            <w:tcW w:w="8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(22,576)</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(22,576)</w:t>
            </w:r>
          </w:p>
        </w:tc>
        <w:tc>
          <w:tcPr>
            <w:tcW w:w="0" w:type="dxa"/>
            <w:vAlign w:val="bottom"/>
          </w:tcPr>
          <w:p>
            <w:pPr>
              <w:spacing w:after="0"/>
              <w:rPr>
                <w:sz w:val="1"/>
                <w:szCs w:val="1"/>
                <w:color w:val="auto"/>
              </w:rPr>
            </w:pPr>
          </w:p>
        </w:tc>
      </w:tr>
      <w:tr>
        <w:trPr>
          <w:trHeight w:val="130"/>
        </w:trPr>
        <w:tc>
          <w:tcPr>
            <w:tcW w:w="2420" w:type="dxa"/>
            <w:vAlign w:val="bottom"/>
          </w:tcPr>
          <w:p>
            <w:pPr>
              <w:ind w:left="200"/>
              <w:spacing w:after="0" w:line="130" w:lineRule="exact"/>
              <w:rPr>
                <w:sz w:val="20"/>
                <w:szCs w:val="20"/>
                <w:color w:val="auto"/>
              </w:rPr>
            </w:pPr>
            <w:r>
              <w:rPr>
                <w:rFonts w:ascii="Arial" w:cs="Arial" w:eastAsia="Arial" w:hAnsi="Arial"/>
                <w:sz w:val="14"/>
                <w:szCs w:val="14"/>
                <w:color w:val="auto"/>
                <w:w w:val="99"/>
              </w:rPr>
              <w:t>Tax reclassification of stockholders’</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80"/>
              <w:spacing w:after="0" w:line="149" w:lineRule="exact"/>
              <w:rPr>
                <w:sz w:val="20"/>
                <w:szCs w:val="20"/>
                <w:color w:val="auto"/>
              </w:rPr>
            </w:pPr>
            <w:r>
              <w:rPr>
                <w:rFonts w:ascii="Arial" w:cs="Arial" w:eastAsia="Arial" w:hAnsi="Arial"/>
                <w:sz w:val="14"/>
                <w:szCs w:val="14"/>
                <w:color w:val="auto"/>
              </w:rPr>
              <w:t>equity in accordance with</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80"/>
              <w:spacing w:after="0" w:line="149" w:lineRule="exact"/>
              <w:rPr>
                <w:sz w:val="20"/>
                <w:szCs w:val="20"/>
                <w:color w:val="auto"/>
              </w:rPr>
            </w:pPr>
            <w:r>
              <w:rPr>
                <w:rFonts w:ascii="Arial" w:cs="Arial" w:eastAsia="Arial" w:hAnsi="Arial"/>
                <w:sz w:val="14"/>
                <w:szCs w:val="14"/>
                <w:color w:val="auto"/>
              </w:rPr>
              <w:t>generally accepted accounting</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380"/>
              <w:spacing w:after="0"/>
              <w:rPr>
                <w:sz w:val="20"/>
                <w:szCs w:val="20"/>
                <w:color w:val="auto"/>
              </w:rPr>
            </w:pPr>
            <w:r>
              <w:rPr>
                <w:rFonts w:ascii="Arial" w:cs="Arial" w:eastAsia="Arial" w:hAnsi="Arial"/>
                <w:sz w:val="14"/>
                <w:szCs w:val="14"/>
                <w:color w:val="auto"/>
              </w:rPr>
              <w:t>principles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2017</w:t>
            </w:r>
          </w:p>
        </w:tc>
        <w:tc>
          <w:tcPr>
            <w:tcW w:w="84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6"/>
              </w:rPr>
              <w:t>15,951,231</w:t>
            </w:r>
          </w:p>
        </w:tc>
        <w:tc>
          <w:tcPr>
            <w:tcW w:w="44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160</w:t>
            </w:r>
          </w:p>
        </w:tc>
        <w:tc>
          <w:tcPr>
            <w:tcW w:w="68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241,027</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15,854</w:t>
            </w:r>
          </w:p>
        </w:tc>
        <w:tc>
          <w:tcPr>
            <w:tcW w:w="1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9"/>
              </w:rPr>
              <w:t>(61,982)</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33,623</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(6,795)</w:t>
            </w: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221,887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-3077845</wp:posOffset>
            </wp:positionV>
            <wp:extent cx="5213985" cy="10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2" w:name="page103"/>
    <w:bookmarkEnd w:id="10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0"/>
          </w:tcPr>
          <w:p>
            <w:pPr>
              <w:jc w:val="right"/>
              <w:ind w:right="3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83"/>
        </w:trPr>
        <w:tc>
          <w:tcPr>
            <w:tcW w:w="5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9,152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13,850</w:t>
            </w:r>
          </w:p>
        </w:tc>
        <w:tc>
          <w:tcPr>
            <w:tcW w:w="0" w:type="dxa"/>
            <w:vAlign w:val="bottom"/>
          </w:tcPr>
          <w:p>
            <w:pPr>
              <w:spacing w:after="0"/>
              <w:rPr>
                <w:sz w:val="1"/>
                <w:szCs w:val="1"/>
                <w:color w:val="auto"/>
              </w:rPr>
            </w:pPr>
          </w:p>
        </w:tc>
      </w:tr>
      <w:tr>
        <w:trPr>
          <w:trHeight w:val="193"/>
        </w:trPr>
        <w:tc>
          <w:tcPr>
            <w:tcW w:w="5460" w:type="dxa"/>
            <w:vAlign w:val="bottom"/>
          </w:tcPr>
          <w:p>
            <w:pPr>
              <w:ind w:left="200"/>
              <w:spacing w:after="0"/>
              <w:rPr>
                <w:sz w:val="20"/>
                <w:szCs w:val="20"/>
                <w:color w:val="auto"/>
              </w:rPr>
            </w:pPr>
            <w:r>
              <w:rPr>
                <w:rFonts w:ascii="Arial" w:cs="Arial" w:eastAsia="Arial" w:hAnsi="Arial"/>
                <w:sz w:val="16"/>
                <w:szCs w:val="16"/>
                <w:color w:val="auto"/>
                <w:w w:val="96"/>
              </w:rPr>
              <w:t>Adjustments to reconcile net increase (decrease) in net assets resulting from</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60" w:type="dxa"/>
            <w:vAlign w:val="bottom"/>
          </w:tcPr>
          <w:p>
            <w:pPr>
              <w:ind w:left="380"/>
              <w:spacing w:after="0"/>
              <w:rPr>
                <w:sz w:val="20"/>
                <w:szCs w:val="20"/>
                <w:color w:val="auto"/>
              </w:rPr>
            </w:pPr>
            <w:r>
              <w:rPr>
                <w:rFonts w:ascii="Arial" w:cs="Arial" w:eastAsia="Arial" w:hAnsi="Arial"/>
                <w:sz w:val="16"/>
                <w:szCs w:val="16"/>
                <w:color w:val="auto"/>
              </w:rPr>
              <w:t>operations to net cash provided by (used in) operating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 of investments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(82,750)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(120,844)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(260,640)</w:t>
            </w:r>
          </w:p>
        </w:tc>
        <w:tc>
          <w:tcPr>
            <w:tcW w:w="0" w:type="dxa"/>
            <w:vAlign w:val="bottom"/>
          </w:tcPr>
          <w:p>
            <w:pPr>
              <w:spacing w:after="0"/>
              <w:rPr>
                <w:sz w:val="1"/>
                <w:szCs w:val="1"/>
                <w:color w:val="auto"/>
              </w:rPr>
            </w:pPr>
          </w:p>
        </w:tc>
      </w:tr>
      <w:tr>
        <w:trPr>
          <w:trHeight w:val="203"/>
        </w:trPr>
        <w:tc>
          <w:tcPr>
            <w:tcW w:w="5460" w:type="dxa"/>
            <w:vAlign w:val="bottom"/>
          </w:tcPr>
          <w:p>
            <w:pPr>
              <w:ind w:left="380"/>
              <w:spacing w:after="0"/>
              <w:rPr>
                <w:sz w:val="20"/>
                <w:szCs w:val="20"/>
                <w:color w:val="auto"/>
              </w:rPr>
            </w:pPr>
            <w:r>
              <w:rPr>
                <w:rFonts w:ascii="Arial" w:cs="Arial" w:eastAsia="Arial" w:hAnsi="Arial"/>
                <w:sz w:val="16"/>
                <w:szCs w:val="16"/>
                <w:color w:val="auto"/>
              </w:rPr>
              <w:t>Repayments and sales of investments</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115,810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163,564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142,713</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realized (gain) loss on investments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24,189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22,766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(5,436)</w:t>
            </w:r>
          </w:p>
        </w:tc>
        <w:tc>
          <w:tcPr>
            <w:tcW w:w="0" w:type="dxa"/>
            <w:vAlign w:val="bottom"/>
          </w:tcPr>
          <w:p>
            <w:pPr>
              <w:spacing w:after="0"/>
              <w:rPr>
                <w:sz w:val="1"/>
                <w:szCs w:val="1"/>
                <w:color w:val="auto"/>
              </w:rPr>
            </w:pPr>
          </w:p>
        </w:tc>
      </w:tr>
      <w:tr>
        <w:trPr>
          <w:trHeight w:val="203"/>
        </w:trPr>
        <w:tc>
          <w:tcPr>
            <w:tcW w:w="5460" w:type="dxa"/>
            <w:vAlign w:val="bottom"/>
          </w:tcPr>
          <w:p>
            <w:pPr>
              <w:ind w:left="380"/>
              <w:spacing w:after="0"/>
              <w:rPr>
                <w:sz w:val="20"/>
                <w:szCs w:val="20"/>
                <w:color w:val="auto"/>
              </w:rPr>
            </w:pPr>
            <w:r>
              <w:rPr>
                <w:rFonts w:ascii="Arial" w:cs="Arial" w:eastAsia="Arial" w:hAnsi="Arial"/>
                <w:sz w:val="16"/>
                <w:szCs w:val="16"/>
                <w:color w:val="auto"/>
              </w:rPr>
              <w:t>Net unrealized (appreciation) depreciation on investments</w:t>
            </w: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(7,049)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(5,594)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16,913</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Payment-in-kind interest and dividends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(7,143)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203"/>
        </w:trPr>
        <w:tc>
          <w:tcPr>
            <w:tcW w:w="5460" w:type="dxa"/>
            <w:vAlign w:val="bottom"/>
          </w:tcPr>
          <w:p>
            <w:pPr>
              <w:ind w:left="380"/>
              <w:spacing w:after="0"/>
              <w:rPr>
                <w:sz w:val="20"/>
                <w:szCs w:val="20"/>
                <w:color w:val="auto"/>
              </w:rPr>
            </w:pPr>
            <w:r>
              <w:rPr>
                <w:rFonts w:ascii="Arial" w:cs="Arial" w:eastAsia="Arial" w:hAnsi="Arial"/>
                <w:sz w:val="16"/>
                <w:szCs w:val="16"/>
                <w:color w:val="auto"/>
              </w:rPr>
              <w:t>Accretion of original issue discount on investments</w:t>
            </w: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(1,357)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(2,775)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written call option</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60" w:type="dxa"/>
            <w:vAlign w:val="bottom"/>
          </w:tcPr>
          <w:p>
            <w:pPr>
              <w:ind w:left="380"/>
              <w:spacing w:after="0"/>
              <w:rPr>
                <w:sz w:val="20"/>
                <w:szCs w:val="20"/>
                <w:color w:val="auto"/>
              </w:rPr>
            </w:pPr>
            <w:r>
              <w:rPr>
                <w:rFonts w:ascii="Arial" w:cs="Arial" w:eastAsia="Arial" w:hAnsi="Arial"/>
                <w:sz w:val="16"/>
                <w:szCs w:val="16"/>
                <w:color w:val="auto"/>
              </w:rPr>
              <w:t>Net unrealized depreciation on written call option</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4,079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2,716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fees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203"/>
        </w:trPr>
        <w:tc>
          <w:tcPr>
            <w:tcW w:w="5460" w:type="dxa"/>
            <w:vAlign w:val="bottom"/>
          </w:tcPr>
          <w:p>
            <w:pPr>
              <w:ind w:left="380"/>
              <w:spacing w:after="0"/>
              <w:rPr>
                <w:sz w:val="20"/>
                <w:szCs w:val="20"/>
                <w:color w:val="auto"/>
              </w:rPr>
            </w:pPr>
            <w:r>
              <w:rPr>
                <w:rFonts w:ascii="Arial" w:cs="Arial" w:eastAsia="Arial" w:hAnsi="Arial"/>
                <w:sz w:val="16"/>
                <w:szCs w:val="16"/>
                <w:color w:val="auto"/>
              </w:rPr>
              <w:t>Loss on extinguishment of debt</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2,732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 provision</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60" w:type="dxa"/>
            <w:vAlign w:val="bottom"/>
          </w:tcPr>
          <w:p>
            <w:pPr>
              <w:ind w:left="380"/>
              <w:spacing w:after="0"/>
              <w:rPr>
                <w:sz w:val="20"/>
                <w:szCs w:val="20"/>
                <w:color w:val="auto"/>
              </w:rPr>
            </w:pPr>
            <w:r>
              <w:rPr>
                <w:rFonts w:ascii="Arial" w:cs="Arial" w:eastAsia="Arial" w:hAnsi="Arial"/>
                <w:sz w:val="16"/>
                <w:szCs w:val="16"/>
                <w:color w:val="auto"/>
              </w:rPr>
              <w:t>Changes in assets and liabilities: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Interest and dividend receivable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2,759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203"/>
        </w:trPr>
        <w:tc>
          <w:tcPr>
            <w:tcW w:w="5460" w:type="dxa"/>
            <w:vAlign w:val="bottom"/>
          </w:tcPr>
          <w:p>
            <w:pPr>
              <w:ind w:left="560"/>
              <w:spacing w:after="0"/>
              <w:rPr>
                <w:sz w:val="20"/>
                <w:szCs w:val="20"/>
                <w:color w:val="auto"/>
              </w:rPr>
            </w:pPr>
            <w:r>
              <w:rPr>
                <w:rFonts w:ascii="Arial" w:cs="Arial" w:eastAsia="Arial" w:hAnsi="Arial"/>
                <w:sz w:val="16"/>
                <w:szCs w:val="16"/>
                <w:color w:val="auto"/>
              </w:rPr>
              <w:t>Due from related parties</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87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Prepaid expenses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5460" w:type="dxa"/>
            <w:vAlign w:val="bottom"/>
          </w:tcPr>
          <w:p>
            <w:pPr>
              <w:ind w:left="560"/>
              <w:spacing w:after="0"/>
              <w:rPr>
                <w:sz w:val="20"/>
                <w:szCs w:val="20"/>
                <w:color w:val="auto"/>
              </w:rPr>
            </w:pPr>
            <w:r>
              <w:rPr>
                <w:rFonts w:ascii="Arial" w:cs="Arial" w:eastAsia="Arial" w:hAnsi="Arial"/>
                <w:sz w:val="16"/>
                <w:szCs w:val="16"/>
                <w:color w:val="auto"/>
              </w:rPr>
              <w:t>Other assets</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Due to related parties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5460" w:type="dxa"/>
            <w:vAlign w:val="bottom"/>
          </w:tcPr>
          <w:p>
            <w:pPr>
              <w:ind w:left="560"/>
              <w:spacing w:after="0"/>
              <w:rPr>
                <w:sz w:val="20"/>
                <w:szCs w:val="20"/>
                <w:color w:val="auto"/>
              </w:rPr>
            </w:pPr>
            <w:r>
              <w:rPr>
                <w:rFonts w:ascii="Arial" w:cs="Arial" w:eastAsia="Arial" w:hAnsi="Arial"/>
                <w:sz w:val="16"/>
                <w:szCs w:val="16"/>
                <w:color w:val="auto"/>
              </w:rPr>
              <w:t>Management and incentive fee payable</w:t>
            </w: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(4,254)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4,739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Interest and financing fees payable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3"/>
        </w:trPr>
        <w:tc>
          <w:tcPr>
            <w:tcW w:w="5460" w:type="dxa"/>
            <w:vAlign w:val="bottom"/>
          </w:tcPr>
          <w:p>
            <w:pPr>
              <w:ind w:left="560"/>
              <w:spacing w:after="0"/>
              <w:rPr>
                <w:sz w:val="20"/>
                <w:szCs w:val="20"/>
                <w:color w:val="auto"/>
              </w:rPr>
            </w:pPr>
            <w:r>
              <w:rPr>
                <w:rFonts w:ascii="Arial" w:cs="Arial" w:eastAsia="Arial" w:hAnsi="Arial"/>
                <w:sz w:val="16"/>
                <w:szCs w:val="16"/>
                <w:color w:val="auto"/>
              </w:rPr>
              <w:t>Accounts payable and accrued expenses</w:t>
            </w: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(536)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Trade settlement payable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43,810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69,123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(96,384)</w:t>
            </w: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rPr>
                <w:sz w:val="20"/>
                <w:szCs w:val="20"/>
                <w:color w:val="auto"/>
              </w:rPr>
            </w:pPr>
            <w:r>
              <w:rPr>
                <w:rFonts w:ascii="Arial" w:cs="Arial" w:eastAsia="Arial" w:hAnsi="Arial"/>
                <w:sz w:val="16"/>
                <w:szCs w:val="16"/>
                <w:color w:val="auto"/>
              </w:rPr>
              <w:t>Paydowns on SBA debentures</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(13,500)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Credit Facility</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105,000</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rPr>
                <w:sz w:val="20"/>
                <w:szCs w:val="20"/>
                <w:color w:val="auto"/>
              </w:rPr>
            </w:pPr>
            <w:r>
              <w:rPr>
                <w:rFonts w:ascii="Arial" w:cs="Arial" w:eastAsia="Arial" w:hAnsi="Arial"/>
                <w:sz w:val="16"/>
                <w:szCs w:val="16"/>
                <w:color w:val="auto"/>
              </w:rPr>
              <w:t>Payments to Credit Facility</w:t>
            </w: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(44,000)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(55,000)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of 2022 Notes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rPr>
                <w:sz w:val="20"/>
                <w:szCs w:val="20"/>
                <w:color w:val="auto"/>
              </w:rPr>
            </w:pPr>
            <w:r>
              <w:rPr>
                <w:rFonts w:ascii="Arial" w:cs="Arial" w:eastAsia="Arial" w:hAnsi="Arial"/>
                <w:sz w:val="16"/>
                <w:szCs w:val="16"/>
                <w:color w:val="auto"/>
              </w:rPr>
              <w:t>Issuance of 2022 Convertible Notes</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52,088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 of 2021 Notes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(113,438)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rPr>
                <w:sz w:val="20"/>
                <w:szCs w:val="20"/>
                <w:color w:val="auto"/>
              </w:rPr>
            </w:pPr>
            <w:r>
              <w:rPr>
                <w:rFonts w:ascii="Arial" w:cs="Arial" w:eastAsia="Arial" w:hAnsi="Arial"/>
                <w:sz w:val="16"/>
                <w:szCs w:val="16"/>
                <w:color w:val="auto"/>
              </w:rPr>
              <w:t>Issuance of common stock, net of offering and underwriting costs</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61,700</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paid to shareholders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(21,711)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(35,585)</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rPr>
                <w:sz w:val="20"/>
                <w:szCs w:val="20"/>
                <w:color w:val="auto"/>
              </w:rPr>
            </w:pPr>
            <w:r>
              <w:rPr>
                <w:rFonts w:ascii="Arial" w:cs="Arial" w:eastAsia="Arial" w:hAnsi="Arial"/>
                <w:sz w:val="16"/>
                <w:szCs w:val="16"/>
                <w:color w:val="auto"/>
              </w:rPr>
              <w:t>Repurchases of common stock under stock repurchase program</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financing fees paid</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(5,809)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(48,870)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(66,947)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75,382</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(5,060)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(21,002)</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36,281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34,105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55,107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31,221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36,281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34,105</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17,591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16,349</w:t>
            </w:r>
          </w:p>
        </w:tc>
        <w:tc>
          <w:tcPr>
            <w:tcW w:w="0" w:type="dxa"/>
            <w:vAlign w:val="bottom"/>
          </w:tcPr>
          <w:p>
            <w:pPr>
              <w:spacing w:after="0"/>
              <w:rPr>
                <w:sz w:val="1"/>
                <w:szCs w:val="1"/>
                <w:color w:val="auto"/>
              </w:rPr>
            </w:pPr>
          </w:p>
        </w:tc>
      </w:tr>
      <w:tr>
        <w:trPr>
          <w:trHeight w:val="193"/>
        </w:trPr>
        <w:tc>
          <w:tcPr>
            <w:tcW w:w="546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60" w:type="dxa"/>
            <w:vAlign w:val="bottom"/>
          </w:tcPr>
          <w:p>
            <w:pPr>
              <w:ind w:left="200"/>
              <w:spacing w:after="0"/>
              <w:rPr>
                <w:sz w:val="20"/>
                <w:szCs w:val="20"/>
                <w:color w:val="auto"/>
              </w:rPr>
            </w:pPr>
            <w:r>
              <w:rPr>
                <w:rFonts w:ascii="Arial" w:cs="Arial" w:eastAsia="Arial" w:hAnsi="Arial"/>
                <w:sz w:val="16"/>
                <w:szCs w:val="16"/>
                <w:color w:val="auto"/>
              </w:rPr>
              <w:t>FINANCING TRANSACTIONS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Distributions paid through dividend reinvestment plan share issuances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-2803525</wp:posOffset>
            </wp:positionV>
            <wp:extent cx="5213985"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-1242695</wp:posOffset>
            </wp:positionV>
            <wp:extent cx="5213985"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-676910</wp:posOffset>
            </wp:positionV>
            <wp:extent cx="5213985"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sz w:val="20"/>
          <w:szCs w:val="20"/>
          <w:color w:val="auto"/>
        </w:rPr>
      </w:pPr>
    </w:p>
    <w:p>
      <w:pPr>
        <w:jc w:val="center"/>
        <w:ind w:right="5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16585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51" w:lineRule="exact"/>
        <w:rPr>
          <w:sz w:val="20"/>
          <w:szCs w:val="20"/>
          <w:color w:val="auto"/>
        </w:rPr>
      </w:pPr>
    </w:p>
    <w:p>
      <w:pPr>
        <w:spacing w:after="0"/>
        <w:tabs>
          <w:tab w:leader="none" w:pos="3260" w:val="left"/>
        </w:tabs>
        <w:rPr>
          <w:sz w:val="20"/>
          <w:szCs w:val="20"/>
          <w:color w:val="auto"/>
        </w:rPr>
      </w:pPr>
      <w:r>
        <w:rPr>
          <w:rFonts w:ascii="Arial" w:cs="Arial" w:eastAsia="Arial" w:hAnsi="Arial"/>
          <w:sz w:val="13"/>
          <w:szCs w:val="13"/>
          <w:b w:val="1"/>
          <w:bCs w:val="1"/>
          <w:color w:val="auto"/>
        </w:rPr>
        <w:t>Portfolio Company, Country</w:t>
      </w:r>
      <w:r>
        <w:rPr>
          <w:rFonts w:ascii="Arial" w:cs="Arial" w:eastAsia="Arial" w:hAnsi="Arial"/>
          <w:sz w:val="20"/>
          <w:szCs w:val="20"/>
          <w:b w:val="1"/>
          <w:bCs w:val="1"/>
          <w:color w:val="auto"/>
          <w:vertAlign w:val="superscript"/>
        </w:rPr>
        <w:t>(1),(2),(3),(4)</w:t>
      </w:r>
      <w:r>
        <w:rPr>
          <w:sz w:val="20"/>
          <w:szCs w:val="20"/>
          <w:color w:val="auto"/>
        </w:rPr>
        <w:tab/>
      </w:r>
      <w:r>
        <w:rPr>
          <w:rFonts w:ascii="Arial" w:cs="Arial" w:eastAsia="Arial" w:hAnsi="Arial"/>
          <w:sz w:val="11"/>
          <w:szCs w:val="11"/>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29584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right="1200"/>
        <w:spacing w:after="0" w:line="232" w:lineRule="auto"/>
        <w:rPr>
          <w:sz w:val="20"/>
          <w:szCs w:val="20"/>
          <w:color w:val="auto"/>
        </w:rPr>
      </w:pPr>
      <w:r>
        <w:rPr>
          <w:rFonts w:ascii="Arial" w:cs="Arial" w:eastAsia="Arial" w:hAnsi="Arial"/>
          <w:sz w:val="14"/>
          <w:szCs w:val="14"/>
          <w:b w:val="1"/>
          <w:bCs w:val="1"/>
          <w:color w:val="auto"/>
        </w:rPr>
        <w:t xml:space="preserve">Non-control/non-affiliated investments – 130.0% Non-control/non-affiliated investments – United States </w:t>
      </w:r>
      <w:r>
        <w:rPr>
          <w:rFonts w:ascii="Arial" w:cs="Arial" w:eastAsia="Arial" w:hAnsi="Arial"/>
          <w:sz w:val="14"/>
          <w:szCs w:val="14"/>
          <w:color w:val="auto"/>
        </w:rPr>
        <w:t>3 Bridge Solutions, LLC</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vMerge w:val="restart"/>
          </w:tcPr>
          <w:p>
            <w:pPr>
              <w:spacing w:after="0"/>
              <w:rPr>
                <w:sz w:val="20"/>
                <w:szCs w:val="20"/>
                <w:color w:val="auto"/>
              </w:rPr>
            </w:pPr>
            <w:r>
              <w:rPr>
                <w:rFonts w:ascii="Arial" w:cs="Arial" w:eastAsia="Arial" w:hAnsi="Arial"/>
                <w:sz w:val="14"/>
                <w:szCs w:val="14"/>
                <w:color w:val="auto"/>
              </w:rPr>
              <w:t>3 Bridge Solutions, LLC</w:t>
            </w:r>
          </w:p>
        </w:tc>
        <w:tc>
          <w:tcPr>
            <w:tcW w:w="2180" w:type="dxa"/>
            <w:vAlign w:val="bottom"/>
          </w:tcPr>
          <w:p>
            <w:pPr>
              <w:ind w:left="80"/>
              <w:spacing w:after="0"/>
              <w:rPr>
                <w:sz w:val="20"/>
                <w:szCs w:val="20"/>
                <w:color w:val="auto"/>
              </w:rPr>
            </w:pPr>
            <w:r>
              <w:rPr>
                <w:rFonts w:ascii="Arial" w:cs="Arial" w:eastAsia="Arial" w:hAnsi="Arial"/>
                <w:sz w:val="14"/>
                <w:szCs w:val="14"/>
                <w:color w:val="auto"/>
              </w:rPr>
              <w:t>IT Consulting</w:t>
            </w: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2180" w:type="dxa"/>
            <w:vAlign w:val="bottom"/>
          </w:tcPr>
          <w:p>
            <w:pPr>
              <w:ind w:left="80"/>
              <w:spacing w:after="0" w:line="155" w:lineRule="exact"/>
              <w:rPr>
                <w:sz w:val="20"/>
                <w:szCs w:val="20"/>
                <w:color w:val="auto"/>
              </w:rPr>
            </w:pPr>
            <w:r>
              <w:rPr>
                <w:rFonts w:ascii="Arial" w:cs="Arial" w:eastAsia="Arial" w:hAnsi="Arial"/>
                <w:sz w:val="14"/>
                <w:szCs w:val="14"/>
                <w:color w:val="auto"/>
              </w:rPr>
              <w:t>IT Consulting</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Arial" w:cs="Arial" w:eastAsia="Arial" w:hAnsi="Arial"/>
                <w:sz w:val="14"/>
                <w:szCs w:val="14"/>
                <w:color w:val="auto"/>
              </w:rPr>
              <w:t>3 Bridge Solutions, LLC</w:t>
            </w:r>
          </w:p>
        </w:tc>
        <w:tc>
          <w:tcPr>
            <w:tcW w:w="2180" w:type="dxa"/>
            <w:vAlign w:val="bottom"/>
          </w:tcPr>
          <w:p>
            <w:pPr>
              <w:ind w:left="80"/>
              <w:spacing w:after="0"/>
              <w:rPr>
                <w:sz w:val="20"/>
                <w:szCs w:val="20"/>
                <w:color w:val="auto"/>
              </w:rPr>
            </w:pPr>
            <w:r>
              <w:rPr>
                <w:rFonts w:ascii="Arial" w:cs="Arial" w:eastAsia="Arial" w:hAnsi="Arial"/>
                <w:sz w:val="14"/>
                <w:szCs w:val="14"/>
                <w:color w:val="auto"/>
              </w:rPr>
              <w:t>IT Consulting</w:t>
            </w:r>
          </w:p>
        </w:tc>
        <w:tc>
          <w:tcPr>
            <w:tcW w:w="0" w:type="dxa"/>
            <w:vAlign w:val="bottom"/>
          </w:tcPr>
          <w:p>
            <w:pPr>
              <w:spacing w:after="0"/>
              <w:rPr>
                <w:sz w:val="1"/>
                <w:szCs w:val="1"/>
                <w:color w:val="auto"/>
              </w:rPr>
            </w:pPr>
          </w:p>
        </w:tc>
      </w:tr>
      <w:tr>
        <w:trPr>
          <w:trHeight w:val="324"/>
        </w:trPr>
        <w:tc>
          <w:tcPr>
            <w:tcW w:w="2360" w:type="dxa"/>
            <w:vAlign w:val="bottom"/>
          </w:tcPr>
          <w:p>
            <w:pPr>
              <w:spacing w:after="0"/>
              <w:rPr>
                <w:sz w:val="20"/>
                <w:szCs w:val="20"/>
                <w:color w:val="auto"/>
              </w:rPr>
            </w:pPr>
            <w:r>
              <w:rPr>
                <w:rFonts w:ascii="Arial" w:cs="Arial" w:eastAsia="Arial" w:hAnsi="Arial"/>
                <w:sz w:val="14"/>
                <w:szCs w:val="14"/>
                <w:color w:val="auto"/>
              </w:rPr>
              <w:t>Alternative Biomedical Solutions, LLC</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2180" w:type="dxa"/>
            <w:vAlign w:val="bottom"/>
          </w:tcPr>
          <w:p>
            <w:pPr>
              <w:ind w:left="80"/>
              <w:spacing w:after="0" w:line="155" w:lineRule="exact"/>
              <w:rPr>
                <w:sz w:val="20"/>
                <w:szCs w:val="20"/>
                <w:color w:val="auto"/>
              </w:rPr>
            </w:pPr>
            <w:r>
              <w:rPr>
                <w:rFonts w:ascii="Arial" w:cs="Arial" w:eastAsia="Arial" w:hAnsi="Arial"/>
                <w:sz w:val="14"/>
                <w:szCs w:val="14"/>
                <w:color w:val="auto"/>
              </w:rPr>
              <w:t>Healthcare</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Arial" w:cs="Arial" w:eastAsia="Arial" w:hAnsi="Arial"/>
                <w:sz w:val="14"/>
                <w:szCs w:val="14"/>
                <w:color w:val="auto"/>
              </w:rPr>
              <w:t>Alternative Biomedical Solutions, LLC</w:t>
            </w:r>
          </w:p>
        </w:tc>
        <w:tc>
          <w:tcPr>
            <w:tcW w:w="2180" w:type="dxa"/>
            <w:vAlign w:val="bottom"/>
          </w:tcPr>
          <w:p>
            <w:pPr>
              <w:ind w:left="80"/>
              <w:spacing w:after="0"/>
              <w:rPr>
                <w:sz w:val="20"/>
                <w:szCs w:val="20"/>
                <w:color w:val="auto"/>
              </w:rPr>
            </w:pPr>
            <w:r>
              <w:rPr>
                <w:rFonts w:ascii="Arial" w:cs="Arial" w:eastAsia="Arial" w:hAnsi="Arial"/>
                <w:sz w:val="14"/>
                <w:szCs w:val="14"/>
                <w:color w:val="auto"/>
              </w:rPr>
              <w:t>Healthcare</w:t>
            </w:r>
          </w:p>
        </w:tc>
        <w:tc>
          <w:tcPr>
            <w:tcW w:w="0" w:type="dxa"/>
            <w:vAlign w:val="bottom"/>
          </w:tcPr>
          <w:p>
            <w:pPr>
              <w:spacing w:after="0"/>
              <w:rPr>
                <w:sz w:val="1"/>
                <w:szCs w:val="1"/>
                <w:color w:val="auto"/>
              </w:rPr>
            </w:pPr>
          </w:p>
        </w:tc>
      </w:tr>
      <w:tr>
        <w:trPr>
          <w:trHeight w:val="324"/>
        </w:trPr>
        <w:tc>
          <w:tcPr>
            <w:tcW w:w="2360" w:type="dxa"/>
            <w:vAlign w:val="bottom"/>
          </w:tcPr>
          <w:p>
            <w:pPr>
              <w:spacing w:after="0"/>
              <w:rPr>
                <w:sz w:val="20"/>
                <w:szCs w:val="20"/>
                <w:color w:val="auto"/>
              </w:rPr>
            </w:pPr>
            <w:r>
              <w:rPr>
                <w:rFonts w:ascii="Arial" w:cs="Arial" w:eastAsia="Arial" w:hAnsi="Arial"/>
                <w:sz w:val="14"/>
                <w:szCs w:val="14"/>
                <w:color w:val="auto"/>
              </w:rPr>
              <w:t>American Clinical Solutions, LLC</w:t>
            </w:r>
          </w:p>
        </w:tc>
        <w:tc>
          <w:tcPr>
            <w:tcW w:w="2180" w:type="dxa"/>
            <w:vAlign w:val="bottom"/>
            <w:vMerge w:val="restart"/>
          </w:tcPr>
          <w:p>
            <w:pPr>
              <w:ind w:left="80"/>
              <w:spacing w:after="0"/>
              <w:rPr>
                <w:sz w:val="20"/>
                <w:szCs w:val="20"/>
                <w:color w:val="auto"/>
              </w:rPr>
            </w:pPr>
            <w:r>
              <w:rPr>
                <w:rFonts w:ascii="Arial" w:cs="Arial" w:eastAsia="Arial" w:hAnsi="Arial"/>
                <w:sz w:val="14"/>
                <w:szCs w:val="14"/>
                <w:color w:val="auto"/>
              </w:rPr>
              <w:t>Healthcare</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360" w:type="dxa"/>
            <w:vAlign w:val="bottom"/>
          </w:tcPr>
          <w:p>
            <w:pPr>
              <w:spacing w:after="0"/>
              <w:rPr>
                <w:sz w:val="20"/>
                <w:szCs w:val="20"/>
                <w:color w:val="auto"/>
              </w:rPr>
            </w:pPr>
            <w:r>
              <w:rPr>
                <w:rFonts w:ascii="Arial" w:cs="Arial" w:eastAsia="Arial" w:hAnsi="Arial"/>
                <w:sz w:val="14"/>
                <w:szCs w:val="14"/>
                <w:color w:val="auto"/>
              </w:rPr>
              <w:t>American Exteriors, LLC</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60" w:type="dxa"/>
            <w:vAlign w:val="bottom"/>
            <w:vMerge w:val="restart"/>
          </w:tcPr>
          <w:p>
            <w:pPr>
              <w:spacing w:after="0"/>
              <w:rPr>
                <w:sz w:val="20"/>
                <w:szCs w:val="20"/>
                <w:color w:val="auto"/>
              </w:rPr>
            </w:pPr>
            <w:r>
              <w:rPr>
                <w:rFonts w:ascii="Arial" w:cs="Arial" w:eastAsia="Arial" w:hAnsi="Arial"/>
                <w:sz w:val="14"/>
                <w:szCs w:val="14"/>
                <w:color w:val="auto"/>
              </w:rPr>
              <w:t>American Exteriors, LLC</w:t>
            </w:r>
          </w:p>
        </w:tc>
        <w:tc>
          <w:tcPr>
            <w:tcW w:w="2180" w:type="dxa"/>
            <w:vAlign w:val="bottom"/>
          </w:tcPr>
          <w:p>
            <w:pPr>
              <w:ind w:left="80"/>
              <w:spacing w:after="0"/>
              <w:rPr>
                <w:sz w:val="20"/>
                <w:szCs w:val="20"/>
                <w:color w:val="auto"/>
              </w:rPr>
            </w:pPr>
            <w:r>
              <w:rPr>
                <w:rFonts w:ascii="Arial" w:cs="Arial" w:eastAsia="Arial" w:hAnsi="Arial"/>
                <w:sz w:val="14"/>
                <w:szCs w:val="14"/>
                <w:color w:val="auto"/>
                <w:w w:val="93"/>
              </w:rPr>
              <w:t>Replacement Window Manufacturer</w:t>
            </w: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2180" w:type="dxa"/>
            <w:vAlign w:val="bottom"/>
            <w:vMerge w:val="restart"/>
          </w:tcPr>
          <w:p>
            <w:pPr>
              <w:ind w:left="80"/>
              <w:spacing w:after="0"/>
              <w:rPr>
                <w:sz w:val="20"/>
                <w:szCs w:val="20"/>
                <w:color w:val="auto"/>
              </w:rPr>
            </w:pPr>
            <w:r>
              <w:rPr>
                <w:rFonts w:ascii="Arial" w:cs="Arial" w:eastAsia="Arial" w:hAnsi="Arial"/>
                <w:sz w:val="14"/>
                <w:szCs w:val="14"/>
                <w:color w:val="auto"/>
                <w:w w:val="93"/>
              </w:rPr>
              <w:t>Replacement Window Manufacturer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360" w:type="dxa"/>
            <w:vAlign w:val="bottom"/>
          </w:tcPr>
          <w:p>
            <w:pPr>
              <w:spacing w:after="0"/>
              <w:rPr>
                <w:sz w:val="20"/>
                <w:szCs w:val="20"/>
                <w:color w:val="auto"/>
              </w:rPr>
            </w:pPr>
            <w:r>
              <w:rPr>
                <w:rFonts w:ascii="Arial" w:cs="Arial" w:eastAsia="Arial" w:hAnsi="Arial"/>
                <w:sz w:val="14"/>
                <w:szCs w:val="14"/>
                <w:color w:val="auto"/>
              </w:rPr>
              <w:t>AmeriMark Direct, LLC</w:t>
            </w:r>
          </w:p>
        </w:tc>
        <w:tc>
          <w:tcPr>
            <w:tcW w:w="2180" w:type="dxa"/>
            <w:vAlign w:val="bottom"/>
            <w:vMerge w:val="restart"/>
          </w:tcPr>
          <w:p>
            <w:pPr>
              <w:ind w:left="80"/>
              <w:spacing w:after="0"/>
              <w:rPr>
                <w:sz w:val="20"/>
                <w:szCs w:val="20"/>
                <w:color w:val="auto"/>
              </w:rPr>
            </w:pPr>
            <w:r>
              <w:rPr>
                <w:rFonts w:ascii="Arial" w:cs="Arial" w:eastAsia="Arial" w:hAnsi="Arial"/>
                <w:sz w:val="14"/>
                <w:szCs w:val="14"/>
                <w:color w:val="auto"/>
              </w:rPr>
              <w:t>Consumer Products</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360" w:type="dxa"/>
            <w:vAlign w:val="bottom"/>
          </w:tcPr>
          <w:p>
            <w:pPr>
              <w:spacing w:after="0"/>
              <w:rPr>
                <w:sz w:val="20"/>
                <w:szCs w:val="20"/>
                <w:color w:val="auto"/>
              </w:rPr>
            </w:pPr>
            <w:r>
              <w:rPr>
                <w:rFonts w:ascii="Arial" w:cs="Arial" w:eastAsia="Arial" w:hAnsi="Arial"/>
                <w:sz w:val="14"/>
                <w:szCs w:val="14"/>
                <w:color w:val="auto"/>
              </w:rPr>
              <w:t>B&amp;W Quality Growers, LLC</w:t>
            </w:r>
          </w:p>
        </w:tc>
        <w:tc>
          <w:tcPr>
            <w:tcW w:w="2180" w:type="dxa"/>
            <w:vAlign w:val="bottom"/>
            <w:vMerge w:val="restart"/>
          </w:tcPr>
          <w:p>
            <w:pPr>
              <w:ind w:left="80"/>
              <w:spacing w:after="0"/>
              <w:rPr>
                <w:sz w:val="20"/>
                <w:szCs w:val="20"/>
                <w:color w:val="auto"/>
              </w:rPr>
            </w:pPr>
            <w:r>
              <w:rPr>
                <w:rFonts w:ascii="Arial" w:cs="Arial" w:eastAsia="Arial" w:hAnsi="Arial"/>
                <w:sz w:val="14"/>
                <w:szCs w:val="14"/>
                <w:color w:val="auto"/>
              </w:rPr>
              <w:t>Farming</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360" w:type="dxa"/>
            <w:vAlign w:val="bottom"/>
          </w:tcPr>
          <w:p>
            <w:pPr>
              <w:spacing w:after="0"/>
              <w:rPr>
                <w:sz w:val="20"/>
                <w:szCs w:val="20"/>
                <w:color w:val="auto"/>
              </w:rPr>
            </w:pPr>
            <w:r>
              <w:rPr>
                <w:rFonts w:ascii="Arial" w:cs="Arial" w:eastAsia="Arial" w:hAnsi="Arial"/>
                <w:sz w:val="14"/>
                <w:szCs w:val="14"/>
                <w:color w:val="auto"/>
              </w:rPr>
              <w:t>BigMouth, Inc.</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60" w:type="dxa"/>
            <w:vAlign w:val="bottom"/>
            <w:vMerge w:val="restart"/>
          </w:tcPr>
          <w:p>
            <w:pPr>
              <w:spacing w:after="0"/>
              <w:rPr>
                <w:sz w:val="20"/>
                <w:szCs w:val="20"/>
                <w:color w:val="auto"/>
              </w:rPr>
            </w:pPr>
            <w:r>
              <w:rPr>
                <w:rFonts w:ascii="Arial" w:cs="Arial" w:eastAsia="Arial" w:hAnsi="Arial"/>
                <w:sz w:val="14"/>
                <w:szCs w:val="14"/>
                <w:color w:val="auto"/>
              </w:rPr>
              <w:t>BigMouth, Inc.</w:t>
            </w:r>
          </w:p>
        </w:tc>
        <w:tc>
          <w:tcPr>
            <w:tcW w:w="2180" w:type="dxa"/>
            <w:vAlign w:val="bottom"/>
          </w:tcPr>
          <w:p>
            <w:pPr>
              <w:ind w:left="80"/>
              <w:spacing w:after="0"/>
              <w:rPr>
                <w:sz w:val="20"/>
                <w:szCs w:val="20"/>
                <w:color w:val="auto"/>
              </w:rPr>
            </w:pPr>
            <w:r>
              <w:rPr>
                <w:rFonts w:ascii="Arial" w:cs="Arial" w:eastAsia="Arial" w:hAnsi="Arial"/>
                <w:sz w:val="14"/>
                <w:szCs w:val="14"/>
                <w:color w:val="auto"/>
              </w:rPr>
              <w:t>Consumer Products</w:t>
            </w: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2180" w:type="dxa"/>
            <w:vAlign w:val="bottom"/>
          </w:tcPr>
          <w:p>
            <w:pPr>
              <w:ind w:left="80"/>
              <w:spacing w:after="0"/>
              <w:rPr>
                <w:sz w:val="20"/>
                <w:szCs w:val="20"/>
                <w:color w:val="auto"/>
              </w:rPr>
            </w:pPr>
            <w:r>
              <w:rPr>
                <w:rFonts w:ascii="Arial" w:cs="Arial" w:eastAsia="Arial" w:hAnsi="Arial"/>
                <w:sz w:val="14"/>
                <w:szCs w:val="14"/>
                <w:color w:val="auto"/>
              </w:rPr>
              <w:t>Consumer Products</w:t>
            </w:r>
          </w:p>
        </w:tc>
        <w:tc>
          <w:tcPr>
            <w:tcW w:w="0" w:type="dxa"/>
            <w:vAlign w:val="bottom"/>
          </w:tcPr>
          <w:p>
            <w:pPr>
              <w:spacing w:after="0"/>
              <w:rPr>
                <w:sz w:val="1"/>
                <w:szCs w:val="1"/>
                <w:color w:val="auto"/>
              </w:rPr>
            </w:pPr>
          </w:p>
        </w:tc>
      </w:tr>
      <w:tr>
        <w:trPr>
          <w:trHeight w:val="324"/>
        </w:trPr>
        <w:tc>
          <w:tcPr>
            <w:tcW w:w="2360" w:type="dxa"/>
            <w:vAlign w:val="bottom"/>
          </w:tcPr>
          <w:p>
            <w:pPr>
              <w:spacing w:after="0"/>
              <w:rPr>
                <w:sz w:val="20"/>
                <w:szCs w:val="20"/>
                <w:color w:val="auto"/>
              </w:rPr>
            </w:pPr>
            <w:r>
              <w:rPr>
                <w:rFonts w:ascii="Arial" w:cs="Arial" w:eastAsia="Arial" w:hAnsi="Arial"/>
                <w:sz w:val="14"/>
                <w:szCs w:val="14"/>
                <w:color w:val="auto"/>
              </w:rPr>
              <w:t>Bluestem Brands, Inc.</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4"/>
                <w:szCs w:val="24"/>
                <w:color w:val="auto"/>
              </w:rPr>
            </w:pPr>
          </w:p>
        </w:tc>
        <w:tc>
          <w:tcPr>
            <w:tcW w:w="2180" w:type="dxa"/>
            <w:vAlign w:val="bottom"/>
          </w:tcPr>
          <w:p>
            <w:pPr>
              <w:ind w:left="80"/>
              <w:spacing w:after="0"/>
              <w:rPr>
                <w:sz w:val="20"/>
                <w:szCs w:val="20"/>
                <w:color w:val="auto"/>
              </w:rPr>
            </w:pPr>
            <w:r>
              <w:rPr>
                <w:rFonts w:ascii="Arial" w:cs="Arial" w:eastAsia="Arial" w:hAnsi="Arial"/>
                <w:sz w:val="14"/>
                <w:szCs w:val="14"/>
                <w:color w:val="auto"/>
              </w:rPr>
              <w:t>Online Merchandise Retailer</w:t>
            </w:r>
          </w:p>
        </w:tc>
        <w:tc>
          <w:tcPr>
            <w:tcW w:w="0" w:type="dxa"/>
            <w:vAlign w:val="bottom"/>
          </w:tcPr>
          <w:p>
            <w:pPr>
              <w:spacing w:after="0"/>
              <w:rPr>
                <w:sz w:val="1"/>
                <w:szCs w:val="1"/>
                <w:color w:val="auto"/>
              </w:rPr>
            </w:pPr>
          </w:p>
        </w:tc>
      </w:tr>
      <w:tr>
        <w:trPr>
          <w:trHeight w:val="324"/>
        </w:trPr>
        <w:tc>
          <w:tcPr>
            <w:tcW w:w="2360" w:type="dxa"/>
            <w:vAlign w:val="bottom"/>
          </w:tcPr>
          <w:p>
            <w:pPr>
              <w:spacing w:after="0"/>
              <w:rPr>
                <w:sz w:val="20"/>
                <w:szCs w:val="20"/>
                <w:color w:val="auto"/>
              </w:rPr>
            </w:pPr>
            <w:r>
              <w:rPr>
                <w:rFonts w:ascii="Arial" w:cs="Arial" w:eastAsia="Arial" w:hAnsi="Arial"/>
                <w:sz w:val="14"/>
                <w:szCs w:val="14"/>
                <w:color w:val="auto"/>
              </w:rPr>
              <w:t>Brunswick Bowling Products, Inc.</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60" w:type="dxa"/>
            <w:vAlign w:val="bottom"/>
            <w:vMerge w:val="restart"/>
          </w:tcPr>
          <w:p>
            <w:pPr>
              <w:spacing w:after="0"/>
              <w:rPr>
                <w:sz w:val="20"/>
                <w:szCs w:val="20"/>
                <w:color w:val="auto"/>
              </w:rPr>
            </w:pPr>
            <w:r>
              <w:rPr>
                <w:rFonts w:ascii="Arial" w:cs="Arial" w:eastAsia="Arial" w:hAnsi="Arial"/>
                <w:sz w:val="14"/>
                <w:szCs w:val="14"/>
                <w:color w:val="auto"/>
              </w:rPr>
              <w:t>Brunswick Bowling Products, Inc.</w:t>
            </w:r>
          </w:p>
        </w:tc>
        <w:tc>
          <w:tcPr>
            <w:tcW w:w="2180" w:type="dxa"/>
            <w:vAlign w:val="bottom"/>
          </w:tcPr>
          <w:p>
            <w:pPr>
              <w:ind w:left="80"/>
              <w:spacing w:after="0"/>
              <w:rPr>
                <w:sz w:val="20"/>
                <w:szCs w:val="20"/>
                <w:color w:val="auto"/>
              </w:rPr>
            </w:pPr>
            <w:r>
              <w:rPr>
                <w:rFonts w:ascii="Arial" w:cs="Arial" w:eastAsia="Arial" w:hAnsi="Arial"/>
                <w:sz w:val="14"/>
                <w:szCs w:val="14"/>
                <w:color w:val="auto"/>
              </w:rPr>
              <w:t>Bowling Products</w:t>
            </w: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4"/>
                <w:szCs w:val="24"/>
                <w:color w:val="auto"/>
              </w:rPr>
            </w:pPr>
          </w:p>
        </w:tc>
        <w:tc>
          <w:tcPr>
            <w:tcW w:w="2180" w:type="dxa"/>
            <w:vAlign w:val="bottom"/>
          </w:tcPr>
          <w:p>
            <w:pPr>
              <w:ind w:left="80"/>
              <w:spacing w:after="0"/>
              <w:rPr>
                <w:sz w:val="20"/>
                <w:szCs w:val="20"/>
                <w:color w:val="auto"/>
              </w:rPr>
            </w:pPr>
            <w:r>
              <w:rPr>
                <w:rFonts w:ascii="Arial" w:cs="Arial" w:eastAsia="Arial" w:hAnsi="Arial"/>
                <w:sz w:val="14"/>
                <w:szCs w:val="14"/>
                <w:color w:val="auto"/>
              </w:rPr>
              <w:t>Bowling Products</w:t>
            </w:r>
          </w:p>
        </w:tc>
        <w:tc>
          <w:tcPr>
            <w:tcW w:w="0" w:type="dxa"/>
            <w:vAlign w:val="bottom"/>
          </w:tcPr>
          <w:p>
            <w:pPr>
              <w:spacing w:after="0"/>
              <w:rPr>
                <w:sz w:val="1"/>
                <w:szCs w:val="1"/>
                <w:color w:val="auto"/>
              </w:rPr>
            </w:pPr>
          </w:p>
        </w:tc>
      </w:tr>
      <w:tr>
        <w:trPr>
          <w:trHeight w:val="324"/>
        </w:trPr>
        <w:tc>
          <w:tcPr>
            <w:tcW w:w="2360" w:type="dxa"/>
            <w:vAlign w:val="bottom"/>
          </w:tcPr>
          <w:p>
            <w:pPr>
              <w:spacing w:after="0"/>
              <w:rPr>
                <w:sz w:val="20"/>
                <w:szCs w:val="20"/>
                <w:color w:val="auto"/>
              </w:rPr>
            </w:pPr>
            <w:r>
              <w:rPr>
                <w:rFonts w:ascii="Arial" w:cs="Arial" w:eastAsia="Arial" w:hAnsi="Arial"/>
                <w:sz w:val="14"/>
                <w:szCs w:val="14"/>
                <w:color w:val="auto"/>
              </w:rPr>
              <w:t>Burke America Parts Group, LLC</w:t>
            </w:r>
          </w:p>
        </w:tc>
        <w:tc>
          <w:tcPr>
            <w:tcW w:w="2180" w:type="dxa"/>
            <w:vAlign w:val="bottom"/>
          </w:tcPr>
          <w:p>
            <w:pPr>
              <w:ind w:left="80"/>
              <w:spacing w:after="0"/>
              <w:rPr>
                <w:sz w:val="20"/>
                <w:szCs w:val="20"/>
                <w:color w:val="auto"/>
              </w:rPr>
            </w:pPr>
            <w:r>
              <w:rPr>
                <w:rFonts w:ascii="Arial" w:cs="Arial" w:eastAsia="Arial" w:hAnsi="Arial"/>
                <w:sz w:val="14"/>
                <w:szCs w:val="14"/>
                <w:color w:val="auto"/>
              </w:rPr>
              <w:t>Home Repair Parts Manufacturer</w:t>
            </w:r>
          </w:p>
        </w:tc>
        <w:tc>
          <w:tcPr>
            <w:tcW w:w="0" w:type="dxa"/>
            <w:vAlign w:val="bottom"/>
          </w:tcPr>
          <w:p>
            <w:pPr>
              <w:spacing w:after="0"/>
              <w:rPr>
                <w:sz w:val="1"/>
                <w:szCs w:val="1"/>
                <w:color w:val="auto"/>
              </w:rPr>
            </w:pPr>
          </w:p>
        </w:tc>
      </w:tr>
      <w:tr>
        <w:trPr>
          <w:trHeight w:val="324"/>
        </w:trPr>
        <w:tc>
          <w:tcPr>
            <w:tcW w:w="2360" w:type="dxa"/>
            <w:vAlign w:val="bottom"/>
          </w:tcPr>
          <w:p>
            <w:pPr>
              <w:spacing w:after="0"/>
              <w:rPr>
                <w:sz w:val="20"/>
                <w:szCs w:val="20"/>
                <w:color w:val="auto"/>
              </w:rPr>
            </w:pPr>
            <w:r>
              <w:rPr>
                <w:rFonts w:ascii="Arial" w:cs="Arial" w:eastAsia="Arial" w:hAnsi="Arial"/>
                <w:sz w:val="14"/>
                <w:szCs w:val="14"/>
                <w:color w:val="auto"/>
              </w:rPr>
              <w:t>California Pizza Kitchen, Inc.</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4"/>
                <w:szCs w:val="24"/>
                <w:color w:val="auto"/>
              </w:rPr>
            </w:pPr>
          </w:p>
        </w:tc>
        <w:tc>
          <w:tcPr>
            <w:tcW w:w="2180" w:type="dxa"/>
            <w:vAlign w:val="bottom"/>
          </w:tcPr>
          <w:p>
            <w:pPr>
              <w:ind w:left="80"/>
              <w:spacing w:after="0"/>
              <w:rPr>
                <w:sz w:val="20"/>
                <w:szCs w:val="20"/>
                <w:color w:val="auto"/>
              </w:rPr>
            </w:pPr>
            <w:r>
              <w:rPr>
                <w:rFonts w:ascii="Arial" w:cs="Arial" w:eastAsia="Arial" w:hAnsi="Arial"/>
                <w:sz w:val="14"/>
                <w:szCs w:val="14"/>
                <w:color w:val="auto"/>
              </w:rPr>
              <w:t>Restaurant</w:t>
            </w: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4"/>
                <w:szCs w:val="14"/>
                <w:color w:val="auto"/>
              </w:rPr>
              <w:t>Caregiver Services, Inc.</w:t>
            </w:r>
          </w:p>
        </w:tc>
        <w:tc>
          <w:tcPr>
            <w:tcW w:w="2180" w:type="dxa"/>
            <w:vAlign w:val="bottom"/>
          </w:tcPr>
          <w:p>
            <w:pPr>
              <w:ind w:left="80"/>
              <w:spacing w:after="0"/>
              <w:rPr>
                <w:sz w:val="20"/>
                <w:szCs w:val="20"/>
                <w:color w:val="auto"/>
              </w:rPr>
            </w:pPr>
            <w:r>
              <w:rPr>
                <w:rFonts w:ascii="Arial" w:cs="Arial" w:eastAsia="Arial" w:hAnsi="Arial"/>
                <w:sz w:val="14"/>
                <w:szCs w:val="14"/>
                <w:color w:val="auto"/>
              </w:rPr>
              <w:t>In-Home Healthcare Services</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Arial" w:cs="Arial" w:eastAsia="Arial" w:hAnsi="Arial"/>
                <w:sz w:val="14"/>
                <w:szCs w:val="14"/>
                <w:color w:val="auto"/>
              </w:rPr>
              <w:t>Caregiver Services, Inc.</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2180" w:type="dxa"/>
            <w:vAlign w:val="bottom"/>
          </w:tcPr>
          <w:p>
            <w:pPr>
              <w:ind w:left="80"/>
              <w:spacing w:after="0"/>
              <w:rPr>
                <w:sz w:val="20"/>
                <w:szCs w:val="20"/>
                <w:color w:val="auto"/>
              </w:rPr>
            </w:pPr>
            <w:r>
              <w:rPr>
                <w:rFonts w:ascii="Arial" w:cs="Arial" w:eastAsia="Arial" w:hAnsi="Arial"/>
                <w:sz w:val="14"/>
                <w:szCs w:val="14"/>
                <w:color w:val="auto"/>
              </w:rPr>
              <w:t>In-Home Healthcare Services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53"/>
        </w:trPr>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420"/>
        </w:trPr>
        <w:tc>
          <w:tcPr>
            <w:tcW w:w="2180" w:type="dxa"/>
            <w:vAlign w:val="bottom"/>
          </w:tcPr>
          <w:p>
            <w:pPr>
              <w:ind w:left="100"/>
              <w:spacing w:after="0"/>
              <w:rPr>
                <w:sz w:val="20"/>
                <w:szCs w:val="20"/>
                <w:color w:val="auto"/>
              </w:rPr>
            </w:pPr>
            <w:r>
              <w:rPr>
                <w:rFonts w:ascii="Arial" w:cs="Arial" w:eastAsia="Arial" w:hAnsi="Arial"/>
                <w:sz w:val="14"/>
                <w:szCs w:val="14"/>
                <w:color w:val="auto"/>
              </w:rPr>
              <w:t>First Lien Debt (10.38% Cash</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(1 month LIBOR + 9.0%,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Floor), Due 12/4/22)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11,250</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11,250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11,250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5"/>
              </w:rPr>
              <w:t>Preferred Units (965,250 units, 8%</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w:t>
            </w:r>
            <w:r>
              <w:rPr>
                <w:rFonts w:ascii="Arial" w:cs="Arial" w:eastAsia="Arial" w:hAnsi="Arial"/>
                <w:sz w:val="20"/>
                <w:szCs w:val="20"/>
                <w:color w:val="auto"/>
                <w:vertAlign w:val="superscript"/>
              </w:rPr>
              <w:t>(5)</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971</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971</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Membership Units (39,000 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First Lien Debt (11.74% Cash,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12/18/22)</w:t>
            </w:r>
            <w:r>
              <w:rPr>
                <w:rFonts w:ascii="Arial" w:cs="Arial" w:eastAsia="Arial" w:hAnsi="Arial"/>
                <w:sz w:val="20"/>
                <w:szCs w:val="20"/>
                <w:color w:val="auto"/>
                <w:vertAlign w:val="superscript"/>
              </w:rPr>
              <w:t>(6)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13,000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13,000</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13,000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Membership Units (20,092 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800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800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(10.5%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13,800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13,800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PIK, Due 6/11/20)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9,068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9,068</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7,568</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(10% PIK,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9,068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7,568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1/1/19)</w:t>
            </w:r>
            <w:r>
              <w:rPr>
                <w:rFonts w:ascii="Arial" w:cs="Arial" w:eastAsia="Arial" w:hAnsi="Arial"/>
                <w:sz w:val="20"/>
                <w:szCs w:val="20"/>
                <w:color w:val="auto"/>
                <w:vertAlign w:val="superscript"/>
              </w:rPr>
              <w:t>(7)(8)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8,287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5,679</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1,880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(10%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First Lien Debt (12.75% Cash,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5,679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0.8</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9/8/21)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19,100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18,713</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19,100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Membership Unit Warrants (91,739</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5,581</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First Lien Debt (13.3% Cash,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5,581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11/14/21)</w:t>
            </w:r>
            <w:r>
              <w:rPr>
                <w:rFonts w:ascii="Arial" w:cs="Arial" w:eastAsia="Arial" w:hAnsi="Arial"/>
                <w:sz w:val="20"/>
                <w:szCs w:val="20"/>
                <w:color w:val="auto"/>
                <w:vertAlign w:val="superscript"/>
              </w:rPr>
              <w:t>(6)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9,790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9,790</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9,790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6"/>
              </w:rPr>
              <w:t>Series A Preferred Stock (350,000</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shares, 8% PIK)</w:t>
            </w:r>
            <w:r>
              <w:rPr>
                <w:rFonts w:ascii="Arial" w:cs="Arial" w:eastAsia="Arial" w:hAnsi="Arial"/>
                <w:sz w:val="22"/>
                <w:szCs w:val="22"/>
                <w:color w:val="auto"/>
                <w:vertAlign w:val="superscript"/>
              </w:rPr>
              <w:t>(5)</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382</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722</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(9.07%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10,172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10,512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+ 7.5%,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Due 11/7/20)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4,029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3,965</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3,755</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5"/>
              </w:rPr>
              <w:t>First Lien Debt (8% Cash (1 month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3,755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LIBOR + 6%, 2% Floor),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5/22/20)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(16.25%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(1 month LIBOR + 14.25%, 2%</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Floor), Due 5/22/20)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5,586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5,586</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5,586</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7,186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7,186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180" w:type="dxa"/>
            <w:vAlign w:val="bottom"/>
          </w:tcPr>
          <w:p>
            <w:pPr>
              <w:ind w:left="100"/>
              <w:spacing w:after="0" w:line="142" w:lineRule="exact"/>
              <w:rPr>
                <w:sz w:val="20"/>
                <w:szCs w:val="20"/>
                <w:color w:val="auto"/>
              </w:rPr>
            </w:pPr>
            <w:r>
              <w:rPr>
                <w:rFonts w:ascii="Arial" w:cs="Arial" w:eastAsia="Arial" w:hAnsi="Arial"/>
                <w:sz w:val="14"/>
                <w:szCs w:val="14"/>
                <w:color w:val="auto"/>
              </w:rPr>
              <w:t>Membership Units (14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2,767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3"/>
              </w:rPr>
              <w:t>Second Lien Debt (11.57%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2,767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+ 10%,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Due 8/23/23)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4,880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4,880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Common Stock (293,186 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4,880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4,880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258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68"/>
              <w:spacing w:after="0" w:line="123"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5"/>
              </w:rPr>
              <w:t>Common Stock Warrants (655,908</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(9)</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264</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120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40" w:space="140"/>
            <w:col w:w="5399"/>
          </w:cols>
          <w:pgMar w:left="380" w:top="792" w:right="1440" w:bottom="1440" w:gutter="0" w:footer="0" w:header="0"/>
          <w:type w:val="continuous"/>
        </w:sectPr>
      </w:pPr>
    </w:p>
    <w:p>
      <w:pPr>
        <w:spacing w:after="0" w:line="32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04" w:name="page105"/>
    <w:bookmarkEnd w:id="10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1658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2"/>
              </w:rPr>
              <w:t>Portfolio Company, Country</w:t>
            </w:r>
            <w:r>
              <w:rPr>
                <w:rFonts w:ascii="Arial" w:cs="Arial" w:eastAsia="Arial" w:hAnsi="Arial"/>
                <w:sz w:val="20"/>
                <w:szCs w:val="20"/>
                <w:b w:val="1"/>
                <w:bCs w:val="1"/>
                <w:color w:val="auto"/>
                <w:w w:val="92"/>
                <w:vertAlign w:val="superscript"/>
              </w:rPr>
              <w:t>(1),(2),(3),(4)</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53"/>
        </w:trPr>
        <w:tc>
          <w:tcPr>
            <w:tcW w:w="234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33"/>
        </w:trPr>
        <w:tc>
          <w:tcPr>
            <w:tcW w:w="2340" w:type="dxa"/>
            <w:vAlign w:val="bottom"/>
          </w:tcPr>
          <w:p>
            <w:pPr>
              <w:ind w:left="20"/>
              <w:spacing w:after="0" w:line="133" w:lineRule="exact"/>
              <w:rPr>
                <w:sz w:val="20"/>
                <w:szCs w:val="20"/>
                <w:color w:val="auto"/>
              </w:rPr>
            </w:pPr>
            <w:r>
              <w:rPr>
                <w:rFonts w:ascii="Arial" w:cs="Arial" w:eastAsia="Arial" w:hAnsi="Arial"/>
                <w:sz w:val="14"/>
                <w:szCs w:val="14"/>
                <w:color w:val="auto"/>
              </w:rPr>
              <w:t>Cedar Electronics Holding Corp.</w:t>
            </w: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tcPr>
          <w:p>
            <w:pPr>
              <w:ind w:left="100"/>
              <w:spacing w:after="0" w:line="133" w:lineRule="exact"/>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Consumer Electronics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Due 12/26/20)</w:t>
            </w:r>
            <w:r>
              <w:rPr>
                <w:rFonts w:ascii="Arial" w:cs="Arial" w:eastAsia="Arial" w:hAnsi="Arial"/>
                <w:sz w:val="22"/>
                <w:szCs w:val="22"/>
                <w:color w:val="auto"/>
                <w:vertAlign w:val="superscript"/>
              </w:rPr>
              <w:t>(7)</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21,550</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21,550</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   3,498</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CIS Secure Computing,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(9.88%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month LIBOR + 8.5%, 1% Floor),</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Government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1% PIK, Due 9/14/22)</w:t>
            </w:r>
            <w:r>
              <w:rPr>
                <w:rFonts w:ascii="Arial" w:cs="Arial" w:eastAsia="Arial" w:hAnsi="Arial"/>
                <w:sz w:val="20"/>
                <w:szCs w:val="20"/>
                <w:color w:val="auto"/>
                <w:vertAlign w:val="superscript"/>
              </w:rPr>
              <w:t>(10)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9,116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9,116</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9,116</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4"/>
                <w:szCs w:val="14"/>
                <w:color w:val="auto"/>
              </w:rPr>
              <w:t>CIS Secure Computing, Inc.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Government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(46,163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1,204</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Corporate Visions,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Subordinated Debt (9% Cash, 2%</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10,320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PIK, Due 11/29/21)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18,159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18,159</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16,995</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4"/>
                <w:szCs w:val="14"/>
                <w:color w:val="auto"/>
              </w:rPr>
              <w:t>Corporate Visions, Inc.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(15,750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1,575</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393</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Currency Capital,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(12.38%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19,734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17,388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month LIBOR + 11%, 0.50%</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Floor) Due 1/20/22)</w:t>
            </w:r>
            <w:r>
              <w:rPr>
                <w:rFonts w:ascii="Arial" w:cs="Arial" w:eastAsia="Arial" w:hAnsi="Arial"/>
                <w:sz w:val="20"/>
                <w:szCs w:val="20"/>
                <w:color w:val="auto"/>
                <w:vertAlign w:val="superscript"/>
              </w:rPr>
              <w:t>(11)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17,000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17,000</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17,000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Currency Capital, LLC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4"/>
              </w:rPr>
              <w:t>Class A Preferred Units (2,000,000</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(11)</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1,905</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Flavors Holdings,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(7.44% Cash (3</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18,905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+ 5.75%,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Floor), Due 4/3/20)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6,589</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5,911</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Flavors Holdings,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3"/>
              </w:rPr>
              <w:t>Second Lien Debt (11.69% Cash (3</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+ 10%,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10/3/21)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11,740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10,311</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(8.38%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18,329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16,222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1% PIK, Due 12/14/20)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8,833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8,833</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8,833</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(12.88%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6"/>
              </w:rPr>
              <w:t>month LIBOR + 11.5%,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2% PIK, Due 12/14/20)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7,200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7,200</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6"/>
              </w:rPr>
              <w:t>Preferred Stock (2,400 Units, 10%</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PIK dividend)</w:t>
            </w:r>
            <w:r>
              <w:rPr>
                <w:rFonts w:ascii="Arial" w:cs="Arial" w:eastAsia="Arial" w:hAnsi="Arial"/>
                <w:sz w:val="22"/>
                <w:szCs w:val="22"/>
                <w:color w:val="auto"/>
                <w:vertAlign w:val="superscript"/>
              </w:rPr>
              <w:t>(5)</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2,938</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11,140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w w:val="95"/>
              </w:rPr>
              <w:t>Sequoia Healthcare Management,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 4%</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18,971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27,173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Healthcare Management</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PIK, Due 7/17/19)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9,014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8,964</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9,014</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Spectra Services Holdings,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(10% Cash, 4%</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8,964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Refrigeration/HVAC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PIK, Due 12/27/22)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7,450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7,450</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Spectra Services Holdings,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5"/>
              </w:rPr>
              <w:t>Class A Units (1,283,823 units, 4%</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7"/>
              </w:rPr>
              <w:t>Cash dividend, 11% PIK dividend)</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ind w:left="80"/>
              <w:spacing w:after="0" w:line="152" w:lineRule="exact"/>
              <w:rPr>
                <w:sz w:val="20"/>
                <w:szCs w:val="20"/>
                <w:color w:val="auto"/>
              </w:rPr>
            </w:pPr>
            <w:r>
              <w:rPr>
                <w:rFonts w:ascii="Arial" w:cs="Arial" w:eastAsia="Arial" w:hAnsi="Arial"/>
                <w:sz w:val="14"/>
                <w:szCs w:val="14"/>
                <w:color w:val="auto"/>
              </w:rPr>
              <w:t>Refrigeration/HVAC services</w:t>
            </w:r>
          </w:p>
        </w:tc>
        <w:tc>
          <w:tcPr>
            <w:tcW w:w="2220" w:type="dxa"/>
            <w:vAlign w:val="bottom"/>
            <w:gridSpan w:val="2"/>
          </w:tcPr>
          <w:p>
            <w:pPr>
              <w:ind w:left="140"/>
              <w:spacing w:after="0"/>
              <w:rPr>
                <w:sz w:val="20"/>
                <w:szCs w:val="20"/>
                <w:color w:val="auto"/>
              </w:rPr>
            </w:pPr>
            <w:r>
              <w:rPr>
                <w:rFonts w:ascii="Arial" w:cs="Arial" w:eastAsia="Arial" w:hAnsi="Arial"/>
                <w:sz w:val="12"/>
                <w:szCs w:val="12"/>
                <w:color w:val="auto"/>
              </w:rPr>
              <w:t>(5)</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2" w:lineRule="exact"/>
              <w:rPr>
                <w:sz w:val="20"/>
                <w:szCs w:val="20"/>
                <w:color w:val="auto"/>
              </w:rPr>
            </w:pPr>
            <w:r>
              <w:rPr>
                <w:rFonts w:ascii="Arial" w:cs="Arial" w:eastAsia="Arial" w:hAnsi="Arial"/>
                <w:sz w:val="14"/>
                <w:szCs w:val="14"/>
                <w:color w:val="auto"/>
              </w:rPr>
              <w:t>1,286</w:t>
            </w:r>
          </w:p>
        </w:tc>
        <w:tc>
          <w:tcPr>
            <w:tcW w:w="60" w:type="dxa"/>
            <w:vAlign w:val="bottom"/>
          </w:tcPr>
          <w:p>
            <w:pPr>
              <w:spacing w:after="0"/>
              <w:rPr>
                <w:sz w:val="13"/>
                <w:szCs w:val="13"/>
                <w:color w:val="auto"/>
              </w:rPr>
            </w:pPr>
          </w:p>
        </w:tc>
        <w:tc>
          <w:tcPr>
            <w:tcW w:w="720" w:type="dxa"/>
            <w:vAlign w:val="bottom"/>
            <w:gridSpan w:val="3"/>
          </w:tcPr>
          <w:p>
            <w:pPr>
              <w:jc w:val="right"/>
              <w:ind w:right="80"/>
              <w:spacing w:after="0" w:line="152" w:lineRule="exact"/>
              <w:rPr>
                <w:sz w:val="20"/>
                <w:szCs w:val="20"/>
                <w:color w:val="auto"/>
              </w:rPr>
            </w:pPr>
            <w:r>
              <w:rPr>
                <w:rFonts w:ascii="Arial" w:cs="Arial" w:eastAsia="Arial" w:hAnsi="Arial"/>
                <w:sz w:val="14"/>
                <w:szCs w:val="14"/>
                <w:color w:val="auto"/>
              </w:rPr>
              <w:t>1,286</w:t>
            </w:r>
          </w:p>
        </w:tc>
        <w:tc>
          <w:tcPr>
            <w:tcW w:w="680" w:type="dxa"/>
            <w:vAlign w:val="bottom"/>
            <w:gridSpan w:val="3"/>
          </w:tcPr>
          <w:p>
            <w:pPr>
              <w:jc w:val="right"/>
              <w:ind w:right="8"/>
              <w:spacing w:after="0" w:line="152"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4"/>
                <w:szCs w:val="14"/>
                <w:color w:val="auto"/>
              </w:rPr>
              <w:t>Spectra Services Holdings, LLC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Refrigeration/HVAC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Class B Units (257 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Sur La Table,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8,736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8,736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Retail</w:t>
            </w:r>
          </w:p>
        </w:tc>
        <w:tc>
          <w:tcPr>
            <w:tcW w:w="2220" w:type="dxa"/>
            <w:vAlign w:val="bottom"/>
            <w:gridSpan w:val="2"/>
          </w:tcPr>
          <w:p>
            <w:pPr>
              <w:ind w:left="140"/>
              <w:spacing w:after="0"/>
              <w:rPr>
                <w:sz w:val="20"/>
                <w:szCs w:val="20"/>
                <w:color w:val="auto"/>
              </w:rPr>
            </w:pPr>
            <w:r>
              <w:rPr>
                <w:rFonts w:ascii="Arial" w:cs="Arial" w:eastAsia="Arial" w:hAnsi="Arial"/>
                <w:sz w:val="14"/>
                <w:szCs w:val="14"/>
                <w:color w:val="auto"/>
              </w:rPr>
              <w:t>7/28/20)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15,000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Taylor Precision Products,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Series C Preferred Stock (379</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Household Product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1,316</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Vintage Stock,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(13.86%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+ 12.5%, 0.5%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Specialty Retail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3% PIK, Due 11/3/21)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20,713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20,713</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20,713</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Vology,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9"/>
              </w:rPr>
              <w:t>Subordinated Debt (15% Cash (3</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20,713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20,713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+ 14%,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Ceiling), 4% PIK Due 6/30/20)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8,374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8,374</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8,374</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8,374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8,374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5" w:name="page106"/>
    <w:bookmarkEnd w:id="10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61658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wp:posOffset>
            </wp:positionV>
            <wp:extent cx="61658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2"/>
              </w:rPr>
              <w:t>Portfolio Company, Country</w:t>
            </w:r>
            <w:r>
              <w:rPr>
                <w:rFonts w:ascii="Arial" w:cs="Arial" w:eastAsia="Arial" w:hAnsi="Arial"/>
                <w:sz w:val="20"/>
                <w:szCs w:val="20"/>
                <w:b w:val="1"/>
                <w:bCs w:val="1"/>
                <w:color w:val="auto"/>
                <w:w w:val="92"/>
                <w:vertAlign w:val="superscript"/>
              </w:rPr>
              <w:t>(1),(2),(3),(4)</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53"/>
        </w:trPr>
        <w:tc>
          <w:tcPr>
            <w:tcW w:w="234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33"/>
        </w:trPr>
        <w:tc>
          <w:tcPr>
            <w:tcW w:w="2340" w:type="dxa"/>
            <w:vAlign w:val="bottom"/>
          </w:tcPr>
          <w:p>
            <w:pPr>
              <w:ind w:left="20"/>
              <w:spacing w:after="0" w:line="133" w:lineRule="exact"/>
              <w:rPr>
                <w:sz w:val="20"/>
                <w:szCs w:val="20"/>
                <w:color w:val="auto"/>
              </w:rPr>
            </w:pPr>
            <w:r>
              <w:rPr>
                <w:rFonts w:ascii="Arial" w:cs="Arial" w:eastAsia="Arial" w:hAnsi="Arial"/>
                <w:sz w:val="14"/>
                <w:szCs w:val="14"/>
                <w:color w:val="auto"/>
              </w:rPr>
              <w:t>Western Windows Systems, LLC</w:t>
            </w: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tcPr>
          <w:p>
            <w:pPr>
              <w:ind w:left="100"/>
              <w:spacing w:after="0" w:line="133" w:lineRule="exact"/>
              <w:rPr>
                <w:sz w:val="20"/>
                <w:szCs w:val="20"/>
                <w:color w:val="auto"/>
              </w:rPr>
            </w:pPr>
            <w:r>
              <w:rPr>
                <w:rFonts w:ascii="Arial" w:cs="Arial" w:eastAsia="Arial" w:hAnsi="Arial"/>
                <w:sz w:val="14"/>
                <w:szCs w:val="14"/>
                <w:color w:val="auto"/>
                <w:w w:val="98"/>
              </w:rPr>
              <w:t>First Lien Debt (11.9% Cash, Due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2220" w:type="dxa"/>
            <w:vAlign w:val="bottom"/>
            <w:gridSpan w:val="2"/>
          </w:tcPr>
          <w:p>
            <w:pPr>
              <w:ind w:left="140"/>
              <w:spacing w:after="0" w:line="179" w:lineRule="exact"/>
              <w:rPr>
                <w:sz w:val="20"/>
                <w:szCs w:val="20"/>
                <w:color w:val="auto"/>
              </w:rPr>
            </w:pPr>
            <w:r>
              <w:rPr>
                <w:rFonts w:ascii="Arial" w:cs="Arial" w:eastAsia="Arial" w:hAnsi="Arial"/>
                <w:sz w:val="13"/>
                <w:szCs w:val="13"/>
                <w:color w:val="auto"/>
              </w:rPr>
              <w:t>7/31/20)</w:t>
            </w:r>
            <w:r>
              <w:rPr>
                <w:rFonts w:ascii="Arial" w:cs="Arial" w:eastAsia="Arial" w:hAnsi="Arial"/>
                <w:sz w:val="20"/>
                <w:szCs w:val="20"/>
                <w:color w:val="auto"/>
                <w:vertAlign w:val="superscript"/>
              </w:rPr>
              <w:t>(6)</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10,500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10,500</w:t>
            </w:r>
          </w:p>
        </w:tc>
        <w:tc>
          <w:tcPr>
            <w:tcW w:w="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10,500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4"/>
                <w:szCs w:val="14"/>
                <w:color w:val="auto"/>
              </w:rPr>
              <w:t>Western Windows Systems, LLC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Membership Units (39,860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7,379</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Xirgo Technologies,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(11.5%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17,879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Information Technology</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3/1/22)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15,750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4"/>
                <w:szCs w:val="14"/>
                <w:color w:val="auto"/>
              </w:rPr>
              <w:t>Xirgo Technologies, LLC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w w:val="98"/>
              </w:rPr>
              <w:t>Membership Units (600,000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637</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4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 Total Non-control/non-affiliated investments – United States</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286,316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280,359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126.4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4660" w:type="dxa"/>
            <w:vAlign w:val="bottom"/>
            <w:gridSpan w:val="3"/>
          </w:tcPr>
          <w:p>
            <w:pPr>
              <w:ind w:left="20"/>
              <w:spacing w:after="0" w:line="123" w:lineRule="exact"/>
              <w:rPr>
                <w:sz w:val="20"/>
                <w:szCs w:val="20"/>
                <w:color w:val="auto"/>
              </w:rPr>
            </w:pPr>
            <w:r>
              <w:rPr>
                <w:rFonts w:ascii="Arial" w:cs="Arial" w:eastAsia="Arial" w:hAnsi="Arial"/>
                <w:sz w:val="14"/>
                <w:szCs w:val="14"/>
                <w:b w:val="1"/>
                <w:bCs w:val="1"/>
                <w:color w:val="auto"/>
              </w:rPr>
              <w:t>Non-control/non-affiliated investments – Brazil</w:t>
            </w:r>
          </w:p>
        </w:tc>
        <w:tc>
          <w:tcPr>
            <w:tcW w:w="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Velum Global Credit Management,</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(15% PIK,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340" w:type="dxa"/>
            <w:vAlign w:val="bottom"/>
          </w:tcPr>
          <w:p>
            <w:pPr>
              <w:ind w:left="20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2220" w:type="dxa"/>
            <w:vAlign w:val="bottom"/>
            <w:gridSpan w:val="2"/>
          </w:tcPr>
          <w:p>
            <w:pPr>
              <w:ind w:left="140"/>
              <w:spacing w:after="0" w:line="207" w:lineRule="exact"/>
              <w:rPr>
                <w:sz w:val="20"/>
                <w:szCs w:val="20"/>
                <w:color w:val="auto"/>
              </w:rPr>
            </w:pPr>
            <w:r>
              <w:rPr>
                <w:rFonts w:ascii="Arial" w:cs="Arial" w:eastAsia="Arial" w:hAnsi="Arial"/>
                <w:sz w:val="24"/>
                <w:szCs w:val="24"/>
                <w:color w:val="auto"/>
                <w:vertAlign w:val="subscript"/>
              </w:rPr>
              <w:t>12/31/17)</w:t>
            </w:r>
            <w:r>
              <w:rPr>
                <w:rFonts w:ascii="Arial" w:cs="Arial" w:eastAsia="Arial" w:hAnsi="Arial"/>
                <w:sz w:val="11"/>
                <w:szCs w:val="11"/>
                <w:color w:val="auto"/>
              </w:rPr>
              <w:t>(7)(8)(11)(12)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12,275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11,816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8,015</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4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 Total Non-control/non-affiliated investments – Brazil</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46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Sub Total Non-control/non-affiliated investments</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298,132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288,374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130.0</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340" w:type="dxa"/>
            <w:vAlign w:val="bottom"/>
            <w:vMerge w:val="restart"/>
          </w:tcPr>
          <w:p>
            <w:pPr>
              <w:ind w:left="20"/>
              <w:spacing w:after="0" w:line="160" w:lineRule="exact"/>
              <w:rPr>
                <w:sz w:val="20"/>
                <w:szCs w:val="20"/>
                <w:color w:val="auto"/>
              </w:rPr>
            </w:pPr>
            <w:r>
              <w:rPr>
                <w:rFonts w:ascii="Arial" w:cs="Arial" w:eastAsia="Arial" w:hAnsi="Arial"/>
                <w:sz w:val="14"/>
                <w:szCs w:val="14"/>
                <w:b w:val="1"/>
                <w:bCs w:val="1"/>
                <w:color w:val="auto"/>
              </w:rPr>
              <w:t>Affiliate investments – 46.8%</w:t>
            </w: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20"/>
              <w:spacing w:after="0" w:line="153" w:lineRule="exact"/>
              <w:rPr>
                <w:sz w:val="20"/>
                <w:szCs w:val="20"/>
                <w:color w:val="auto"/>
              </w:rPr>
            </w:pPr>
            <w:r>
              <w:rPr>
                <w:rFonts w:ascii="Arial" w:cs="Arial" w:eastAsia="Arial" w:hAnsi="Arial"/>
                <w:sz w:val="14"/>
                <w:szCs w:val="14"/>
                <w:b w:val="1"/>
                <w:bCs w:val="1"/>
                <w:color w:val="auto"/>
                <w:w w:val="95"/>
              </w:rPr>
              <w:t>Affiliate investments – United States</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Second Lien Debt (8% Cash, 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Due 8/24/19)</w:t>
            </w:r>
            <w:r>
              <w:rPr>
                <w:rFonts w:ascii="Arial" w:cs="Arial" w:eastAsia="Arial" w:hAnsi="Arial"/>
                <w:sz w:val="20"/>
                <w:szCs w:val="20"/>
                <w:color w:val="auto"/>
                <w:vertAlign w:val="superscript"/>
              </w:rPr>
              <w:t>(8)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15,846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15,846</w:t>
            </w:r>
          </w:p>
        </w:tc>
        <w:tc>
          <w:tcPr>
            <w:tcW w:w="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15,603</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(2.19% fully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diluted)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Warrants (37.78%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Burgaflex Holdings,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15,863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15,603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8/9/19)</w:t>
            </w:r>
            <w:r>
              <w:rPr>
                <w:rFonts w:ascii="Arial" w:cs="Arial" w:eastAsia="Arial" w:hAnsi="Arial"/>
                <w:sz w:val="20"/>
                <w:szCs w:val="20"/>
                <w:color w:val="auto"/>
                <w:vertAlign w:val="superscript"/>
              </w:rPr>
              <w:t>(13)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Burgaflex Holdings, LLC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8/9/19)</w:t>
            </w:r>
            <w:r>
              <w:rPr>
                <w:rFonts w:ascii="Arial" w:cs="Arial" w:eastAsia="Arial" w:hAnsi="Arial"/>
                <w:sz w:val="20"/>
                <w:szCs w:val="20"/>
                <w:color w:val="auto"/>
                <w:vertAlign w:val="superscript"/>
              </w:rPr>
              <w:t>(13)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5,828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5,828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5,828</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4"/>
                <w:szCs w:val="14"/>
                <w:color w:val="auto"/>
              </w:rPr>
              <w:t>Burgaflex Holdings, LLC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Automobile Part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w w:val="94"/>
              </w:rPr>
              <w:t>Common Stock (1,253,198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457</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9,285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10/20/19)</w:t>
            </w:r>
            <w:r>
              <w:rPr>
                <w:rFonts w:ascii="Arial" w:cs="Arial" w:eastAsia="Arial" w:hAnsi="Arial"/>
                <w:sz w:val="20"/>
                <w:szCs w:val="20"/>
                <w:color w:val="auto"/>
                <w:vertAlign w:val="superscript"/>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8,231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8,231</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(2.78% fully diluted, 9%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Dividend)</w:t>
            </w:r>
            <w:r>
              <w:rPr>
                <w:rFonts w:ascii="Arial" w:cs="Arial" w:eastAsia="Arial" w:hAnsi="Arial"/>
                <w:sz w:val="20"/>
                <w:szCs w:val="20"/>
                <w:color w:val="auto"/>
                <w:vertAlign w:val="superscript"/>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1,269</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(11.38%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8,248</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GA Communications,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Series A-1 Preferred Stock (1,998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17,748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shares, 8% PIK Dividend)</w:t>
            </w:r>
            <w:r>
              <w:rPr>
                <w:rFonts w:ascii="Arial" w:cs="Arial" w:eastAsia="Arial" w:hAnsi="Arial"/>
                <w:sz w:val="20"/>
                <w:szCs w:val="20"/>
                <w:color w:val="auto"/>
                <w:vertAlign w:val="superscript"/>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2,902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3,225</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GA Communications,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B-1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(200,000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1,932</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Subordinated Debt (6% Cash, 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5,157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Due 6/16/19)</w:t>
            </w:r>
            <w:r>
              <w:rPr>
                <w:rFonts w:ascii="Arial" w:cs="Arial" w:eastAsia="Arial" w:hAnsi="Arial"/>
                <w:sz w:val="20"/>
                <w:szCs w:val="20"/>
                <w:color w:val="auto"/>
                <w:vertAlign w:val="superscript"/>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6,368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6,368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6,170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(8,182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(6,369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7,186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6,170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340" w:type="dxa"/>
            <w:vAlign w:val="bottom"/>
          </w:tcPr>
          <w:p>
            <w:pPr>
              <w:ind w:left="20"/>
              <w:spacing w:after="0" w:line="142" w:lineRule="exact"/>
              <w:rPr>
                <w:sz w:val="20"/>
                <w:szCs w:val="20"/>
                <w:color w:val="auto"/>
              </w:rPr>
            </w:pPr>
            <w:r>
              <w:rPr>
                <w:rFonts w:ascii="Arial" w:cs="Arial" w:eastAsia="Arial" w:hAnsi="Arial"/>
                <w:sz w:val="14"/>
                <w:szCs w:val="14"/>
                <w:color w:val="auto"/>
              </w:rPr>
              <w:t>LJS Partners, LLC</w:t>
            </w:r>
          </w:p>
        </w:tc>
        <w:tc>
          <w:tcPr>
            <w:tcW w:w="40" w:type="dxa"/>
            <w:vAlign w:val="bottom"/>
          </w:tcPr>
          <w:p>
            <w:pPr>
              <w:spacing w:after="0"/>
              <w:rPr>
                <w:sz w:val="12"/>
                <w:szCs w:val="12"/>
                <w:color w:val="auto"/>
              </w:rPr>
            </w:pPr>
          </w:p>
        </w:tc>
        <w:tc>
          <w:tcPr>
            <w:tcW w:w="2280" w:type="dxa"/>
            <w:vAlign w:val="bottom"/>
          </w:tcPr>
          <w:p>
            <w:pPr>
              <w:ind w:left="80"/>
              <w:spacing w:after="0" w:line="142" w:lineRule="exact"/>
              <w:rPr>
                <w:sz w:val="20"/>
                <w:szCs w:val="20"/>
                <w:color w:val="auto"/>
              </w:rPr>
            </w:pPr>
            <w:r>
              <w:rPr>
                <w:rFonts w:ascii="Arial" w:cs="Arial" w:eastAsia="Arial" w:hAnsi="Arial"/>
                <w:sz w:val="14"/>
                <w:szCs w:val="14"/>
                <w:color w:val="auto"/>
              </w:rPr>
              <w:t>QSR Franchisor</w:t>
            </w:r>
          </w:p>
        </w:tc>
        <w:tc>
          <w:tcPr>
            <w:tcW w:w="40" w:type="dxa"/>
            <w:vAlign w:val="bottom"/>
          </w:tcPr>
          <w:p>
            <w:pPr>
              <w:spacing w:after="0"/>
              <w:rPr>
                <w:sz w:val="12"/>
                <w:szCs w:val="12"/>
                <w:color w:val="auto"/>
              </w:rPr>
            </w:pPr>
          </w:p>
        </w:tc>
        <w:tc>
          <w:tcPr>
            <w:tcW w:w="2180" w:type="dxa"/>
            <w:vAlign w:val="bottom"/>
          </w:tcPr>
          <w:p>
            <w:pPr>
              <w:ind w:left="100"/>
              <w:spacing w:after="0" w:line="142" w:lineRule="exact"/>
              <w:rPr>
                <w:sz w:val="20"/>
                <w:szCs w:val="20"/>
                <w:color w:val="auto"/>
              </w:rPr>
            </w:pPr>
            <w:r>
              <w:rPr>
                <w:rFonts w:ascii="Arial" w:cs="Arial" w:eastAsia="Arial" w:hAnsi="Arial"/>
                <w:sz w:val="14"/>
                <w:szCs w:val="14"/>
                <w:color w:val="auto"/>
                <w:w w:val="94"/>
              </w:rPr>
              <w:t>Common Stock (1,500,000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2220" w:type="dxa"/>
            <w:vAlign w:val="bottom"/>
            <w:gridSpan w:val="2"/>
          </w:tcPr>
          <w:p>
            <w:pPr>
              <w:ind w:left="140"/>
              <w:spacing w:after="0" w:line="179" w:lineRule="exact"/>
              <w:rPr>
                <w:sz w:val="20"/>
                <w:szCs w:val="20"/>
                <w:color w:val="auto"/>
              </w:rPr>
            </w:pPr>
            <w:r>
              <w:rPr>
                <w:rFonts w:ascii="Arial" w:cs="Arial" w:eastAsia="Arial" w:hAnsi="Arial"/>
                <w:sz w:val="13"/>
                <w:szCs w:val="13"/>
                <w:color w:val="auto"/>
              </w:rPr>
              <w:t>1/31/19)</w:t>
            </w:r>
            <w:r>
              <w:rPr>
                <w:rFonts w:ascii="Arial" w:cs="Arial" w:eastAsia="Arial" w:hAnsi="Arial"/>
                <w:sz w:val="20"/>
                <w:szCs w:val="20"/>
                <w:color w:val="auto"/>
                <w:vertAlign w:val="superscript"/>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2,600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5"/>
              </w:rPr>
              <w:t>Subordinated Debt (6% Cash, Due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2220" w:type="dxa"/>
            <w:vAlign w:val="bottom"/>
            <w:gridSpan w:val="2"/>
          </w:tcPr>
          <w:p>
            <w:pPr>
              <w:ind w:left="140"/>
              <w:spacing w:after="0" w:line="179" w:lineRule="exact"/>
              <w:rPr>
                <w:sz w:val="20"/>
                <w:szCs w:val="20"/>
                <w:color w:val="auto"/>
              </w:rPr>
            </w:pPr>
            <w:r>
              <w:rPr>
                <w:rFonts w:ascii="Arial" w:cs="Arial" w:eastAsia="Arial" w:hAnsi="Arial"/>
                <w:sz w:val="13"/>
                <w:szCs w:val="13"/>
                <w:color w:val="auto"/>
              </w:rPr>
              <w:t>1/31/19)</w:t>
            </w:r>
            <w:r>
              <w:rPr>
                <w:rFonts w:ascii="Arial" w:cs="Arial" w:eastAsia="Arial" w:hAnsi="Arial"/>
                <w:sz w:val="20"/>
                <w:szCs w:val="20"/>
                <w:color w:val="auto"/>
                <w:vertAlign w:val="superscript"/>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Preferred Units (1,000 units, 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24"/>
                <w:szCs w:val="2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PIK dividend)</w:t>
            </w:r>
            <w:r>
              <w:rPr>
                <w:rFonts w:ascii="Arial" w:cs="Arial" w:eastAsia="Arial" w:hAnsi="Arial"/>
                <w:sz w:val="23"/>
                <w:szCs w:val="23"/>
                <w:color w:val="auto"/>
                <w:vertAlign w:val="superscript"/>
              </w:rPr>
              <w:t>(5)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1,381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1,520</w:t>
            </w:r>
          </w:p>
        </w:tc>
        <w:tc>
          <w:tcPr>
            <w:tcW w:w="680" w:type="dxa"/>
            <w:vAlign w:val="bottom"/>
            <w:gridSpan w:val="3"/>
          </w:tcPr>
          <w:p>
            <w:pPr>
              <w:jc w:val="right"/>
              <w:ind w:right="10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6" w:name="page107"/>
    <w:bookmarkEnd w:id="10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left="3160"/>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61658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wp:posOffset>
            </wp:positionV>
            <wp:extent cx="61658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Portfolio Company, Country</w:t>
            </w:r>
            <w:r>
              <w:rPr>
                <w:rFonts w:ascii="Arial" w:cs="Arial" w:eastAsia="Arial" w:hAnsi="Arial"/>
                <w:sz w:val="20"/>
                <w:szCs w:val="20"/>
                <w:b w:val="1"/>
                <w:bCs w:val="1"/>
                <w:color w:val="auto"/>
                <w:w w:val="92"/>
                <w:vertAlign w:val="superscript"/>
              </w:rPr>
              <w:t>(1),(2),(3),(4)</w:t>
            </w:r>
          </w:p>
        </w:tc>
        <w:tc>
          <w:tcPr>
            <w:tcW w:w="40" w:type="dxa"/>
            <w:vAlign w:val="bottom"/>
          </w:tcPr>
          <w:p>
            <w:pPr>
              <w:spacing w:after="0"/>
              <w:rPr>
                <w:sz w:val="19"/>
                <w:szCs w:val="19"/>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0" w:type="dxa"/>
            <w:vAlign w:val="bottom"/>
          </w:tcPr>
          <w:p>
            <w:pPr>
              <w:spacing w:after="0"/>
              <w:rPr>
                <w:sz w:val="1"/>
                <w:szCs w:val="1"/>
                <w:color w:val="auto"/>
              </w:rPr>
            </w:pPr>
          </w:p>
        </w:tc>
      </w:tr>
      <w:tr>
        <w:trPr>
          <w:trHeight w:val="176"/>
        </w:trPr>
        <w:tc>
          <w:tcPr>
            <w:tcW w:w="2340" w:type="dxa"/>
            <w:vAlign w:val="bottom"/>
          </w:tcPr>
          <w:p>
            <w:pPr>
              <w:ind w:left="20"/>
              <w:spacing w:after="0"/>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5"/>
                <w:szCs w:val="15"/>
                <w:color w:val="auto"/>
              </w:rPr>
            </w:pPr>
          </w:p>
        </w:tc>
        <w:tc>
          <w:tcPr>
            <w:tcW w:w="2280" w:type="dxa"/>
            <w:vAlign w:val="bottom"/>
            <w:vMerge w:val="restart"/>
          </w:tcPr>
          <w:p>
            <w:pPr>
              <w:ind w:left="80"/>
              <w:spacing w:after="0"/>
              <w:rPr>
                <w:sz w:val="20"/>
                <w:szCs w:val="20"/>
                <w:color w:val="auto"/>
              </w:rPr>
            </w:pPr>
            <w:r>
              <w:rPr>
                <w:rFonts w:ascii="Arial" w:cs="Arial" w:eastAsia="Arial" w:hAnsi="Arial"/>
                <w:sz w:val="14"/>
                <w:szCs w:val="14"/>
                <w:color w:val="auto"/>
              </w:rPr>
              <w:t>Medical Device Distributor</w:t>
            </w: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2340" w:type="dxa"/>
            <w:vAlign w:val="bottom"/>
          </w:tcPr>
          <w:p>
            <w:pPr>
              <w:ind w:left="20"/>
              <w:spacing w:after="0"/>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Retail Display &amp; Security Services</w:t>
            </w:r>
          </w:p>
        </w:tc>
        <w:tc>
          <w:tcPr>
            <w:tcW w:w="0" w:type="dxa"/>
            <w:vAlign w:val="bottom"/>
          </w:tcPr>
          <w:p>
            <w:pPr>
              <w:spacing w:after="0"/>
              <w:rPr>
                <w:sz w:val="1"/>
                <w:szCs w:val="1"/>
                <w:color w:val="auto"/>
              </w:rPr>
            </w:pPr>
          </w:p>
        </w:tc>
      </w:tr>
      <w:tr>
        <w:trPr>
          <w:trHeight w:val="290"/>
        </w:trPr>
        <w:tc>
          <w:tcPr>
            <w:tcW w:w="2340" w:type="dxa"/>
            <w:vAlign w:val="bottom"/>
          </w:tcPr>
          <w:p>
            <w:pPr>
              <w:ind w:left="20"/>
              <w:spacing w:after="0"/>
              <w:rPr>
                <w:sz w:val="20"/>
                <w:szCs w:val="20"/>
                <w:color w:val="auto"/>
              </w:rPr>
            </w:pPr>
            <w:r>
              <w:rPr>
                <w:rFonts w:ascii="Arial" w:cs="Arial" w:eastAsia="Arial" w:hAnsi="Arial"/>
                <w:sz w:val="14"/>
                <w:szCs w:val="14"/>
                <w:color w:val="auto"/>
                <w:w w:val="99"/>
              </w:rPr>
              <w:t>Sierra Hamilton Holdings Corporation</w:t>
            </w:r>
          </w:p>
        </w:tc>
        <w:tc>
          <w:tcPr>
            <w:tcW w:w="4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Oil &amp; Gas Engineering and</w:t>
            </w:r>
          </w:p>
        </w:tc>
        <w:tc>
          <w:tcPr>
            <w:tcW w:w="0" w:type="dxa"/>
            <w:vAlign w:val="bottom"/>
          </w:tcPr>
          <w:p>
            <w:pPr>
              <w:spacing w:after="0"/>
              <w:rPr>
                <w:sz w:val="1"/>
                <w:szCs w:val="1"/>
                <w:color w:val="auto"/>
              </w:rPr>
            </w:pPr>
          </w:p>
        </w:tc>
      </w:tr>
      <w:tr>
        <w:trPr>
          <w:trHeight w:val="182"/>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Consulting Services</w:t>
            </w:r>
          </w:p>
        </w:tc>
        <w:tc>
          <w:tcPr>
            <w:tcW w:w="0" w:type="dxa"/>
            <w:vAlign w:val="bottom"/>
          </w:tcPr>
          <w:p>
            <w:pPr>
              <w:spacing w:after="0"/>
              <w:rPr>
                <w:sz w:val="1"/>
                <w:szCs w:val="1"/>
                <w:color w:val="auto"/>
              </w:rPr>
            </w:pPr>
          </w:p>
        </w:tc>
      </w:tr>
      <w:tr>
        <w:trPr>
          <w:trHeight w:val="324"/>
        </w:trPr>
        <w:tc>
          <w:tcPr>
            <w:tcW w:w="2340" w:type="dxa"/>
            <w:vAlign w:val="bottom"/>
          </w:tcPr>
          <w:p>
            <w:pPr>
              <w:ind w:left="20"/>
              <w:spacing w:after="0"/>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w w:val="98"/>
              </w:rPr>
              <w:t>Automotive Chemicals &amp; Lubricants</w:t>
            </w:r>
          </w:p>
        </w:tc>
        <w:tc>
          <w:tcPr>
            <w:tcW w:w="0" w:type="dxa"/>
            <w:vAlign w:val="bottom"/>
          </w:tcPr>
          <w:p>
            <w:pPr>
              <w:spacing w:after="0"/>
              <w:rPr>
                <w:sz w:val="1"/>
                <w:szCs w:val="1"/>
                <w:color w:val="auto"/>
              </w:rPr>
            </w:pPr>
          </w:p>
        </w:tc>
      </w:tr>
      <w:tr>
        <w:trPr>
          <w:trHeight w:val="290"/>
        </w:trPr>
        <w:tc>
          <w:tcPr>
            <w:tcW w:w="2340" w:type="dxa"/>
            <w:vAlign w:val="bottom"/>
          </w:tcPr>
          <w:p>
            <w:pPr>
              <w:ind w:left="20"/>
              <w:spacing w:after="0"/>
              <w:rPr>
                <w:sz w:val="20"/>
                <w:szCs w:val="20"/>
                <w:color w:val="auto"/>
              </w:rPr>
            </w:pPr>
            <w:r>
              <w:rPr>
                <w:rFonts w:ascii="Arial" w:cs="Arial" w:eastAsia="Arial" w:hAnsi="Arial"/>
                <w:sz w:val="14"/>
                <w:szCs w:val="14"/>
                <w:color w:val="auto"/>
                <w:w w:val="93"/>
              </w:rPr>
              <w:t>STX Healthcare Management Services,</w:t>
            </w: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40" w:type="dxa"/>
            <w:vAlign w:val="bottom"/>
          </w:tcPr>
          <w:p>
            <w:pPr>
              <w:ind w:left="20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Dental Practice Management</w:t>
            </w:r>
          </w:p>
        </w:tc>
        <w:tc>
          <w:tcPr>
            <w:tcW w:w="0" w:type="dxa"/>
            <w:vAlign w:val="bottom"/>
          </w:tcPr>
          <w:p>
            <w:pPr>
              <w:spacing w:after="0"/>
              <w:rPr>
                <w:sz w:val="1"/>
                <w:szCs w:val="1"/>
                <w:color w:val="auto"/>
              </w:rPr>
            </w:pPr>
          </w:p>
        </w:tc>
      </w:tr>
      <w:tr>
        <w:trPr>
          <w:trHeight w:val="324"/>
        </w:trPr>
        <w:tc>
          <w:tcPr>
            <w:tcW w:w="2340" w:type="dxa"/>
            <w:vAlign w:val="bottom"/>
          </w:tcPr>
          <w:p>
            <w:pPr>
              <w:ind w:left="20"/>
              <w:spacing w:after="0"/>
              <w:rPr>
                <w:sz w:val="20"/>
                <w:szCs w:val="20"/>
                <w:color w:val="auto"/>
              </w:rPr>
            </w:pPr>
            <w:r>
              <w:rPr>
                <w:rFonts w:ascii="Arial" w:cs="Arial" w:eastAsia="Arial" w:hAnsi="Arial"/>
                <w:sz w:val="14"/>
                <w:szCs w:val="14"/>
                <w:color w:val="auto"/>
              </w:rPr>
              <w:t>U.S. Well Services, LLC</w:t>
            </w: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U.S. Well Services, LLC</w:t>
            </w:r>
          </w:p>
        </w:tc>
        <w:tc>
          <w:tcPr>
            <w:tcW w:w="4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0" w:type="dxa"/>
            <w:vAlign w:val="bottom"/>
          </w:tcPr>
          <w:p>
            <w:pPr>
              <w:spacing w:after="0"/>
              <w:rPr>
                <w:sz w:val="1"/>
                <w:szCs w:val="1"/>
                <w:color w:val="auto"/>
              </w:rPr>
            </w:pPr>
          </w:p>
        </w:tc>
      </w:tr>
      <w:tr>
        <w:trPr>
          <w:trHeight w:val="149"/>
        </w:trPr>
        <w:tc>
          <w:tcPr>
            <w:tcW w:w="2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0" w:type="dxa"/>
            <w:vAlign w:val="bottom"/>
          </w:tcPr>
          <w:p>
            <w:pPr>
              <w:spacing w:after="0"/>
              <w:rPr>
                <w:sz w:val="1"/>
                <w:szCs w:val="1"/>
                <w:color w:val="auto"/>
              </w:rPr>
            </w:pP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U.S. Well Services, LLC</w:t>
            </w: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Oil &amp; Gas Services</w:t>
            </w:r>
          </w:p>
        </w:tc>
        <w:tc>
          <w:tcPr>
            <w:tcW w:w="0" w:type="dxa"/>
            <w:vAlign w:val="bottom"/>
          </w:tcPr>
          <w:p>
            <w:pPr>
              <w:spacing w:after="0"/>
              <w:rPr>
                <w:sz w:val="1"/>
                <w:szCs w:val="1"/>
                <w:color w:val="auto"/>
              </w:rPr>
            </w:pPr>
          </w:p>
        </w:tc>
      </w:tr>
      <w:tr>
        <w:trPr>
          <w:trHeight w:val="182"/>
        </w:trPr>
        <w:tc>
          <w:tcPr>
            <w:tcW w:w="2340" w:type="dxa"/>
            <w:vAlign w:val="bottom"/>
          </w:tcPr>
          <w:p>
            <w:pPr>
              <w:ind w:left="20"/>
              <w:spacing w:after="0"/>
              <w:rPr>
                <w:sz w:val="20"/>
                <w:szCs w:val="20"/>
                <w:color w:val="auto"/>
              </w:rPr>
            </w:pPr>
            <w:r>
              <w:rPr>
                <w:rFonts w:ascii="Arial" w:cs="Arial" w:eastAsia="Arial" w:hAnsi="Arial"/>
                <w:sz w:val="14"/>
                <w:szCs w:val="14"/>
                <w:color w:val="auto"/>
              </w:rPr>
              <w:t>U.S. Well Services, LLC</w:t>
            </w: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0" w:type="dxa"/>
            <w:vAlign w:val="bottom"/>
          </w:tcPr>
          <w:p>
            <w:pPr>
              <w:spacing w:after="0"/>
              <w:rPr>
                <w:sz w:val="1"/>
                <w:szCs w:val="1"/>
                <w:color w:val="auto"/>
              </w:rPr>
            </w:pPr>
          </w:p>
        </w:tc>
      </w:tr>
      <w:tr>
        <w:trPr>
          <w:trHeight w:val="365"/>
        </w:trPr>
        <w:tc>
          <w:tcPr>
            <w:tcW w:w="2340" w:type="dxa"/>
            <w:vAlign w:val="bottom"/>
          </w:tcPr>
          <w:p>
            <w:pPr>
              <w:ind w:left="20"/>
              <w:spacing w:after="0"/>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w w:val="97"/>
              </w:rPr>
              <w:t>Data Processing &amp; Digital Marketing</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Sub Total Affiliate investments – United States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Control investments – 48.5%</w:t>
      </w:r>
    </w:p>
    <w:p>
      <w:pPr>
        <w:ind w:left="20"/>
        <w:spacing w:after="0" w:line="226" w:lineRule="auto"/>
        <w:rPr>
          <w:sz w:val="20"/>
          <w:szCs w:val="20"/>
          <w:color w:val="auto"/>
        </w:rPr>
      </w:pPr>
      <w:r>
        <w:rPr>
          <w:rFonts w:ascii="Arial" w:cs="Arial" w:eastAsia="Arial" w:hAnsi="Arial"/>
          <w:sz w:val="14"/>
          <w:szCs w:val="14"/>
          <w:b w:val="1"/>
          <w:bCs w:val="1"/>
          <w:color w:val="auto"/>
        </w:rPr>
        <w:t>Control investments – United States</w:t>
      </w:r>
    </w:p>
    <w:p>
      <w:pPr>
        <w:ind w:left="20"/>
        <w:spacing w:after="0" w:line="222" w:lineRule="auto"/>
        <w:rPr>
          <w:sz w:val="20"/>
          <w:szCs w:val="20"/>
          <w:color w:val="auto"/>
        </w:rPr>
      </w:pPr>
      <w:r>
        <w:rPr>
          <w:rFonts w:ascii="Arial" w:cs="Arial" w:eastAsia="Arial" w:hAnsi="Arial"/>
          <w:sz w:val="14"/>
          <w:szCs w:val="14"/>
          <w:color w:val="auto"/>
        </w:rPr>
        <w:t>CableOrganizer Acquisition, LLC</w:t>
      </w:r>
    </w:p>
    <w:p>
      <w:pPr>
        <w:ind w:left="2460"/>
        <w:spacing w:after="0" w:line="221" w:lineRule="auto"/>
        <w:rPr>
          <w:sz w:val="20"/>
          <w:szCs w:val="20"/>
          <w:color w:val="auto"/>
        </w:rPr>
      </w:pPr>
      <w:r>
        <w:rPr>
          <w:rFonts w:ascii="Arial" w:cs="Arial" w:eastAsia="Arial" w:hAnsi="Arial"/>
          <w:sz w:val="14"/>
          <w:szCs w:val="14"/>
          <w:color w:val="auto"/>
        </w:rPr>
        <w:t>Computer Supply Retail</w:t>
      </w:r>
    </w:p>
    <w:p>
      <w:pPr>
        <w:ind w:left="20"/>
        <w:spacing w:after="0" w:line="222" w:lineRule="auto"/>
        <w:rPr>
          <w:sz w:val="20"/>
          <w:szCs w:val="20"/>
          <w:color w:val="auto"/>
        </w:rPr>
      </w:pPr>
      <w:r>
        <w:rPr>
          <w:rFonts w:ascii="Arial" w:cs="Arial" w:eastAsia="Arial" w:hAnsi="Arial"/>
          <w:sz w:val="14"/>
          <w:szCs w:val="14"/>
          <w:color w:val="auto"/>
        </w:rPr>
        <w:t>CableOrganizer Acquisition, LLC</w:t>
      </w:r>
    </w:p>
    <w:p>
      <w:pPr>
        <w:ind w:left="2460"/>
        <w:spacing w:after="0" w:line="221" w:lineRule="auto"/>
        <w:rPr>
          <w:sz w:val="20"/>
          <w:szCs w:val="20"/>
          <w:color w:val="auto"/>
        </w:rPr>
      </w:pPr>
      <w:r>
        <w:rPr>
          <w:rFonts w:ascii="Arial" w:cs="Arial" w:eastAsia="Arial" w:hAnsi="Arial"/>
          <w:sz w:val="14"/>
          <w:szCs w:val="14"/>
          <w:color w:val="auto"/>
        </w:rPr>
        <w:t>Computer Supply Retail</w:t>
      </w:r>
    </w:p>
    <w:p>
      <w:pPr>
        <w:ind w:left="20"/>
        <w:spacing w:after="0" w:line="222" w:lineRule="auto"/>
        <w:rPr>
          <w:sz w:val="20"/>
          <w:szCs w:val="20"/>
          <w:color w:val="auto"/>
        </w:rPr>
      </w:pPr>
      <w:r>
        <w:rPr>
          <w:rFonts w:ascii="Arial" w:cs="Arial" w:eastAsia="Arial" w:hAnsi="Arial"/>
          <w:sz w:val="14"/>
          <w:szCs w:val="14"/>
          <w:color w:val="auto"/>
        </w:rPr>
        <w:t>CableOrganizer Acquisition, LLC</w:t>
      </w:r>
    </w:p>
    <w:tbl>
      <w:tblPr>
        <w:tblLayout w:type="fixed"/>
        <w:tblInd w:w="20" w:type="dxa"/>
        <w:tblCellMar>
          <w:top w:w="0" w:type="dxa"/>
          <w:left w:w="0" w:type="dxa"/>
          <w:bottom w:w="0" w:type="dxa"/>
          <w:right w:w="0" w:type="dxa"/>
        </w:tblCellMar>
      </w:tblPr>
      <w:tr>
        <w:trPr>
          <w:trHeight w:val="182"/>
        </w:trPr>
        <w:tc>
          <w:tcPr>
            <w:tcW w:w="2120" w:type="dxa"/>
            <w:vAlign w:val="bottom"/>
          </w:tcPr>
          <w:p>
            <w:pPr>
              <w:spacing w:after="0"/>
              <w:rPr>
                <w:sz w:val="15"/>
                <w:szCs w:val="15"/>
                <w:color w:val="auto"/>
              </w:rPr>
            </w:pPr>
          </w:p>
        </w:tc>
        <w:tc>
          <w:tcPr>
            <w:tcW w:w="1720" w:type="dxa"/>
            <w:vAlign w:val="bottom"/>
          </w:tcPr>
          <w:p>
            <w:pPr>
              <w:ind w:left="320"/>
              <w:spacing w:after="0"/>
              <w:rPr>
                <w:sz w:val="20"/>
                <w:szCs w:val="20"/>
                <w:color w:val="auto"/>
              </w:rPr>
            </w:pPr>
            <w:r>
              <w:rPr>
                <w:rFonts w:ascii="Arial" w:cs="Arial" w:eastAsia="Arial" w:hAnsi="Arial"/>
                <w:sz w:val="14"/>
                <w:szCs w:val="14"/>
                <w:color w:val="auto"/>
                <w:w w:val="93"/>
              </w:rPr>
              <w:t>Computer Supply Retail</w:t>
            </w:r>
          </w:p>
        </w:tc>
        <w:tc>
          <w:tcPr>
            <w:tcW w:w="0" w:type="dxa"/>
            <w:vAlign w:val="bottom"/>
          </w:tcPr>
          <w:p>
            <w:pPr>
              <w:spacing w:after="0"/>
              <w:rPr>
                <w:sz w:val="1"/>
                <w:szCs w:val="1"/>
                <w:color w:val="auto"/>
              </w:rPr>
            </w:pPr>
          </w:p>
        </w:tc>
      </w:tr>
      <w:tr>
        <w:trPr>
          <w:trHeight w:val="312"/>
        </w:trPr>
        <w:tc>
          <w:tcPr>
            <w:tcW w:w="2120" w:type="dxa"/>
            <w:vAlign w:val="bottom"/>
          </w:tcPr>
          <w:p>
            <w:pPr>
              <w:spacing w:after="0"/>
              <w:rPr>
                <w:sz w:val="20"/>
                <w:szCs w:val="20"/>
                <w:color w:val="auto"/>
              </w:rPr>
            </w:pPr>
            <w:r>
              <w:rPr>
                <w:rFonts w:ascii="Arial" w:cs="Arial" w:eastAsia="Arial" w:hAnsi="Arial"/>
                <w:sz w:val="14"/>
                <w:szCs w:val="14"/>
                <w:color w:val="auto"/>
              </w:rPr>
              <w:t>Eastport Holdings, LLC</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20" w:type="dxa"/>
            <w:vAlign w:val="bottom"/>
            <w:vMerge w:val="restart"/>
          </w:tcPr>
          <w:p>
            <w:pPr>
              <w:spacing w:after="0"/>
              <w:rPr>
                <w:sz w:val="20"/>
                <w:szCs w:val="20"/>
                <w:color w:val="auto"/>
              </w:rPr>
            </w:pPr>
            <w:r>
              <w:rPr>
                <w:rFonts w:ascii="Arial" w:cs="Arial" w:eastAsia="Arial" w:hAnsi="Arial"/>
                <w:sz w:val="14"/>
                <w:szCs w:val="14"/>
                <w:color w:val="auto"/>
              </w:rPr>
              <w:t>Eastport Holdings, LLC</w:t>
            </w:r>
          </w:p>
        </w:tc>
        <w:tc>
          <w:tcPr>
            <w:tcW w:w="1720" w:type="dxa"/>
            <w:vAlign w:val="bottom"/>
          </w:tcPr>
          <w:p>
            <w:pPr>
              <w:ind w:left="320"/>
              <w:spacing w:after="0"/>
              <w:rPr>
                <w:sz w:val="20"/>
                <w:szCs w:val="20"/>
                <w:color w:val="auto"/>
              </w:rPr>
            </w:pPr>
            <w:r>
              <w:rPr>
                <w:rFonts w:ascii="Arial" w:cs="Arial" w:eastAsia="Arial" w:hAnsi="Arial"/>
                <w:sz w:val="14"/>
                <w:szCs w:val="14"/>
                <w:color w:val="auto"/>
              </w:rPr>
              <w:t>Business Services</w:t>
            </w:r>
          </w:p>
        </w:tc>
        <w:tc>
          <w:tcPr>
            <w:tcW w:w="0" w:type="dxa"/>
            <w:vAlign w:val="bottom"/>
          </w:tcPr>
          <w:p>
            <w:pPr>
              <w:spacing w:after="0"/>
              <w:rPr>
                <w:sz w:val="1"/>
                <w:szCs w:val="1"/>
                <w:color w:val="auto"/>
              </w:rPr>
            </w:pPr>
          </w:p>
        </w:tc>
      </w:tr>
      <w:tr>
        <w:trPr>
          <w:trHeight w:val="149"/>
        </w:trPr>
        <w:tc>
          <w:tcPr>
            <w:tcW w:w="21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720" w:type="dxa"/>
            <w:vAlign w:val="bottom"/>
          </w:tcPr>
          <w:p>
            <w:pPr>
              <w:ind w:left="320"/>
              <w:spacing w:after="0"/>
              <w:rPr>
                <w:sz w:val="20"/>
                <w:szCs w:val="20"/>
                <w:color w:val="auto"/>
              </w:rPr>
            </w:pPr>
            <w:r>
              <w:rPr>
                <w:rFonts w:ascii="Arial" w:cs="Arial" w:eastAsia="Arial" w:hAnsi="Arial"/>
                <w:sz w:val="14"/>
                <w:szCs w:val="14"/>
                <w:color w:val="auto"/>
              </w:rPr>
              <w:t>Business Services</w:t>
            </w:r>
          </w:p>
        </w:tc>
        <w:tc>
          <w:tcPr>
            <w:tcW w:w="0" w:type="dxa"/>
            <w:vAlign w:val="bottom"/>
          </w:tcPr>
          <w:p>
            <w:pPr>
              <w:spacing w:after="0"/>
              <w:rPr>
                <w:sz w:val="1"/>
                <w:szCs w:val="1"/>
                <w:color w:val="auto"/>
              </w:rPr>
            </w:pPr>
          </w:p>
        </w:tc>
      </w:tr>
      <w:tr>
        <w:trPr>
          <w:trHeight w:val="324"/>
        </w:trPr>
        <w:tc>
          <w:tcPr>
            <w:tcW w:w="2120" w:type="dxa"/>
            <w:vAlign w:val="bottom"/>
          </w:tcPr>
          <w:p>
            <w:pPr>
              <w:spacing w:after="0"/>
              <w:rPr>
                <w:sz w:val="20"/>
                <w:szCs w:val="20"/>
                <w:color w:val="auto"/>
              </w:rPr>
            </w:pPr>
            <w:r>
              <w:rPr>
                <w:rFonts w:ascii="Arial" w:cs="Arial" w:eastAsia="Arial" w:hAnsi="Arial"/>
                <w:sz w:val="14"/>
                <w:szCs w:val="14"/>
                <w:color w:val="auto"/>
              </w:rPr>
              <w:t>Kelle’s Transport Service, LLC</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20" w:type="dxa"/>
            <w:vAlign w:val="bottom"/>
            <w:vMerge w:val="restart"/>
          </w:tcPr>
          <w:p>
            <w:pPr>
              <w:spacing w:after="0"/>
              <w:rPr>
                <w:sz w:val="20"/>
                <w:szCs w:val="20"/>
                <w:color w:val="auto"/>
              </w:rPr>
            </w:pPr>
            <w:r>
              <w:rPr>
                <w:rFonts w:ascii="Arial" w:cs="Arial" w:eastAsia="Arial" w:hAnsi="Arial"/>
                <w:sz w:val="14"/>
                <w:szCs w:val="14"/>
                <w:color w:val="auto"/>
              </w:rPr>
              <w:t>Kelle’s Transport Service, LLC</w:t>
            </w:r>
          </w:p>
        </w:tc>
        <w:tc>
          <w:tcPr>
            <w:tcW w:w="1720" w:type="dxa"/>
            <w:vAlign w:val="bottom"/>
          </w:tcPr>
          <w:p>
            <w:pPr>
              <w:ind w:left="320"/>
              <w:spacing w:after="0"/>
              <w:rPr>
                <w:sz w:val="20"/>
                <w:szCs w:val="20"/>
                <w:color w:val="auto"/>
              </w:rPr>
            </w:pPr>
            <w:r>
              <w:rPr>
                <w:rFonts w:ascii="Arial" w:cs="Arial" w:eastAsia="Arial" w:hAnsi="Arial"/>
                <w:sz w:val="14"/>
                <w:szCs w:val="14"/>
                <w:color w:val="auto"/>
              </w:rPr>
              <w:t>Transportation</w:t>
            </w:r>
          </w:p>
        </w:tc>
        <w:tc>
          <w:tcPr>
            <w:tcW w:w="0" w:type="dxa"/>
            <w:vAlign w:val="bottom"/>
          </w:tcPr>
          <w:p>
            <w:pPr>
              <w:spacing w:after="0"/>
              <w:rPr>
                <w:sz w:val="1"/>
                <w:szCs w:val="1"/>
                <w:color w:val="auto"/>
              </w:rPr>
            </w:pPr>
          </w:p>
        </w:tc>
      </w:tr>
      <w:tr>
        <w:trPr>
          <w:trHeight w:val="149"/>
        </w:trPr>
        <w:tc>
          <w:tcPr>
            <w:tcW w:w="21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20" w:type="dxa"/>
            <w:vAlign w:val="bottom"/>
            <w:vMerge w:val="restart"/>
          </w:tcPr>
          <w:p>
            <w:pPr>
              <w:spacing w:after="0"/>
              <w:rPr>
                <w:sz w:val="20"/>
                <w:szCs w:val="20"/>
                <w:color w:val="auto"/>
              </w:rPr>
            </w:pPr>
            <w:r>
              <w:rPr>
                <w:rFonts w:ascii="Arial" w:cs="Arial" w:eastAsia="Arial" w:hAnsi="Arial"/>
                <w:sz w:val="14"/>
                <w:szCs w:val="14"/>
                <w:color w:val="auto"/>
              </w:rPr>
              <w:t>Kelle’s Transport Service, LLC</w:t>
            </w:r>
          </w:p>
        </w:tc>
        <w:tc>
          <w:tcPr>
            <w:tcW w:w="1720" w:type="dxa"/>
            <w:vAlign w:val="bottom"/>
          </w:tcPr>
          <w:p>
            <w:pPr>
              <w:ind w:left="320"/>
              <w:spacing w:after="0"/>
              <w:rPr>
                <w:sz w:val="20"/>
                <w:szCs w:val="20"/>
                <w:color w:val="auto"/>
              </w:rPr>
            </w:pPr>
            <w:r>
              <w:rPr>
                <w:rFonts w:ascii="Arial" w:cs="Arial" w:eastAsia="Arial" w:hAnsi="Arial"/>
                <w:sz w:val="14"/>
                <w:szCs w:val="14"/>
                <w:color w:val="auto"/>
              </w:rPr>
              <w:t>Transportation</w:t>
            </w:r>
          </w:p>
        </w:tc>
        <w:tc>
          <w:tcPr>
            <w:tcW w:w="0" w:type="dxa"/>
            <w:vAlign w:val="bottom"/>
          </w:tcPr>
          <w:p>
            <w:pPr>
              <w:spacing w:after="0"/>
              <w:rPr>
                <w:sz w:val="1"/>
                <w:szCs w:val="1"/>
                <w:color w:val="auto"/>
              </w:rPr>
            </w:pPr>
          </w:p>
        </w:tc>
      </w:tr>
      <w:tr>
        <w:trPr>
          <w:trHeight w:val="149"/>
        </w:trPr>
        <w:tc>
          <w:tcPr>
            <w:tcW w:w="2120" w:type="dxa"/>
            <w:vAlign w:val="bottom"/>
            <w:vMerge w:val="continue"/>
          </w:tcPr>
          <w:p>
            <w:pPr>
              <w:spacing w:after="0"/>
              <w:rPr>
                <w:sz w:val="12"/>
                <w:szCs w:val="12"/>
                <w:color w:val="auto"/>
              </w:rPr>
            </w:pPr>
          </w:p>
        </w:tc>
        <w:tc>
          <w:tcPr>
            <w:tcW w:w="1720" w:type="dxa"/>
            <w:vAlign w:val="bottom"/>
            <w:vMerge w:val="restart"/>
          </w:tcPr>
          <w:p>
            <w:pPr>
              <w:ind w:left="320"/>
              <w:spacing w:after="0"/>
              <w:rPr>
                <w:sz w:val="20"/>
                <w:szCs w:val="20"/>
                <w:color w:val="auto"/>
              </w:rPr>
            </w:pPr>
            <w:r>
              <w:rPr>
                <w:rFonts w:ascii="Arial" w:cs="Arial" w:eastAsia="Arial" w:hAnsi="Arial"/>
                <w:sz w:val="14"/>
                <w:szCs w:val="14"/>
                <w:color w:val="auto"/>
              </w:rPr>
              <w:t>Transportation</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120" w:type="dxa"/>
            <w:vAlign w:val="bottom"/>
          </w:tcPr>
          <w:p>
            <w:pPr>
              <w:spacing w:after="0"/>
              <w:rPr>
                <w:sz w:val="20"/>
                <w:szCs w:val="20"/>
                <w:color w:val="auto"/>
              </w:rPr>
            </w:pPr>
            <w:r>
              <w:rPr>
                <w:rFonts w:ascii="Arial" w:cs="Arial" w:eastAsia="Arial" w:hAnsi="Arial"/>
                <w:sz w:val="14"/>
                <w:szCs w:val="14"/>
                <w:color w:val="auto"/>
              </w:rPr>
              <w:t>Micro Precision, LLC</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20" w:type="dxa"/>
            <w:vAlign w:val="bottom"/>
            <w:vMerge w:val="restart"/>
          </w:tcPr>
          <w:p>
            <w:pPr>
              <w:spacing w:after="0"/>
              <w:rPr>
                <w:sz w:val="20"/>
                <w:szCs w:val="20"/>
                <w:color w:val="auto"/>
              </w:rPr>
            </w:pPr>
            <w:r>
              <w:rPr>
                <w:rFonts w:ascii="Arial" w:cs="Arial" w:eastAsia="Arial" w:hAnsi="Arial"/>
                <w:sz w:val="14"/>
                <w:szCs w:val="14"/>
                <w:color w:val="auto"/>
              </w:rPr>
              <w:t>Micro Precision, LLC</w:t>
            </w:r>
          </w:p>
        </w:tc>
        <w:tc>
          <w:tcPr>
            <w:tcW w:w="1720" w:type="dxa"/>
            <w:vAlign w:val="bottom"/>
          </w:tcPr>
          <w:p>
            <w:pPr>
              <w:ind w:left="320"/>
              <w:spacing w:after="0"/>
              <w:rPr>
                <w:sz w:val="20"/>
                <w:szCs w:val="20"/>
                <w:color w:val="auto"/>
              </w:rPr>
            </w:pPr>
            <w:r>
              <w:rPr>
                <w:rFonts w:ascii="Arial" w:cs="Arial" w:eastAsia="Arial" w:hAnsi="Arial"/>
                <w:sz w:val="14"/>
                <w:szCs w:val="14"/>
                <w:color w:val="auto"/>
              </w:rPr>
              <w:t>Conglomerate</w:t>
            </w:r>
          </w:p>
        </w:tc>
        <w:tc>
          <w:tcPr>
            <w:tcW w:w="0" w:type="dxa"/>
            <w:vAlign w:val="bottom"/>
          </w:tcPr>
          <w:p>
            <w:pPr>
              <w:spacing w:after="0"/>
              <w:rPr>
                <w:sz w:val="1"/>
                <w:szCs w:val="1"/>
                <w:color w:val="auto"/>
              </w:rPr>
            </w:pPr>
          </w:p>
        </w:tc>
      </w:tr>
      <w:tr>
        <w:trPr>
          <w:trHeight w:val="149"/>
        </w:trPr>
        <w:tc>
          <w:tcPr>
            <w:tcW w:w="21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rPr>
                <w:sz w:val="13"/>
                <w:szCs w:val="13"/>
                <w:color w:val="auto"/>
              </w:rPr>
            </w:pPr>
          </w:p>
        </w:tc>
        <w:tc>
          <w:tcPr>
            <w:tcW w:w="1720" w:type="dxa"/>
            <w:vAlign w:val="bottom"/>
          </w:tcPr>
          <w:p>
            <w:pPr>
              <w:ind w:left="320"/>
              <w:spacing w:after="0" w:line="155" w:lineRule="exact"/>
              <w:rPr>
                <w:sz w:val="20"/>
                <w:szCs w:val="20"/>
                <w:color w:val="auto"/>
              </w:rPr>
            </w:pPr>
            <w:r>
              <w:rPr>
                <w:rFonts w:ascii="Arial" w:cs="Arial" w:eastAsia="Arial" w:hAnsi="Arial"/>
                <w:sz w:val="14"/>
                <w:szCs w:val="14"/>
                <w:color w:val="auto"/>
              </w:rPr>
              <w:t>Conglomerate</w:t>
            </w:r>
          </w:p>
        </w:tc>
        <w:tc>
          <w:tcPr>
            <w:tcW w:w="0" w:type="dxa"/>
            <w:vAlign w:val="bottom"/>
          </w:tcPr>
          <w:p>
            <w:pPr>
              <w:spacing w:after="0"/>
              <w:rPr>
                <w:sz w:val="1"/>
                <w:szCs w:val="1"/>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Micro Precision, LLC</w:t>
            </w:r>
          </w:p>
        </w:tc>
        <w:tc>
          <w:tcPr>
            <w:tcW w:w="1720" w:type="dxa"/>
            <w:vAlign w:val="bottom"/>
          </w:tcPr>
          <w:p>
            <w:pPr>
              <w:ind w:left="320"/>
              <w:spacing w:after="0"/>
              <w:rPr>
                <w:sz w:val="20"/>
                <w:szCs w:val="20"/>
                <w:color w:val="auto"/>
              </w:rPr>
            </w:pPr>
            <w:r>
              <w:rPr>
                <w:rFonts w:ascii="Arial" w:cs="Arial" w:eastAsia="Arial" w:hAnsi="Arial"/>
                <w:sz w:val="14"/>
                <w:szCs w:val="14"/>
                <w:color w:val="auto"/>
              </w:rPr>
              <w:t>Conglomerate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53"/>
        </w:trPr>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23"/>
        </w:trPr>
        <w:tc>
          <w:tcPr>
            <w:tcW w:w="2180" w:type="dxa"/>
            <w:vAlign w:val="bottom"/>
          </w:tcPr>
          <w:p>
            <w:pPr>
              <w:ind w:left="100"/>
              <w:spacing w:after="0" w:line="123" w:lineRule="exact"/>
              <w:rPr>
                <w:sz w:val="20"/>
                <w:szCs w:val="20"/>
                <w:color w:val="auto"/>
              </w:rPr>
            </w:pPr>
            <w:r>
              <w:rPr>
                <w:rFonts w:ascii="Arial" w:cs="Arial" w:eastAsia="Arial" w:hAnsi="Arial"/>
                <w:sz w:val="14"/>
                <w:szCs w:val="14"/>
                <w:color w:val="auto"/>
              </w:rPr>
              <w:t>Common Membership Units (45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193</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Membership Units (2,000,000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(15,068,000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6,958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8,528</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Membership Units (11.3%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8,528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ownership)</w:t>
            </w:r>
            <w:r>
              <w:rPr>
                <w:rFonts w:ascii="Arial" w:cs="Arial" w:eastAsia="Arial" w:hAnsi="Arial"/>
                <w:sz w:val="22"/>
                <w:szCs w:val="22"/>
                <w:color w:val="auto"/>
                <w:vertAlign w:val="superscript"/>
              </w:rPr>
              <w:t>(14)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101</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(1,200,000 shares)</w:t>
            </w:r>
            <w:r>
              <w:rPr>
                <w:rFonts w:ascii="Arial" w:cs="Arial" w:eastAsia="Arial" w:hAnsi="Arial"/>
                <w:sz w:val="22"/>
                <w:szCs w:val="22"/>
                <w:color w:val="auto"/>
                <w:vertAlign w:val="superscript"/>
              </w:rPr>
              <w:t>(14)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93</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(7.35% Cash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month LIBOR + 6%, 1% floor),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2/2/22)</w:t>
            </w:r>
            <w:r>
              <w:rPr>
                <w:rFonts w:ascii="Arial" w:cs="Arial" w:eastAsia="Arial" w:hAnsi="Arial"/>
                <w:sz w:val="20"/>
                <w:szCs w:val="20"/>
                <w:color w:val="auto"/>
                <w:vertAlign w:val="superscript"/>
              </w:rPr>
              <w:t>(15)</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2,299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2,299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2,299</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(12.35% PIK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+ 11%, 1% floor),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2/2/22)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9,516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9,516</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Class A Units (5,680,688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6,259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15,004</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Class B Units (2,076,298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955</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w:t>
            </w:r>
            <w:r>
              <w:rPr>
                <w:rFonts w:ascii="Arial" w:cs="Arial" w:eastAsia="Arial" w:hAnsi="Arial"/>
                <w:sz w:val="23"/>
                <w:szCs w:val="23"/>
                <w:color w:val="auto"/>
                <w:vertAlign w:val="superscript"/>
              </w:rPr>
              <w:t>(19)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27,774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3"/>
        </w:trPr>
        <w:tc>
          <w:tcPr>
            <w:tcW w:w="2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813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1,035</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0.5</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77,336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103,957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46.8</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 4%</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2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PIK, Due 5/24/18)</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12,373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12,373</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12,373</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(21.3% fully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diluted)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1,394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Subordinated Debt (14.49%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13,767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12,551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(3 month LIBOR + 13%, 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Floor), Due 4/29/20)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14,738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16,500</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Membership Units (33.3%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ownership)</w:t>
            </w:r>
            <w:r>
              <w:rPr>
                <w:rFonts w:ascii="Arial" w:cs="Arial" w:eastAsia="Arial" w:hAnsi="Arial"/>
                <w:sz w:val="22"/>
                <w:szCs w:val="22"/>
                <w:color w:val="auto"/>
                <w:vertAlign w:val="superscript"/>
              </w:rPr>
              <w:t>(16)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4,733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26,449</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(4% Cash,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19,471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42,949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19.3</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2/15/20)</w:t>
            </w:r>
            <w:r>
              <w:rPr>
                <w:rFonts w:ascii="Arial" w:cs="Arial" w:eastAsia="Arial" w:hAnsi="Arial"/>
                <w:sz w:val="20"/>
                <w:szCs w:val="20"/>
                <w:color w:val="auto"/>
                <w:vertAlign w:val="superscript"/>
              </w:rPr>
              <w:t>(17)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2,000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8"/>
              </w:rPr>
              <w:t>First Lien Debt (1.46% Cash, Due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2/15/20)</w:t>
            </w:r>
            <w:r>
              <w:rPr>
                <w:rFonts w:ascii="Arial" w:cs="Arial" w:eastAsia="Arial" w:hAnsi="Arial"/>
                <w:sz w:val="20"/>
                <w:szCs w:val="20"/>
                <w:color w:val="auto"/>
                <w:vertAlign w:val="superscript"/>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13,674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13,669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9,560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(27.5% fully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11,560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9/15/18)</w:t>
            </w:r>
            <w:r>
              <w:rPr>
                <w:rFonts w:ascii="Arial" w:cs="Arial" w:eastAsia="Arial" w:hAnsi="Arial"/>
                <w:sz w:val="20"/>
                <w:szCs w:val="20"/>
                <w:color w:val="auto"/>
                <w:vertAlign w:val="superscript"/>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1,862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1,862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1,862</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4"/>
              </w:rPr>
              <w:t>Subordinated Debt (14% Cash, 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Due 9/15/18)</w:t>
            </w:r>
            <w:r>
              <w:rPr>
                <w:rFonts w:ascii="Arial" w:cs="Arial" w:eastAsia="Arial" w:hAnsi="Arial"/>
                <w:sz w:val="20"/>
                <w:szCs w:val="20"/>
                <w:color w:val="auto"/>
                <w:vertAlign w:val="superscript"/>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4,154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4,154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4,154</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w w:val="96"/>
              </w:rPr>
              <w:t>Series A Preferred Units (47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1,629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1,629</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7,645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7,645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r>
              <w:rPr>
                <w:rFonts w:ascii="Arial" w:cs="Arial" w:eastAsia="Arial" w:hAnsi="Arial"/>
                <w:sz w:val="14"/>
                <w:szCs w:val="14"/>
                <w:u w:val="single" w:color="auto"/>
                <w:color w:val="auto"/>
              </w:rPr>
              <w:t>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660" w:space="40"/>
            <w:col w:w="5399"/>
          </w:cols>
          <w:pgMar w:left="360" w:top="792" w:right="1440" w:bottom="1440" w:gutter="0" w:footer="0" w:header="0"/>
          <w:type w:val="continuous"/>
        </w:sect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107" w:name="page108"/>
    <w:bookmarkEnd w:id="10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616585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wp:posOffset>
            </wp:positionV>
            <wp:extent cx="61658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2"/>
              </w:rPr>
              <w:t>Portfolio Company, Country</w:t>
            </w:r>
            <w:r>
              <w:rPr>
                <w:rFonts w:ascii="Arial" w:cs="Arial" w:eastAsia="Arial" w:hAnsi="Arial"/>
                <w:sz w:val="20"/>
                <w:szCs w:val="20"/>
                <w:b w:val="1"/>
                <w:bCs w:val="1"/>
                <w:color w:val="auto"/>
                <w:w w:val="92"/>
                <w:vertAlign w:val="superscript"/>
              </w:rPr>
              <w:t>(1),(2),(3),(4)</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53"/>
        </w:trPr>
        <w:tc>
          <w:tcPr>
            <w:tcW w:w="2340" w:type="dxa"/>
            <w:vAlign w:val="bottom"/>
            <w:tcBorders>
              <w:bottom w:val="single" w:sz="8" w:color="auto"/>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33"/>
        </w:trPr>
        <w:tc>
          <w:tcPr>
            <w:tcW w:w="234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tcPr>
          <w:p>
            <w:pPr>
              <w:ind w:left="100"/>
              <w:spacing w:after="0" w:line="133" w:lineRule="exact"/>
              <w:rPr>
                <w:sz w:val="20"/>
                <w:szCs w:val="20"/>
                <w:color w:val="auto"/>
              </w:rPr>
            </w:pPr>
            <w:r>
              <w:rPr>
                <w:rFonts w:ascii="Arial" w:cs="Arial" w:eastAsia="Arial" w:hAnsi="Arial"/>
                <w:sz w:val="14"/>
                <w:szCs w:val="14"/>
                <w:color w:val="auto"/>
              </w:rPr>
              <w:t>First Lien Debt (15% Cash, Due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2220" w:type="dxa"/>
            <w:vAlign w:val="bottom"/>
            <w:gridSpan w:val="2"/>
          </w:tcPr>
          <w:p>
            <w:pPr>
              <w:ind w:left="140"/>
              <w:spacing w:after="0" w:line="179" w:lineRule="exact"/>
              <w:rPr>
                <w:sz w:val="20"/>
                <w:szCs w:val="20"/>
                <w:color w:val="auto"/>
              </w:rPr>
            </w:pPr>
            <w:r>
              <w:rPr>
                <w:rFonts w:ascii="Arial" w:cs="Arial" w:eastAsia="Arial" w:hAnsi="Arial"/>
                <w:sz w:val="13"/>
                <w:szCs w:val="13"/>
                <w:color w:val="auto"/>
              </w:rPr>
              <w:t>10/30/20)</w:t>
            </w:r>
            <w:r>
              <w:rPr>
                <w:rFonts w:ascii="Arial" w:cs="Arial" w:eastAsia="Arial" w:hAnsi="Arial"/>
                <w:sz w:val="20"/>
                <w:szCs w:val="20"/>
                <w:color w:val="auto"/>
                <w:vertAlign w:val="superscript"/>
              </w:rPr>
              <w:t>(8)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6,500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6,500</w:t>
            </w:r>
          </w:p>
        </w:tc>
        <w:tc>
          <w:tcPr>
            <w:tcW w:w="10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6,500</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8"/>
        </w:trPr>
        <w:tc>
          <w:tcPr>
            <w:tcW w:w="23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Class A Preferred Stock (1,000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shares, 10% Cash Dividend)</w:t>
            </w:r>
            <w:r>
              <w:rPr>
                <w:rFonts w:ascii="Arial" w:cs="Arial" w:eastAsia="Arial" w:hAnsi="Arial"/>
                <w:sz w:val="20"/>
                <w:szCs w:val="20"/>
                <w:color w:val="auto"/>
                <w:vertAlign w:val="superscript"/>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1,000</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(300,000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5,005</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(18%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7,501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12,505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3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12/19/18)</w:t>
            </w:r>
            <w:r>
              <w:rPr>
                <w:rFonts w:ascii="Arial" w:cs="Arial" w:eastAsia="Arial" w:hAnsi="Arial"/>
                <w:sz w:val="20"/>
                <w:szCs w:val="20"/>
                <w:color w:val="auto"/>
                <w:vertAlign w:val="superscript"/>
              </w:rPr>
              <w:t>(7)(8)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14,072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11,020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11,588</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A Preferred Stock (32,782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3,278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B Preferred Stock (23,648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(33,058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Portrait Studio,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(8.56% Cash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16,696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11,588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5.2</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Professional and Personal Digital</w:t>
            </w:r>
          </w:p>
        </w:tc>
        <w:tc>
          <w:tcPr>
            <w:tcW w:w="40" w:type="dxa"/>
            <w:vAlign w:val="bottom"/>
          </w:tcPr>
          <w:p>
            <w:pPr>
              <w:spacing w:after="0"/>
              <w:rPr>
                <w:sz w:val="15"/>
                <w:szCs w:val="15"/>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month LIBOR + 7%, 2% ceiling),</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ind w:left="80"/>
              <w:spacing w:after="0" w:line="157" w:lineRule="exact"/>
              <w:rPr>
                <w:sz w:val="20"/>
                <w:szCs w:val="20"/>
                <w:color w:val="auto"/>
              </w:rPr>
            </w:pPr>
            <w:r>
              <w:rPr>
                <w:rFonts w:ascii="Arial" w:cs="Arial" w:eastAsia="Arial" w:hAnsi="Arial"/>
                <w:sz w:val="14"/>
                <w:szCs w:val="14"/>
                <w:color w:val="auto"/>
              </w:rPr>
              <w:t>Imaging</w:t>
            </w:r>
          </w:p>
        </w:tc>
        <w:tc>
          <w:tcPr>
            <w:tcW w:w="40" w:type="dxa"/>
            <w:vAlign w:val="bottom"/>
          </w:tcPr>
          <w:p>
            <w:pPr>
              <w:spacing w:after="0"/>
              <w:rPr>
                <w:sz w:val="13"/>
                <w:szCs w:val="13"/>
                <w:color w:val="auto"/>
              </w:rPr>
            </w:pPr>
          </w:p>
        </w:tc>
        <w:tc>
          <w:tcPr>
            <w:tcW w:w="2180" w:type="dxa"/>
            <w:vAlign w:val="bottom"/>
          </w:tcPr>
          <w:p>
            <w:pPr>
              <w:ind w:left="100"/>
              <w:spacing w:after="0" w:line="157" w:lineRule="exact"/>
              <w:rPr>
                <w:sz w:val="20"/>
                <w:szCs w:val="20"/>
                <w:color w:val="auto"/>
              </w:rPr>
            </w:pPr>
            <w:r>
              <w:rPr>
                <w:rFonts w:ascii="Arial" w:cs="Arial" w:eastAsia="Arial" w:hAnsi="Arial"/>
                <w:sz w:val="12"/>
                <w:szCs w:val="12"/>
                <w:color w:val="auto"/>
              </w:rPr>
              <w:t>Due 12/31/22)</w:t>
            </w:r>
            <w:r>
              <w:rPr>
                <w:rFonts w:ascii="Arial" w:cs="Arial" w:eastAsia="Arial" w:hAnsi="Arial"/>
                <w:sz w:val="18"/>
                <w:szCs w:val="18"/>
                <w:color w:val="auto"/>
                <w:vertAlign w:val="superscript"/>
              </w:rPr>
              <w:t>(18)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1,860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8"/>
              <w:spacing w:after="0" w:line="157" w:lineRule="exact"/>
              <w:rPr>
                <w:sz w:val="20"/>
                <w:szCs w:val="20"/>
                <w:color w:val="auto"/>
              </w:rPr>
            </w:pPr>
            <w:r>
              <w:rPr>
                <w:rFonts w:ascii="Arial" w:cs="Arial" w:eastAsia="Arial" w:hAnsi="Arial"/>
                <w:sz w:val="14"/>
                <w:szCs w:val="14"/>
                <w:color w:val="auto"/>
              </w:rPr>
              <w:t>1,860</w:t>
            </w:r>
          </w:p>
        </w:tc>
        <w:tc>
          <w:tcPr>
            <w:tcW w:w="680" w:type="dxa"/>
            <w:vAlign w:val="bottom"/>
            <w:gridSpan w:val="3"/>
          </w:tcPr>
          <w:p>
            <w:pPr>
              <w:jc w:val="right"/>
              <w:ind w:right="48"/>
              <w:spacing w:after="0" w:line="157"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Portrait Studio,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(8.56% Cash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Professional and Personal Digital</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 5% ceiling),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Imaging</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12/31/22)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4,500</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Portrait Studio, LLC</w:t>
            </w: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Professional and Personal Digital</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Imaging</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Preferred Units (4,350,000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2,450</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Portrait Studio, LLC</w:t>
            </w: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Professional and Personal Digital</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Imaging</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w w:val="96"/>
              </w:rPr>
              <w:t>Membership Units (150,000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46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Sub Total Control investments – United States</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8,810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8,810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6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89,559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107,608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48.5</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INVESTMENTS – 225.3%</w:t>
            </w: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465,027</w:t>
            </w: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499,939</w:t>
            </w:r>
          </w:p>
        </w:tc>
        <w:tc>
          <w:tcPr>
            <w:tcW w:w="1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225.3</w:t>
            </w: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40" w:type="dxa"/>
            <w:vAlign w:val="bottom"/>
            <w:gridSpan w:val="3"/>
            <w:vMerge w:val="restart"/>
          </w:tcPr>
          <w:p>
            <w:pPr>
              <w:ind w:left="20"/>
              <w:spacing w:after="0" w:line="160" w:lineRule="exact"/>
              <w:rPr>
                <w:sz w:val="20"/>
                <w:szCs w:val="20"/>
                <w:color w:val="auto"/>
              </w:rPr>
            </w:pPr>
            <w:r>
              <w:rPr>
                <w:rFonts w:ascii="Arial" w:cs="Arial" w:eastAsia="Arial" w:hAnsi="Arial"/>
                <w:sz w:val="14"/>
                <w:szCs w:val="14"/>
                <w:b w:val="1"/>
                <w:bCs w:val="1"/>
                <w:color w:val="auto"/>
              </w:rPr>
              <w:t>Derivatives – (3.1)%</w:t>
            </w: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Derivatives – United States</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Eastport Holdings, LLC</w:t>
            </w:r>
          </w:p>
        </w:tc>
        <w:tc>
          <w:tcPr>
            <w:tcW w:w="4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8"/>
                <w:szCs w:val="18"/>
                <w:color w:val="auto"/>
              </w:rPr>
            </w:pPr>
          </w:p>
        </w:tc>
        <w:tc>
          <w:tcPr>
            <w:tcW w:w="2180" w:type="dxa"/>
            <w:vAlign w:val="bottom"/>
          </w:tcPr>
          <w:p>
            <w:pPr>
              <w:ind w:left="100"/>
              <w:spacing w:after="0" w:line="208" w:lineRule="exact"/>
              <w:rPr>
                <w:sz w:val="20"/>
                <w:szCs w:val="20"/>
                <w:color w:val="auto"/>
              </w:rPr>
            </w:pPr>
            <w:r>
              <w:rPr>
                <w:rFonts w:ascii="Arial" w:cs="Arial" w:eastAsia="Arial" w:hAnsi="Arial"/>
                <w:sz w:val="14"/>
                <w:szCs w:val="14"/>
                <w:color w:val="auto"/>
              </w:rPr>
              <w:t>Written Call Option</w:t>
            </w:r>
            <w:r>
              <w:rPr>
                <w:rFonts w:ascii="Arial" w:cs="Arial" w:eastAsia="Arial" w:hAnsi="Arial"/>
                <w:sz w:val="23"/>
                <w:szCs w:val="23"/>
                <w:color w:val="auto"/>
                <w:vertAlign w:val="superscript"/>
              </w:rPr>
              <w:t>(16)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(20)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(6,815)</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3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2"/>
              </w:rPr>
              <w:t>Sub Total Derivatives – United States</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(6,815</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 DERIVATIVES – (3.1)%</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w:t>
            </w: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(6,815</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w:t>
            </w:r>
          </w:p>
        </w:tc>
        <w:tc>
          <w:tcPr>
            <w:tcW w:w="2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hanging="41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117" w:lineRule="exact"/>
        <w:rPr>
          <w:rFonts w:ascii="Arial" w:cs="Arial" w:eastAsia="Arial" w:hAnsi="Arial"/>
          <w:sz w:val="18"/>
          <w:szCs w:val="18"/>
          <w:color w:val="auto"/>
        </w:rPr>
      </w:pPr>
    </w:p>
    <w:p>
      <w:pPr>
        <w:ind w:left="440" w:right="1279" w:hanging="412"/>
        <w:spacing w:after="0" w:line="277" w:lineRule="auto"/>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debt investments are income producing, unless otherwise noted. Equity and warrant investments are non-income producing, unless otherwise noted.</w:t>
      </w:r>
    </w:p>
    <w:p>
      <w:pPr>
        <w:spacing w:after="0" w:line="62" w:lineRule="exact"/>
        <w:rPr>
          <w:rFonts w:ascii="Arial" w:cs="Arial" w:eastAsia="Arial" w:hAnsi="Arial"/>
          <w:sz w:val="18"/>
          <w:szCs w:val="18"/>
          <w:color w:val="auto"/>
        </w:rPr>
      </w:pPr>
    </w:p>
    <w:p>
      <w:pPr>
        <w:ind w:left="440" w:hanging="41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Percentages are based on net assets of $221,887 as of December 31, 2017.</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equity investment has an excercisable put option.</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investment has a $2.0 million unfunded commitment.</w:t>
      </w:r>
    </w:p>
    <w:p>
      <w:pPr>
        <w:spacing w:after="0" w:line="117" w:lineRule="exact"/>
        <w:rPr>
          <w:rFonts w:ascii="Arial" w:cs="Arial" w:eastAsia="Arial" w:hAnsi="Arial"/>
          <w:sz w:val="18"/>
          <w:szCs w:val="18"/>
          <w:color w:val="auto"/>
        </w:rPr>
      </w:pPr>
    </w:p>
    <w:p>
      <w:pPr>
        <w:ind w:left="440" w:right="619" w:hanging="412"/>
        <w:spacing w:after="0" w:line="259" w:lineRule="auto"/>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2017, 5.0% of the Company’s total assets were non-qualifying assets.</w:t>
      </w:r>
    </w:p>
    <w:p>
      <w:pPr>
        <w:spacing w:after="0" w:line="78" w:lineRule="exact"/>
        <w:rPr>
          <w:rFonts w:ascii="Arial" w:cs="Arial" w:eastAsia="Arial" w:hAnsi="Arial"/>
          <w:sz w:val="18"/>
          <w:szCs w:val="18"/>
          <w:color w:val="auto"/>
        </w:rPr>
      </w:pPr>
    </w:p>
    <w:p>
      <w:pPr>
        <w:ind w:left="440" w:hanging="412"/>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is headquartered in Brazil.</w:t>
      </w:r>
    </w:p>
    <w:p>
      <w:pPr>
        <w:spacing w:after="0" w:line="200" w:lineRule="exact"/>
        <w:rPr>
          <w:sz w:val="20"/>
          <w:szCs w:val="20"/>
          <w:color w:val="auto"/>
        </w:rPr>
      </w:pPr>
    </w:p>
    <w:p>
      <w:pPr>
        <w:spacing w:after="0" w:line="34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2017</w:t>
      </w:r>
    </w:p>
    <w:p>
      <w:pPr>
        <w:spacing w:after="0" w:line="103"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addition to the stated rate, the Company is charging 3% default interest on the investment.</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to be settled post-closing.</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investment has a $0.7 million unfunded commitment.</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has written a call option that enables CapitalSouth Partners Florida Sidecar Fund II, L.P. to purchase up to</w:t>
      </w:r>
    </w:p>
    <w:p>
      <w:pPr>
        <w:spacing w:after="0" w:line="46" w:lineRule="exact"/>
        <w:rPr>
          <w:rFonts w:ascii="Arial" w:cs="Arial" w:eastAsia="Arial" w:hAnsi="Arial"/>
          <w:sz w:val="16"/>
          <w:szCs w:val="16"/>
          <w:color w:val="auto"/>
        </w:rPr>
      </w:pPr>
    </w:p>
    <w:p>
      <w:pPr>
        <w:jc w:val="both"/>
        <w:ind w:left="420" w:right="639"/>
        <w:spacing w:after="0" w:line="255" w:lineRule="auto"/>
        <w:rPr>
          <w:rFonts w:ascii="Arial" w:cs="Arial" w:eastAsia="Arial" w:hAnsi="Arial"/>
          <w:sz w:val="16"/>
          <w:szCs w:val="16"/>
          <w:color w:val="auto"/>
        </w:rPr>
      </w:pPr>
      <w:r>
        <w:rPr>
          <w:rFonts w:ascii="Arial" w:cs="Arial" w:eastAsia="Arial" w:hAnsi="Arial"/>
          <w:sz w:val="18"/>
          <w:szCs w:val="18"/>
          <w:color w:val="auto"/>
        </w:rPr>
        <w:t>31.25% of the Company’s interest at a strike price of $1.5 million. As of December 31, 2017, the fair value of the written call option is approximately $6.8 million. See Note 4 to the consolidated financial statements for further detail on the written call option transaction.</w:t>
      </w:r>
    </w:p>
    <w:p>
      <w:pPr>
        <w:spacing w:after="0" w:line="82" w:lineRule="exact"/>
        <w:rPr>
          <w:rFonts w:ascii="Arial" w:cs="Arial" w:eastAsia="Arial" w:hAnsi="Arial"/>
          <w:sz w:val="16"/>
          <w:szCs w:val="16"/>
          <w:color w:val="auto"/>
        </w:rPr>
      </w:pPr>
    </w:p>
    <w:p>
      <w:pPr>
        <w:ind w:left="420" w:hanging="412"/>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investment has a $3.1 million unfunded commitment.</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investment has been exited. The residual value reflects estimated escrow and earnout to be settled post-closing.</w:t>
      </w:r>
    </w:p>
    <w:p>
      <w:pPr>
        <w:spacing w:after="0" w:line="200" w:lineRule="exact"/>
        <w:rPr>
          <w:sz w:val="20"/>
          <w:szCs w:val="20"/>
          <w:color w:val="auto"/>
        </w:rPr>
      </w:pPr>
    </w:p>
    <w:p>
      <w:pPr>
        <w:spacing w:after="0" w:line="36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9" w:name="page110"/>
    <w:bookmarkEnd w:id="109"/>
    <w:p>
      <w:pPr>
        <w:spacing w:after="0" w:line="205" w:lineRule="auto"/>
        <w:framePr w:w="1700" w:h="128" w:wrap="auto" w:vAnchor="page" w:hAnchor="page" w:x="2780" w:y="3469"/>
        <w:rPr>
          <w:rFonts w:ascii="Arial" w:cs="Arial" w:eastAsia="Arial" w:hAnsi="Arial"/>
          <w:sz w:val="13"/>
          <w:szCs w:val="13"/>
          <w:color w:val="auto"/>
        </w:rPr>
      </w:pPr>
      <w:r>
        <w:rPr>
          <w:rFonts w:ascii="Arial" w:cs="Arial" w:eastAsia="Arial" w:hAnsi="Arial"/>
          <w:sz w:val="13"/>
          <w:szCs w:val="13"/>
          <w:color w:val="auto"/>
        </w:rPr>
        <w:t>Industrial Equipment Rental</w:t>
      </w:r>
    </w:p>
    <w:p>
      <w:pPr>
        <w:spacing w:after="0" w:line="223" w:lineRule="auto"/>
        <w:framePr w:w="700" w:h="128" w:wrap="auto" w:vAnchor="page" w:hAnchor="page" w:x="2780" w:y="4131"/>
        <w:rPr>
          <w:rFonts w:ascii="Arial" w:cs="Arial" w:eastAsia="Arial" w:hAnsi="Arial"/>
          <w:sz w:val="12"/>
          <w:szCs w:val="12"/>
          <w:color w:val="auto"/>
        </w:rPr>
      </w:pPr>
      <w:r>
        <w:rPr>
          <w:rFonts w:ascii="Arial" w:cs="Arial" w:eastAsia="Arial" w:hAnsi="Arial"/>
          <w:sz w:val="12"/>
          <w:szCs w:val="12"/>
          <w:color w:val="auto"/>
        </w:rPr>
        <w:t>Healthcare</w:t>
      </w:r>
    </w:p>
    <w:p>
      <w:pPr>
        <w:spacing w:after="0" w:line="341" w:lineRule="auto"/>
        <w:framePr w:w="2180" w:h="425" w:wrap="auto" w:vAnchor="page" w:hAnchor="page" w:x="2780" w:y="4644"/>
        <w:rPr>
          <w:rFonts w:ascii="Arial" w:cs="Arial" w:eastAsia="Arial" w:hAnsi="Arial"/>
          <w:sz w:val="13"/>
          <w:szCs w:val="13"/>
          <w:color w:val="auto"/>
        </w:rPr>
      </w:pPr>
      <w:r>
        <w:rPr>
          <w:rFonts w:ascii="Arial" w:cs="Arial" w:eastAsia="Arial" w:hAnsi="Arial"/>
          <w:sz w:val="13"/>
          <w:szCs w:val="13"/>
          <w:color w:val="auto"/>
        </w:rPr>
        <w:t>Replacement Window Manufacturer Replacement Window Manufacturer</w:t>
      </w:r>
    </w:p>
    <w:p>
      <w:pPr>
        <w:spacing w:after="0" w:line="223" w:lineRule="auto"/>
        <w:framePr w:w="1200" w:h="128" w:wrap="auto" w:vAnchor="page" w:hAnchor="page" w:x="2780" w:y="5414"/>
        <w:rPr>
          <w:rFonts w:ascii="Arial" w:cs="Arial" w:eastAsia="Arial" w:hAnsi="Arial"/>
          <w:sz w:val="12"/>
          <w:szCs w:val="12"/>
          <w:color w:val="auto"/>
        </w:rPr>
      </w:pPr>
      <w:r>
        <w:rPr>
          <w:rFonts w:ascii="Arial" w:cs="Arial" w:eastAsia="Arial" w:hAnsi="Arial"/>
          <w:sz w:val="12"/>
          <w:szCs w:val="12"/>
          <w:color w:val="auto"/>
        </w:rPr>
        <w:t>Consumer Products</w:t>
      </w:r>
    </w:p>
    <w:p>
      <w:pPr>
        <w:spacing w:after="0" w:line="205" w:lineRule="auto"/>
        <w:framePr w:w="560" w:h="128" w:wrap="auto" w:vAnchor="page" w:hAnchor="page" w:x="2780" w:y="5886"/>
        <w:rPr>
          <w:rFonts w:ascii="Arial" w:cs="Arial" w:eastAsia="Arial" w:hAnsi="Arial"/>
          <w:sz w:val="13"/>
          <w:szCs w:val="13"/>
          <w:color w:val="auto"/>
        </w:rPr>
      </w:pPr>
      <w:r>
        <w:rPr>
          <w:rFonts w:ascii="Arial" w:cs="Arial" w:eastAsia="Arial" w:hAnsi="Arial"/>
          <w:sz w:val="13"/>
          <w:szCs w:val="13"/>
          <w:color w:val="auto"/>
        </w:rPr>
        <w:t>Farming</w:t>
      </w:r>
    </w:p>
    <w:p>
      <w:pPr>
        <w:spacing w:after="0" w:line="205" w:lineRule="auto"/>
        <w:framePr w:w="560" w:h="128" w:wrap="auto" w:vAnchor="page" w:hAnchor="page" w:x="2780" w:y="6184"/>
        <w:rPr>
          <w:rFonts w:ascii="Arial" w:cs="Arial" w:eastAsia="Arial" w:hAnsi="Arial"/>
          <w:sz w:val="13"/>
          <w:szCs w:val="13"/>
          <w:color w:val="auto"/>
        </w:rPr>
      </w:pPr>
      <w:r>
        <w:rPr>
          <w:rFonts w:ascii="Arial" w:cs="Arial" w:eastAsia="Arial" w:hAnsi="Arial"/>
          <w:sz w:val="13"/>
          <w:szCs w:val="13"/>
          <w:color w:val="auto"/>
        </w:rPr>
        <w:t>Farming</w:t>
      </w:r>
    </w:p>
    <w:p>
      <w:pPr>
        <w:spacing w:after="0" w:line="223" w:lineRule="auto"/>
        <w:framePr w:w="1200" w:h="128" w:wrap="auto" w:vAnchor="page" w:hAnchor="page" w:x="2780" w:y="6697"/>
        <w:rPr>
          <w:rFonts w:ascii="Arial" w:cs="Arial" w:eastAsia="Arial" w:hAnsi="Arial"/>
          <w:sz w:val="12"/>
          <w:szCs w:val="12"/>
          <w:color w:val="auto"/>
        </w:rPr>
      </w:pPr>
      <w:r>
        <w:rPr>
          <w:rFonts w:ascii="Arial" w:cs="Arial" w:eastAsia="Arial" w:hAnsi="Arial"/>
          <w:sz w:val="12"/>
          <w:szCs w:val="12"/>
          <w:color w:val="auto"/>
        </w:rPr>
        <w:t>Consumer Products</w:t>
      </w:r>
    </w:p>
    <w:p>
      <w:pPr>
        <w:spacing w:after="0" w:line="223" w:lineRule="auto"/>
        <w:framePr w:w="1200" w:h="128" w:wrap="auto" w:vAnchor="page" w:hAnchor="page" w:x="2780" w:y="7034"/>
        <w:rPr>
          <w:rFonts w:ascii="Arial" w:cs="Arial" w:eastAsia="Arial" w:hAnsi="Arial"/>
          <w:sz w:val="12"/>
          <w:szCs w:val="12"/>
          <w:color w:val="auto"/>
        </w:rPr>
      </w:pPr>
      <w:r>
        <w:rPr>
          <w:rFonts w:ascii="Arial" w:cs="Arial" w:eastAsia="Arial" w:hAnsi="Arial"/>
          <w:sz w:val="12"/>
          <w:szCs w:val="12"/>
          <w:color w:val="auto"/>
        </w:rPr>
        <w:t>Consumer Products</w:t>
      </w:r>
    </w:p>
    <w:p>
      <w:pPr>
        <w:spacing w:after="0" w:line="205" w:lineRule="auto"/>
        <w:framePr w:w="1740" w:h="128" w:wrap="auto" w:vAnchor="page" w:hAnchor="page" w:x="2780" w:y="7656"/>
        <w:rPr>
          <w:rFonts w:ascii="Arial" w:cs="Arial" w:eastAsia="Arial" w:hAnsi="Arial"/>
          <w:sz w:val="13"/>
          <w:szCs w:val="13"/>
          <w:color w:val="auto"/>
        </w:rPr>
      </w:pPr>
      <w:r>
        <w:rPr>
          <w:rFonts w:ascii="Arial" w:cs="Arial" w:eastAsia="Arial" w:hAnsi="Arial"/>
          <w:sz w:val="13"/>
          <w:szCs w:val="13"/>
          <w:color w:val="auto"/>
        </w:rPr>
        <w:t>Online Merchandise Retailer</w:t>
      </w:r>
    </w:p>
    <w:p>
      <w:pPr>
        <w:spacing w:after="0" w:line="205" w:lineRule="auto"/>
        <w:framePr w:w="1720" w:h="128" w:wrap="auto" w:vAnchor="page" w:hAnchor="page" w:x="2780" w:y="8277"/>
        <w:rPr>
          <w:rFonts w:ascii="Arial" w:cs="Arial" w:eastAsia="Arial" w:hAnsi="Arial"/>
          <w:sz w:val="13"/>
          <w:szCs w:val="13"/>
          <w:color w:val="auto"/>
        </w:rPr>
      </w:pPr>
      <w:r>
        <w:rPr>
          <w:rFonts w:ascii="Arial" w:cs="Arial" w:eastAsia="Arial" w:hAnsi="Arial"/>
          <w:sz w:val="13"/>
          <w:szCs w:val="13"/>
          <w:color w:val="auto"/>
        </w:rPr>
        <w:t>Industrial Specialty Services</w:t>
      </w:r>
    </w:p>
    <w:p>
      <w:pPr>
        <w:spacing w:after="0" w:line="205" w:lineRule="auto"/>
        <w:framePr w:w="1120" w:h="128" w:wrap="auto" w:vAnchor="page" w:hAnchor="page" w:x="2780" w:y="8898"/>
        <w:rPr>
          <w:rFonts w:ascii="Arial" w:cs="Arial" w:eastAsia="Arial" w:hAnsi="Arial"/>
          <w:sz w:val="13"/>
          <w:szCs w:val="13"/>
          <w:color w:val="auto"/>
        </w:rPr>
      </w:pPr>
      <w:r>
        <w:rPr>
          <w:rFonts w:ascii="Arial" w:cs="Arial" w:eastAsia="Arial" w:hAnsi="Arial"/>
          <w:sz w:val="13"/>
          <w:szCs w:val="13"/>
          <w:color w:val="auto"/>
        </w:rPr>
        <w:t>Bowling Products</w:t>
      </w:r>
    </w:p>
    <w:p>
      <w:pPr>
        <w:spacing w:after="0" w:line="205" w:lineRule="auto"/>
        <w:framePr w:w="1120" w:h="128" w:wrap="auto" w:vAnchor="page" w:hAnchor="page" w:x="2780" w:y="9344"/>
        <w:rPr>
          <w:rFonts w:ascii="Arial" w:cs="Arial" w:eastAsia="Arial" w:hAnsi="Arial"/>
          <w:sz w:val="13"/>
          <w:szCs w:val="13"/>
          <w:color w:val="auto"/>
        </w:rPr>
      </w:pPr>
      <w:r>
        <w:rPr>
          <w:rFonts w:ascii="Arial" w:cs="Arial" w:eastAsia="Arial" w:hAnsi="Arial"/>
          <w:sz w:val="13"/>
          <w:szCs w:val="13"/>
          <w:color w:val="auto"/>
        </w:rPr>
        <w:t>Bowling Products</w:t>
      </w:r>
    </w:p>
    <w:p>
      <w:pPr>
        <w:spacing w:after="0" w:line="205" w:lineRule="auto"/>
        <w:framePr w:w="1120" w:h="128" w:wrap="auto" w:vAnchor="page" w:hAnchor="page" w:x="2780" w:y="9681"/>
        <w:rPr>
          <w:rFonts w:ascii="Arial" w:cs="Arial" w:eastAsia="Arial" w:hAnsi="Arial"/>
          <w:sz w:val="13"/>
          <w:szCs w:val="13"/>
          <w:color w:val="auto"/>
        </w:rPr>
      </w:pPr>
      <w:r>
        <w:rPr>
          <w:rFonts w:ascii="Arial" w:cs="Arial" w:eastAsia="Arial" w:hAnsi="Arial"/>
          <w:sz w:val="13"/>
          <w:szCs w:val="13"/>
          <w:color w:val="auto"/>
        </w:rPr>
        <w:t>Bowling Products</w:t>
      </w:r>
    </w:p>
    <w:p>
      <w:pPr>
        <w:spacing w:after="0" w:line="205" w:lineRule="auto"/>
        <w:framePr w:w="2000" w:h="128" w:wrap="auto" w:vAnchor="page" w:hAnchor="page" w:x="2780" w:y="10006"/>
        <w:rPr>
          <w:rFonts w:ascii="Arial" w:cs="Arial" w:eastAsia="Arial" w:hAnsi="Arial"/>
          <w:sz w:val="13"/>
          <w:szCs w:val="13"/>
          <w:color w:val="auto"/>
        </w:rPr>
      </w:pPr>
      <w:r>
        <w:rPr>
          <w:rFonts w:ascii="Arial" w:cs="Arial" w:eastAsia="Arial" w:hAnsi="Arial"/>
          <w:sz w:val="13"/>
          <w:szCs w:val="13"/>
          <w:color w:val="auto"/>
        </w:rPr>
        <w:t>Home Repair Parts Manufacturer</w:t>
      </w:r>
    </w:p>
    <w:p>
      <w:pPr>
        <w:spacing w:after="0" w:line="223" w:lineRule="auto"/>
        <w:framePr w:w="700" w:h="128" w:wrap="auto" w:vAnchor="page" w:hAnchor="page" w:x="2780" w:y="10627"/>
        <w:rPr>
          <w:rFonts w:ascii="Arial" w:cs="Arial" w:eastAsia="Arial" w:hAnsi="Arial"/>
          <w:sz w:val="12"/>
          <w:szCs w:val="12"/>
          <w:color w:val="auto"/>
        </w:rPr>
      </w:pPr>
      <w:r>
        <w:rPr>
          <w:rFonts w:ascii="Arial" w:cs="Arial" w:eastAsia="Arial" w:hAnsi="Arial"/>
          <w:sz w:val="12"/>
          <w:szCs w:val="12"/>
          <w:color w:val="auto"/>
        </w:rPr>
        <w:t>Restaurant</w:t>
      </w:r>
    </w:p>
    <w:p>
      <w:pPr>
        <w:spacing w:after="0" w:line="205" w:lineRule="auto"/>
        <w:framePr w:w="1780" w:h="128" w:wrap="auto" w:vAnchor="page" w:hAnchor="page" w:x="2780" w:y="10951"/>
        <w:rPr>
          <w:rFonts w:ascii="Arial" w:cs="Arial" w:eastAsia="Arial" w:hAnsi="Arial"/>
          <w:sz w:val="13"/>
          <w:szCs w:val="13"/>
          <w:color w:val="auto"/>
        </w:rPr>
      </w:pPr>
      <w:r>
        <w:rPr>
          <w:rFonts w:ascii="Arial" w:cs="Arial" w:eastAsia="Arial" w:hAnsi="Arial"/>
          <w:sz w:val="13"/>
          <w:szCs w:val="13"/>
          <w:color w:val="auto"/>
        </w:rPr>
        <w:t>In-Home Healthcare Services</w:t>
      </w:r>
    </w:p>
    <w:p>
      <w:pPr>
        <w:spacing w:after="0" w:line="205" w:lineRule="auto"/>
        <w:framePr w:w="1780" w:h="128" w:wrap="auto" w:vAnchor="page" w:hAnchor="page" w:x="2780" w:y="11289"/>
        <w:rPr>
          <w:rFonts w:ascii="Arial" w:cs="Arial" w:eastAsia="Arial" w:hAnsi="Arial"/>
          <w:sz w:val="13"/>
          <w:szCs w:val="13"/>
          <w:color w:val="auto"/>
        </w:rPr>
      </w:pPr>
      <w:r>
        <w:rPr>
          <w:rFonts w:ascii="Arial" w:cs="Arial" w:eastAsia="Arial" w:hAnsi="Arial"/>
          <w:sz w:val="13"/>
          <w:szCs w:val="13"/>
          <w:color w:val="auto"/>
        </w:rPr>
        <w:t>In-Home Healthcare Services</w:t>
      </w:r>
    </w:p>
    <w:p>
      <w:pPr>
        <w:spacing w:after="0" w:line="205" w:lineRule="auto"/>
        <w:framePr w:w="1700" w:h="128" w:wrap="auto" w:vAnchor="page" w:hAnchor="page" w:x="2780" w:y="3172"/>
        <w:rPr>
          <w:rFonts w:ascii="Arial" w:cs="Arial" w:eastAsia="Arial" w:hAnsi="Arial"/>
          <w:sz w:val="13"/>
          <w:szCs w:val="13"/>
          <w:color w:val="auto"/>
        </w:rPr>
      </w:pPr>
      <w:r>
        <w:rPr>
          <w:rFonts w:ascii="Arial" w:cs="Arial" w:eastAsia="Arial" w:hAnsi="Arial"/>
          <w:sz w:val="13"/>
          <w:szCs w:val="13"/>
          <w:color w:val="auto"/>
        </w:rPr>
        <w:t>Industrial Equipment Rental</w:t>
      </w:r>
    </w:p>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rFonts w:ascii="Arial" w:cs="Arial" w:eastAsia="Arial" w:hAnsi="Arial"/>
          <w:sz w:val="13"/>
          <w:szCs w:val="13"/>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rFonts w:ascii="Arial" w:cs="Arial" w:eastAsia="Arial" w:hAnsi="Arial"/>
          <w:sz w:val="13"/>
          <w:szCs w:val="13"/>
          <w:color w:val="auto"/>
        </w:rPr>
      </w:pPr>
    </w:p>
    <w:p>
      <w:pPr>
        <w:jc w:val="center"/>
        <w:ind w:right="5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rFonts w:ascii="Arial" w:cs="Arial" w:eastAsia="Arial" w:hAnsi="Arial"/>
          <w:sz w:val="13"/>
          <w:szCs w:val="13"/>
          <w:color w:val="auto"/>
        </w:rPr>
      </w:pPr>
    </w:p>
    <w:p>
      <w:pPr>
        <w:jc w:val="center"/>
        <w:ind w:right="519"/>
        <w:spacing w:after="0"/>
        <w:rPr>
          <w:sz w:val="20"/>
          <w:szCs w:val="20"/>
          <w:color w:val="auto"/>
        </w:rPr>
      </w:pPr>
      <w:r>
        <w:rPr>
          <w:rFonts w:ascii="Arial" w:cs="Arial" w:eastAsia="Arial" w:hAnsi="Arial"/>
          <w:sz w:val="15"/>
          <w:szCs w:val="15"/>
          <w:b w:val="1"/>
          <w:bCs w:val="1"/>
          <w:color w:val="auto"/>
        </w:rPr>
        <w:t>(in thousands, except for units/shares)</w:t>
      </w:r>
    </w:p>
    <w:p>
      <w:pPr>
        <w:spacing w:after="0" w:line="44" w:lineRule="exact"/>
        <w:rPr>
          <w:rFonts w:ascii="Arial" w:cs="Arial" w:eastAsia="Arial" w:hAnsi="Arial"/>
          <w:sz w:val="13"/>
          <w:szCs w:val="13"/>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1658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51" w:lineRule="exact"/>
        <w:rPr>
          <w:rFonts w:ascii="Arial" w:cs="Arial" w:eastAsia="Arial" w:hAnsi="Arial"/>
          <w:sz w:val="13"/>
          <w:szCs w:val="13"/>
          <w:color w:val="auto"/>
        </w:rPr>
      </w:pPr>
    </w:p>
    <w:p>
      <w:pPr>
        <w:spacing w:after="0"/>
        <w:tabs>
          <w:tab w:leader="none" w:pos="3260" w:val="left"/>
        </w:tabs>
        <w:rPr>
          <w:sz w:val="20"/>
          <w:szCs w:val="20"/>
          <w:color w:val="auto"/>
        </w:rPr>
      </w:pPr>
      <w:r>
        <w:rPr>
          <w:rFonts w:ascii="Arial" w:cs="Arial" w:eastAsia="Arial" w:hAnsi="Arial"/>
          <w:sz w:val="13"/>
          <w:szCs w:val="13"/>
          <w:b w:val="1"/>
          <w:bCs w:val="1"/>
          <w:color w:val="auto"/>
        </w:rPr>
        <w:t>Portfolio Company, Country</w:t>
      </w:r>
      <w:r>
        <w:rPr>
          <w:rFonts w:ascii="Arial" w:cs="Arial" w:eastAsia="Arial" w:hAnsi="Arial"/>
          <w:sz w:val="20"/>
          <w:szCs w:val="20"/>
          <w:b w:val="1"/>
          <w:bCs w:val="1"/>
          <w:color w:val="auto"/>
          <w:vertAlign w:val="superscript"/>
        </w:rPr>
        <w:t>(4),(5),(14),(15)</w:t>
      </w:r>
      <w:r>
        <w:rPr>
          <w:sz w:val="20"/>
          <w:szCs w:val="20"/>
          <w:color w:val="auto"/>
        </w:rPr>
        <w:tab/>
      </w:r>
      <w:r>
        <w:rPr>
          <w:rFonts w:ascii="Arial" w:cs="Arial" w:eastAsia="Arial" w:hAnsi="Arial"/>
          <w:sz w:val="11"/>
          <w:szCs w:val="11"/>
          <w:b w:val="1"/>
          <w:bCs w:val="1"/>
          <w:color w:val="auto"/>
        </w:rPr>
        <w:t>Industry</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29584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right="620"/>
        <w:spacing w:after="0" w:line="211" w:lineRule="auto"/>
        <w:rPr>
          <w:sz w:val="20"/>
          <w:szCs w:val="20"/>
          <w:color w:val="auto"/>
        </w:rPr>
      </w:pPr>
      <w:r>
        <w:rPr>
          <w:rFonts w:ascii="Arial" w:cs="Arial" w:eastAsia="Arial" w:hAnsi="Arial"/>
          <w:sz w:val="14"/>
          <w:szCs w:val="14"/>
          <w:b w:val="1"/>
          <w:bCs w:val="1"/>
          <w:color w:val="auto"/>
        </w:rPr>
        <w:t xml:space="preserve">Non-control/non-affiliated investments – 157.1% Non-control/non-affiliated investments – United States </w:t>
      </w:r>
      <w:r>
        <w:rPr>
          <w:rFonts w:ascii="Arial" w:cs="Arial" w:eastAsia="Arial" w:hAnsi="Arial"/>
          <w:sz w:val="14"/>
          <w:szCs w:val="14"/>
          <w:color w:val="auto"/>
        </w:rPr>
        <w:t>AAE Acquisition, LLC</w:t>
      </w:r>
    </w:p>
    <w:p>
      <w:pPr>
        <w:spacing w:after="0" w:line="158"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AAE Acquisition, LLC</w:t>
      </w:r>
    </w:p>
    <w:p>
      <w:pPr>
        <w:spacing w:after="0" w:line="312"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American Clinical Solutions, LLC</w:t>
      </w:r>
    </w:p>
    <w:p>
      <w:pPr>
        <w:spacing w:after="0" w:line="200" w:lineRule="exact"/>
        <w:rPr>
          <w:rFonts w:ascii="Arial" w:cs="Arial" w:eastAsia="Arial" w:hAnsi="Arial"/>
          <w:sz w:val="13"/>
          <w:szCs w:val="13"/>
          <w:color w:val="auto"/>
        </w:rPr>
      </w:pPr>
    </w:p>
    <w:p>
      <w:pPr>
        <w:spacing w:after="0" w:line="301"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American Exteriors, LLC</w:t>
      </w:r>
    </w:p>
    <w:p>
      <w:pPr>
        <w:spacing w:after="0" w:line="177"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American Exteriors, LLC</w:t>
      </w:r>
    </w:p>
    <w:p>
      <w:pPr>
        <w:spacing w:after="0" w:line="312"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AmeriMark Direct, LLC</w:t>
      </w:r>
    </w:p>
    <w:p>
      <w:pPr>
        <w:spacing w:after="0" w:line="312"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B&amp;W Quality Growers, LLC</w:t>
      </w:r>
    </w:p>
    <w:p>
      <w:pPr>
        <w:spacing w:after="0" w:line="136"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B&amp;W Quality Growers, LLC</w:t>
      </w:r>
    </w:p>
    <w:p>
      <w:pPr>
        <w:spacing w:after="0" w:line="312"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BigMouth, Inc.</w:t>
      </w:r>
    </w:p>
    <w:p>
      <w:pPr>
        <w:spacing w:after="0" w:line="177"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BigMouth, Inc.</w:t>
      </w:r>
    </w:p>
    <w:p>
      <w:pPr>
        <w:spacing w:after="0" w:line="352"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Bluestem Brands, Inc.</w:t>
      </w:r>
    </w:p>
    <w:p>
      <w:pPr>
        <w:spacing w:after="0" w:line="200" w:lineRule="exact"/>
        <w:rPr>
          <w:rFonts w:ascii="Arial" w:cs="Arial" w:eastAsia="Arial" w:hAnsi="Arial"/>
          <w:sz w:val="13"/>
          <w:szCs w:val="13"/>
          <w:color w:val="auto"/>
        </w:rPr>
      </w:pPr>
    </w:p>
    <w:p>
      <w:pPr>
        <w:spacing w:after="0" w:line="260"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Brock Holdings III, Inc.</w:t>
      </w:r>
    </w:p>
    <w:p>
      <w:pPr>
        <w:spacing w:after="0" w:line="200" w:lineRule="exact"/>
        <w:rPr>
          <w:rFonts w:ascii="Arial" w:cs="Arial" w:eastAsia="Arial" w:hAnsi="Arial"/>
          <w:sz w:val="13"/>
          <w:szCs w:val="13"/>
          <w:color w:val="auto"/>
        </w:rPr>
      </w:pPr>
    </w:p>
    <w:p>
      <w:pPr>
        <w:spacing w:after="0" w:line="260"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Brunswick Bowling Products, Inc.</w:t>
      </w:r>
    </w:p>
    <w:p>
      <w:pPr>
        <w:spacing w:after="0" w:line="285"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Brunswick Bowling Products, Inc.</w:t>
      </w:r>
    </w:p>
    <w:p>
      <w:pPr>
        <w:spacing w:after="0" w:line="285"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Brunswick Bowling Products, Inc.</w:t>
      </w:r>
    </w:p>
    <w:p>
      <w:pPr>
        <w:spacing w:after="0" w:line="352"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Burke America Parts Group, LLC</w:t>
      </w:r>
    </w:p>
    <w:p>
      <w:pPr>
        <w:spacing w:after="0" w:line="163"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California Pizza Kitchen, Inc.</w:t>
      </w:r>
    </w:p>
    <w:p>
      <w:pPr>
        <w:spacing w:after="0" w:line="200" w:lineRule="exact"/>
        <w:rPr>
          <w:rFonts w:ascii="Arial" w:cs="Arial" w:eastAsia="Arial" w:hAnsi="Arial"/>
          <w:sz w:val="13"/>
          <w:szCs w:val="13"/>
          <w:color w:val="auto"/>
        </w:rPr>
      </w:pPr>
    </w:p>
    <w:p>
      <w:pPr>
        <w:spacing w:after="0" w:line="260"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color w:val="auto"/>
        </w:rPr>
        <w:t>Caregiver Services, Inc.</w:t>
      </w:r>
    </w:p>
    <w:p>
      <w:pPr>
        <w:spacing w:after="0"/>
        <w:rPr>
          <w:sz w:val="20"/>
          <w:szCs w:val="20"/>
          <w:color w:val="auto"/>
        </w:rPr>
      </w:pPr>
      <w:r>
        <w:rPr>
          <w:rFonts w:ascii="Arial" w:cs="Arial" w:eastAsia="Arial" w:hAnsi="Arial"/>
          <w:sz w:val="14"/>
          <w:szCs w:val="14"/>
          <w:color w:val="auto"/>
        </w:rPr>
        <w:t>Caregiver Services, Inc.</w:t>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line="51" w:lineRule="exact"/>
        <w:rPr>
          <w:rFonts w:ascii="Arial" w:cs="Arial" w:eastAsia="Arial" w:hAnsi="Arial"/>
          <w:sz w:val="13"/>
          <w:szCs w:val="13"/>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53"/>
        </w:trPr>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420"/>
        </w:trPr>
        <w:tc>
          <w:tcPr>
            <w:tcW w:w="2180" w:type="dxa"/>
            <w:vAlign w:val="bottom"/>
          </w:tcPr>
          <w:p>
            <w:pPr>
              <w:ind w:left="100"/>
              <w:spacing w:after="0"/>
              <w:rPr>
                <w:sz w:val="20"/>
                <w:szCs w:val="20"/>
                <w:color w:val="auto"/>
              </w:rPr>
            </w:pPr>
            <w:r>
              <w:rPr>
                <w:rFonts w:ascii="Arial" w:cs="Arial" w:eastAsia="Arial" w:hAnsi="Arial"/>
                <w:sz w:val="14"/>
                <w:szCs w:val="14"/>
                <w:color w:val="auto"/>
                <w:w w:val="94"/>
              </w:rPr>
              <w:t>Second Lien Debt (12% Cash, Due</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3/31/18)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11,000</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11,000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10,755</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(14% fully</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(10.5% Cash (3</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10,755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month LIBOR + 9.5%, 1% Floor),</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Due 6/11/20)</w:t>
            </w:r>
            <w:r>
              <w:rPr>
                <w:rFonts w:ascii="Arial" w:cs="Arial" w:eastAsia="Arial" w:hAnsi="Arial"/>
                <w:sz w:val="22"/>
                <w:szCs w:val="22"/>
                <w:color w:val="auto"/>
                <w:vertAlign w:val="superscript"/>
              </w:rPr>
              <w:t>(13)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9,034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9,034</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8,582</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(10% PIK,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9,034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1/1/17)</w:t>
            </w:r>
            <w:r>
              <w:rPr>
                <w:rFonts w:ascii="Arial" w:cs="Arial" w:eastAsia="Arial" w:hAnsi="Arial"/>
                <w:sz w:val="20"/>
                <w:szCs w:val="20"/>
                <w:color w:val="auto"/>
                <w:vertAlign w:val="superscript"/>
              </w:rPr>
              <w:t>(1)(2)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6,456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4,679</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2,571</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(10%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First Lien Debt (12.75% Cash,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4,679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2,571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9/8/21)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19,700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19,192</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19,542</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(14%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19,192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19,542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7/23/20)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5,996</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6,000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4"/>
              </w:rPr>
              <w:t>Membership Unit Warrants (91,739</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5,779</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First Lien Debt (12.6% Cash,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11,779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11/14/21)</w:t>
            </w:r>
            <w:r>
              <w:rPr>
                <w:rFonts w:ascii="Arial" w:cs="Arial" w:eastAsia="Arial" w:hAnsi="Arial"/>
                <w:sz w:val="20"/>
                <w:szCs w:val="20"/>
                <w:color w:val="auto"/>
                <w:vertAlign w:val="superscript"/>
              </w:rPr>
              <w:t>(3)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10,313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10,313</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10,313</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6"/>
              </w:rPr>
              <w:t>Series A Preferred Stock (350,000</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shares, 8% PIK)</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354</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354</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(8.5%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10,667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10,667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+ 7.5%,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Due 11/7/20)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4,279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4,169</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4,169</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Second Lien Debt (10%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4,169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+ 8.25%, 1.75%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Floor), Due 3/16/18)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4,935</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4,750</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5"/>
              </w:rPr>
              <w:t>First Lien Debt (8% Cash (1 month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4,750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LIBOR + 6.0%, 2% Floor),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5/22/20)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1,600</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(16.25%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+ 14.25%, 2%</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Floor), Due 5/22/20)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5,586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5,586</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5,586</w:t>
            </w:r>
          </w:p>
        </w:tc>
        <w:tc>
          <w:tcPr>
            <w:tcW w:w="6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1"/>
              </w:rPr>
              <w:t>Preferred Shares (2,966 shares, 8%</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PIK)</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3,384</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5,317</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12,503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180" w:type="dxa"/>
            <w:vAlign w:val="bottom"/>
          </w:tcPr>
          <w:p>
            <w:pPr>
              <w:ind w:left="100"/>
              <w:spacing w:after="0" w:line="142" w:lineRule="exact"/>
              <w:rPr>
                <w:sz w:val="20"/>
                <w:szCs w:val="20"/>
                <w:color w:val="auto"/>
              </w:rPr>
            </w:pPr>
            <w:r>
              <w:rPr>
                <w:rFonts w:ascii="Arial" w:cs="Arial" w:eastAsia="Arial" w:hAnsi="Arial"/>
                <w:sz w:val="14"/>
                <w:szCs w:val="14"/>
                <w:color w:val="auto"/>
              </w:rPr>
              <w:t>Membership Units (14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Second Lien Debt (11%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(1 month LIBOR + 10%,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Floor), Due 8/23/23)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4,857</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4,857</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Common Stock (293,186 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4,857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4,857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258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137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68"/>
              <w:spacing w:after="0" w:line="123"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5"/>
              </w:rPr>
              <w:t>Common Stock Warrants (655,908</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(7)</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264</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309</w:t>
            </w:r>
          </w:p>
        </w:tc>
        <w:tc>
          <w:tcPr>
            <w:tcW w:w="680" w:type="dxa"/>
            <w:vAlign w:val="bottom"/>
            <w:gridSpan w:val="3"/>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280" w:type="dxa"/>
            <w:vAlign w:val="bottom"/>
          </w:tcPr>
          <w:p>
            <w:pPr>
              <w:jc w:val="right"/>
              <w:ind w:right="6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0" w:lineRule="exact"/>
        <w:rPr>
          <w:rFonts w:ascii="Arial" w:cs="Arial" w:eastAsia="Arial" w:hAnsi="Arial"/>
          <w:sz w:val="13"/>
          <w:szCs w:val="13"/>
          <w:color w:val="auto"/>
        </w:rPr>
      </w:pPr>
    </w:p>
    <w:p>
      <w:pPr>
        <w:sectPr>
          <w:pgSz w:w="11900" w:h="16838" w:orient="portrait"/>
          <w:cols w:equalWidth="0" w:num="2">
            <w:col w:w="3960" w:space="720"/>
            <w:col w:w="5399"/>
          </w:cols>
          <w:pgMar w:left="380" w:top="792" w:right="1440" w:bottom="1440" w:gutter="0" w:footer="0" w:header="0"/>
          <w:type w:val="continuous"/>
        </w:sectPr>
      </w:pPr>
    </w:p>
    <w:p>
      <w:pPr>
        <w:spacing w:after="0" w:line="326" w:lineRule="exact"/>
        <w:rPr>
          <w:rFonts w:ascii="Arial" w:cs="Arial" w:eastAsia="Arial" w:hAnsi="Arial"/>
          <w:sz w:val="13"/>
          <w:szCs w:val="13"/>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rFonts w:ascii="Arial" w:cs="Arial" w:eastAsia="Arial" w:hAnsi="Arial"/>
          <w:sz w:val="13"/>
          <w:szCs w:val="13"/>
          <w:color w:val="auto"/>
        </w:rPr>
      </w:pPr>
    </w:p>
    <w:p>
      <w:pPr>
        <w:spacing w:after="0" w:line="386" w:lineRule="exact"/>
        <w:rPr>
          <w:rFonts w:ascii="Arial" w:cs="Arial" w:eastAsia="Arial" w:hAnsi="Arial"/>
          <w:sz w:val="13"/>
          <w:szCs w:val="13"/>
          <w:color w:val="auto"/>
        </w:rPr>
      </w:pPr>
    </w:p>
    <w:p>
      <w:pPr>
        <w:ind w:left="4480"/>
        <w:spacing w:after="0"/>
        <w:rPr>
          <w:sz w:val="20"/>
          <w:szCs w:val="20"/>
          <w:color w:val="auto"/>
        </w:rPr>
      </w:pPr>
      <w:r>
        <w:rPr>
          <w:rFonts w:ascii="Arial" w:cs="Arial" w:eastAsia="Arial" w:hAnsi="Arial"/>
          <w:sz w:val="18"/>
          <w:szCs w:val="18"/>
          <w:color w:val="auto"/>
        </w:rPr>
        <w:t>F-12</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Consolidated Schedule of Investments – (continued)</w:t>
      </w:r>
    </w:p>
    <w:p>
      <w:pPr>
        <w:spacing w:after="0" w:line="6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1658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108585</wp:posOffset>
            </wp:positionV>
            <wp:extent cx="616585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33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Portfolio Company, Country</w:t>
      </w:r>
      <w:r>
        <w:rPr>
          <w:rFonts w:ascii="Arial" w:cs="Arial" w:eastAsia="Arial" w:hAnsi="Arial"/>
          <w:sz w:val="16"/>
          <w:szCs w:val="16"/>
          <w:b w:val="1"/>
          <w:bCs w:val="1"/>
          <w:color w:val="auto"/>
          <w:vertAlign w:val="superscript"/>
        </w:rPr>
        <w:t>(4),(5),(14),(15)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4751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Cedar Electronics Holding Corp.</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Community Choice Financial,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Construction Partners,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Corporate Visions,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Corporate Visions, Inc.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CSM Bakery Solutions, LLC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Emerging Markets Communications,</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LLC</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Flavors Holdings,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Flavors Holdings, Inc.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Immersive Media Tactical Solutions,</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LLC</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Medical Depot,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Medical Depot,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Nielsen &amp; Bainbridge, LLC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Nth Degree,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Nth Degree, Inc.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Nth Degree,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53"/>
        </w:trPr>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tcPr>
          <w:p>
            <w:pPr>
              <w:ind w:left="100"/>
              <w:spacing w:after="0" w:line="123" w:lineRule="exact"/>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Consumer Electronics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12/26/20)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21,550</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21,550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  20,818</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(18%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20,818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month LIBOR + 17%, 1% Floor),</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Due 3/30/18)</w:t>
            </w:r>
            <w:r>
              <w:rPr>
                <w:rFonts w:ascii="Arial" w:cs="Arial" w:eastAsia="Arial" w:hAnsi="Arial"/>
                <w:sz w:val="22"/>
                <w:szCs w:val="22"/>
                <w:color w:val="auto"/>
                <w:vertAlign w:val="superscript"/>
              </w:rPr>
              <w:t>(1)(8)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15,000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Second Lien Debt (11.5%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Construction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6/12/20)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9,500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9,500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9,500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Subordinated Debt (9% Cash, 2%</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PIK, Due 11/29/21)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16,267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16,267</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15,648</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(15,750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1,575</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728</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6"/>
              </w:rPr>
              <w:t>Second Lien Debt (8.75%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17,842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16,376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+ 7.75%,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Bakery Supplies Distributor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8/7/22)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11,813</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10,776</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7"/>
              </w:rPr>
              <w:t>Second Lien Debt (10.625%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10,776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(1 month LIBOR + 9.625%,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Satellite Communications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7/1/22)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4,946</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5,000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(6.75%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4,946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+ 5.75%,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Floor), Due 4/3/20)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6,930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6,411</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Second Lien Debt (11%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+ 10%,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10/3/21)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11,671</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10,188</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16,599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4"/>
                <w:szCs w:val="14"/>
                <w:color w:val="auto"/>
              </w:rPr>
              <w:t>Specialty Defense Contractor</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(Due 12/9/19)</w:t>
            </w:r>
            <w:r>
              <w:rPr>
                <w:rFonts w:ascii="Arial" w:cs="Arial" w:eastAsia="Arial" w:hAnsi="Arial"/>
                <w:sz w:val="22"/>
                <w:szCs w:val="22"/>
                <w:color w:val="auto"/>
                <w:vertAlign w:val="superscript"/>
              </w:rPr>
              <w:t>(9)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1,532</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(14% Cash, Due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Transportation</w:t>
            </w:r>
          </w:p>
        </w:tc>
        <w:tc>
          <w:tcPr>
            <w:tcW w:w="2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3/31/19)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13,674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13,668</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13,252</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9"/>
              </w:rPr>
              <w:t>Preferred Units (1,000 units, 10%</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3,433</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3,433</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(15%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171</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(14%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16,856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9/27/20)</w:t>
            </w:r>
            <w:r>
              <w:rPr>
                <w:rFonts w:ascii="Arial" w:cs="Arial" w:eastAsia="Arial" w:hAnsi="Arial"/>
                <w:sz w:val="20"/>
                <w:szCs w:val="20"/>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14,667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14,667</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14,667</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C Convertible Preferred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Stock (740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1,333</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6,440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6"/>
              </w:rPr>
              <w:t>Second Lien Debt (10.5% Cash (6</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21,107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+ 9.25%,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80"/>
              <w:spacing w:after="0"/>
              <w:rPr>
                <w:sz w:val="20"/>
                <w:szCs w:val="20"/>
                <w:color w:val="auto"/>
              </w:rPr>
            </w:pPr>
            <w:r>
              <w:rPr>
                <w:rFonts w:ascii="Arial" w:cs="Arial" w:eastAsia="Arial" w:hAnsi="Arial"/>
                <w:sz w:val="14"/>
                <w:szCs w:val="14"/>
                <w:color w:val="auto"/>
              </w:rPr>
              <w:t>Home Décor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Floor), Due 8/15/21)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14,849</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14,670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(8.0%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14,670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+ 7%,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1% PIK, Due 12/14/20)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9,904</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9,904</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First Lien Debt (12.5% Cash (1</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w w:val="96"/>
              </w:rPr>
              <w:t>month LIBOR + 11.5%,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2% PIK, Due 12/14/20)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7,351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7,351</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7,351</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Preferred Stock (10% PIK</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dividend)</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2,662</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4,581</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21,836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200" w:space="160"/>
            <w:col w:w="7719"/>
          </w:cols>
          <w:pgMar w:left="380" w:top="792" w:right="1440" w:bottom="1440" w:gutter="0" w:footer="0" w:header="0"/>
          <w:type w:val="continuous"/>
        </w:sectPr>
      </w:pPr>
    </w:p>
    <w:p>
      <w:pPr>
        <w:spacing w:after="0" w:line="32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11" w:name="page112"/>
    <w:bookmarkEnd w:id="111"/>
    <w:p>
      <w:pPr>
        <w:spacing w:after="0" w:line="205" w:lineRule="auto"/>
        <w:framePr w:w="1140" w:h="128" w:wrap="auto" w:vAnchor="page" w:hAnchor="page" w:x="2780" w:y="8817"/>
        <w:rPr>
          <w:rFonts w:ascii="Arial" w:cs="Arial" w:eastAsia="Arial" w:hAnsi="Arial"/>
          <w:sz w:val="13"/>
          <w:szCs w:val="13"/>
          <w:color w:val="auto"/>
        </w:rPr>
      </w:pPr>
      <w:r>
        <w:rPr>
          <w:rFonts w:ascii="Arial" w:cs="Arial" w:eastAsia="Arial" w:hAnsi="Arial"/>
          <w:sz w:val="13"/>
          <w:szCs w:val="13"/>
          <w:color w:val="auto"/>
        </w:rPr>
        <w:t>Financial Services</w:t>
      </w:r>
    </w:p>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rFonts w:ascii="Arial" w:cs="Arial" w:eastAsia="Arial" w:hAnsi="Arial"/>
          <w:sz w:val="13"/>
          <w:szCs w:val="13"/>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rFonts w:ascii="Arial" w:cs="Arial" w:eastAsia="Arial" w:hAnsi="Arial"/>
          <w:sz w:val="13"/>
          <w:szCs w:val="13"/>
          <w:color w:val="auto"/>
        </w:rPr>
      </w:pPr>
    </w:p>
    <w:p>
      <w:pPr>
        <w:jc w:val="center"/>
        <w:ind w:left="3160"/>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2016</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616585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wp:posOffset>
            </wp:positionV>
            <wp:extent cx="616585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154" w:lineRule="exact"/>
        <w:rPr>
          <w:rFonts w:ascii="Arial" w:cs="Arial" w:eastAsia="Arial" w:hAnsi="Arial"/>
          <w:sz w:val="13"/>
          <w:szCs w:val="13"/>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6"/>
              </w:rPr>
              <w:t>Portfolio Company, Country</w:t>
            </w:r>
            <w:r>
              <w:rPr>
                <w:rFonts w:ascii="Arial" w:cs="Arial" w:eastAsia="Arial" w:hAnsi="Arial"/>
                <w:sz w:val="20"/>
                <w:szCs w:val="20"/>
                <w:b w:val="1"/>
                <w:bCs w:val="1"/>
                <w:color w:val="auto"/>
                <w:w w:val="86"/>
                <w:vertAlign w:val="superscript"/>
              </w:rPr>
              <w:t>(4),(5),(14),(15)</w:t>
            </w:r>
          </w:p>
        </w:tc>
        <w:tc>
          <w:tcPr>
            <w:tcW w:w="40" w:type="dxa"/>
            <w:vAlign w:val="bottom"/>
          </w:tcPr>
          <w:p>
            <w:pPr>
              <w:spacing w:after="0"/>
              <w:rPr>
                <w:sz w:val="19"/>
                <w:szCs w:val="19"/>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Industry</w:t>
            </w:r>
          </w:p>
        </w:tc>
        <w:tc>
          <w:tcPr>
            <w:tcW w:w="0" w:type="dxa"/>
            <w:vAlign w:val="bottom"/>
          </w:tcPr>
          <w:p>
            <w:pPr>
              <w:spacing w:after="0"/>
              <w:rPr>
                <w:sz w:val="1"/>
                <w:szCs w:val="1"/>
                <w:color w:val="auto"/>
              </w:rPr>
            </w:pPr>
          </w:p>
        </w:tc>
      </w:tr>
      <w:tr>
        <w:trPr>
          <w:trHeight w:val="123"/>
        </w:trPr>
        <w:tc>
          <w:tcPr>
            <w:tcW w:w="2340" w:type="dxa"/>
            <w:vAlign w:val="bottom"/>
          </w:tcPr>
          <w:p>
            <w:pPr>
              <w:ind w:left="20"/>
              <w:spacing w:after="0" w:line="123" w:lineRule="exact"/>
              <w:rPr>
                <w:sz w:val="20"/>
                <w:szCs w:val="20"/>
                <w:color w:val="auto"/>
              </w:rPr>
            </w:pPr>
            <w:r>
              <w:rPr>
                <w:rFonts w:ascii="Arial" w:cs="Arial" w:eastAsia="Arial" w:hAnsi="Arial"/>
                <w:sz w:val="14"/>
                <w:szCs w:val="14"/>
                <w:color w:val="auto"/>
              </w:rPr>
              <w:t>Portrait Innovations, Inc.</w:t>
            </w:r>
          </w:p>
        </w:tc>
        <w:tc>
          <w:tcPr>
            <w:tcW w:w="40" w:type="dxa"/>
            <w:vAlign w:val="bottom"/>
          </w:tcPr>
          <w:p>
            <w:pPr>
              <w:spacing w:after="0"/>
              <w:rPr>
                <w:sz w:val="10"/>
                <w:szCs w:val="10"/>
                <w:color w:val="auto"/>
              </w:rPr>
            </w:pPr>
          </w:p>
        </w:tc>
        <w:tc>
          <w:tcPr>
            <w:tcW w:w="2280" w:type="dxa"/>
            <w:vAlign w:val="bottom"/>
          </w:tcPr>
          <w:p>
            <w:pPr>
              <w:ind w:left="80"/>
              <w:spacing w:after="0" w:line="123" w:lineRule="exact"/>
              <w:rPr>
                <w:sz w:val="20"/>
                <w:szCs w:val="20"/>
                <w:color w:val="auto"/>
              </w:rPr>
            </w:pPr>
            <w:r>
              <w:rPr>
                <w:rFonts w:ascii="Arial" w:cs="Arial" w:eastAsia="Arial" w:hAnsi="Arial"/>
                <w:sz w:val="14"/>
                <w:szCs w:val="14"/>
                <w:color w:val="auto"/>
              </w:rPr>
              <w:t>Professional and Personal Digital</w:t>
            </w:r>
          </w:p>
        </w:tc>
        <w:tc>
          <w:tcPr>
            <w:tcW w:w="0" w:type="dxa"/>
            <w:vAlign w:val="bottom"/>
          </w:tcPr>
          <w:p>
            <w:pPr>
              <w:spacing w:after="0"/>
              <w:rPr>
                <w:sz w:val="1"/>
                <w:szCs w:val="1"/>
                <w:color w:val="auto"/>
              </w:rPr>
            </w:pPr>
          </w:p>
        </w:tc>
      </w:tr>
      <w:tr>
        <w:trPr>
          <w:trHeight w:val="182"/>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Imaging</w:t>
            </w:r>
          </w:p>
        </w:tc>
        <w:tc>
          <w:tcPr>
            <w:tcW w:w="0" w:type="dxa"/>
            <w:vAlign w:val="bottom"/>
          </w:tcPr>
          <w:p>
            <w:pPr>
              <w:spacing w:after="0"/>
              <w:rPr>
                <w:sz w:val="1"/>
                <w:szCs w:val="1"/>
                <w:color w:val="auto"/>
              </w:rPr>
            </w:pPr>
          </w:p>
        </w:tc>
      </w:tr>
      <w:tr>
        <w:trPr>
          <w:trHeight w:val="324"/>
        </w:trPr>
        <w:tc>
          <w:tcPr>
            <w:tcW w:w="2340" w:type="dxa"/>
            <w:vAlign w:val="bottom"/>
          </w:tcPr>
          <w:p>
            <w:pPr>
              <w:ind w:left="20"/>
              <w:spacing w:after="0"/>
              <w:rPr>
                <w:sz w:val="20"/>
                <w:szCs w:val="20"/>
                <w:color w:val="auto"/>
              </w:rPr>
            </w:pPr>
            <w:r>
              <w:rPr>
                <w:rFonts w:ascii="Arial" w:cs="Arial" w:eastAsia="Arial" w:hAnsi="Arial"/>
                <w:sz w:val="14"/>
                <w:szCs w:val="14"/>
                <w:color w:val="auto"/>
                <w:w w:val="95"/>
              </w:rPr>
              <w:t>Sequoia Healthcare Management, LLC</w:t>
            </w:r>
          </w:p>
        </w:tc>
        <w:tc>
          <w:tcPr>
            <w:tcW w:w="40" w:type="dxa"/>
            <w:vAlign w:val="bottom"/>
          </w:tcPr>
          <w:p>
            <w:pPr>
              <w:spacing w:after="0"/>
              <w:rPr>
                <w:sz w:val="24"/>
                <w:szCs w:val="24"/>
                <w:color w:val="auto"/>
              </w:rPr>
            </w:pPr>
          </w:p>
        </w:tc>
        <w:tc>
          <w:tcPr>
            <w:tcW w:w="2280" w:type="dxa"/>
            <w:vAlign w:val="bottom"/>
            <w:vMerge w:val="restart"/>
          </w:tcPr>
          <w:p>
            <w:pPr>
              <w:ind w:left="80"/>
              <w:spacing w:after="0"/>
              <w:rPr>
                <w:sz w:val="20"/>
                <w:szCs w:val="20"/>
                <w:color w:val="auto"/>
              </w:rPr>
            </w:pPr>
            <w:r>
              <w:rPr>
                <w:rFonts w:ascii="Arial" w:cs="Arial" w:eastAsia="Arial" w:hAnsi="Arial"/>
                <w:sz w:val="14"/>
                <w:szCs w:val="14"/>
                <w:color w:val="auto"/>
              </w:rPr>
              <w:t>Healthcare Management</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340" w:type="dxa"/>
            <w:vAlign w:val="bottom"/>
          </w:tcPr>
          <w:p>
            <w:pPr>
              <w:ind w:left="20"/>
              <w:spacing w:after="0"/>
              <w:rPr>
                <w:sz w:val="20"/>
                <w:szCs w:val="20"/>
                <w:color w:val="auto"/>
              </w:rPr>
            </w:pPr>
            <w:r>
              <w:rPr>
                <w:rFonts w:ascii="Arial" w:cs="Arial" w:eastAsia="Arial" w:hAnsi="Arial"/>
                <w:sz w:val="14"/>
                <w:szCs w:val="14"/>
                <w:color w:val="auto"/>
              </w:rPr>
              <w:t>Sierra Hamilton, LLC</w:t>
            </w:r>
          </w:p>
        </w:tc>
        <w:tc>
          <w:tcPr>
            <w:tcW w:w="4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Oil &amp; Gas Engineering and</w:t>
            </w:r>
          </w:p>
        </w:tc>
        <w:tc>
          <w:tcPr>
            <w:tcW w:w="0" w:type="dxa"/>
            <w:vAlign w:val="bottom"/>
          </w:tcPr>
          <w:p>
            <w:pPr>
              <w:spacing w:after="0"/>
              <w:rPr>
                <w:sz w:val="1"/>
                <w:szCs w:val="1"/>
                <w:color w:val="auto"/>
              </w:rPr>
            </w:pPr>
          </w:p>
        </w:tc>
      </w:tr>
      <w:tr>
        <w:trPr>
          <w:trHeight w:val="182"/>
        </w:trPr>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Consulting Services</w:t>
            </w:r>
          </w:p>
        </w:tc>
        <w:tc>
          <w:tcPr>
            <w:tcW w:w="0" w:type="dxa"/>
            <w:vAlign w:val="bottom"/>
          </w:tcPr>
          <w:p>
            <w:pPr>
              <w:spacing w:after="0"/>
              <w:rPr>
                <w:sz w:val="1"/>
                <w:szCs w:val="1"/>
                <w:color w:val="auto"/>
              </w:rPr>
            </w:pPr>
          </w:p>
        </w:tc>
      </w:tr>
      <w:tr>
        <w:trPr>
          <w:trHeight w:val="324"/>
        </w:trPr>
        <w:tc>
          <w:tcPr>
            <w:tcW w:w="2340" w:type="dxa"/>
            <w:vAlign w:val="bottom"/>
          </w:tcPr>
          <w:p>
            <w:pPr>
              <w:ind w:left="20"/>
              <w:spacing w:after="0"/>
              <w:rPr>
                <w:sz w:val="20"/>
                <w:szCs w:val="20"/>
                <w:color w:val="auto"/>
              </w:rPr>
            </w:pPr>
            <w:r>
              <w:rPr>
                <w:rFonts w:ascii="Arial" w:cs="Arial" w:eastAsia="Arial" w:hAnsi="Arial"/>
                <w:sz w:val="14"/>
                <w:szCs w:val="14"/>
                <w:color w:val="auto"/>
              </w:rPr>
              <w:t>Sur La Table, Inc.</w:t>
            </w:r>
          </w:p>
        </w:tc>
        <w:tc>
          <w:tcPr>
            <w:tcW w:w="40" w:type="dxa"/>
            <w:vAlign w:val="bottom"/>
          </w:tcPr>
          <w:p>
            <w:pPr>
              <w:spacing w:after="0"/>
              <w:rPr>
                <w:sz w:val="24"/>
                <w:szCs w:val="24"/>
                <w:color w:val="auto"/>
              </w:rPr>
            </w:pPr>
          </w:p>
        </w:tc>
        <w:tc>
          <w:tcPr>
            <w:tcW w:w="2280" w:type="dxa"/>
            <w:vAlign w:val="bottom"/>
            <w:vMerge w:val="restart"/>
          </w:tcPr>
          <w:p>
            <w:pPr>
              <w:ind w:left="80"/>
              <w:spacing w:after="0"/>
              <w:rPr>
                <w:sz w:val="20"/>
                <w:szCs w:val="20"/>
                <w:color w:val="auto"/>
              </w:rPr>
            </w:pPr>
            <w:r>
              <w:rPr>
                <w:rFonts w:ascii="Arial" w:cs="Arial" w:eastAsia="Arial" w:hAnsi="Arial"/>
                <w:sz w:val="14"/>
                <w:szCs w:val="14"/>
                <w:color w:val="auto"/>
              </w:rPr>
              <w:t>Retail</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340" w:type="dxa"/>
            <w:vAlign w:val="bottom"/>
          </w:tcPr>
          <w:p>
            <w:pPr>
              <w:ind w:left="20"/>
              <w:spacing w:after="0"/>
              <w:rPr>
                <w:sz w:val="20"/>
                <w:szCs w:val="20"/>
                <w:color w:val="auto"/>
              </w:rPr>
            </w:pPr>
            <w:r>
              <w:rPr>
                <w:rFonts w:ascii="Arial" w:cs="Arial" w:eastAsia="Arial" w:hAnsi="Arial"/>
                <w:sz w:val="14"/>
                <w:szCs w:val="14"/>
                <w:color w:val="auto"/>
              </w:rPr>
              <w:t>Taylor Precision Products, Inc.</w:t>
            </w:r>
          </w:p>
        </w:tc>
        <w:tc>
          <w:tcPr>
            <w:tcW w:w="40" w:type="dxa"/>
            <w:vAlign w:val="bottom"/>
          </w:tcPr>
          <w:p>
            <w:pPr>
              <w:spacing w:after="0"/>
              <w:rPr>
                <w:sz w:val="24"/>
                <w:szCs w:val="24"/>
                <w:color w:val="auto"/>
              </w:rPr>
            </w:pPr>
          </w:p>
        </w:tc>
        <w:tc>
          <w:tcPr>
            <w:tcW w:w="2280" w:type="dxa"/>
            <w:vAlign w:val="bottom"/>
            <w:vMerge w:val="restart"/>
          </w:tcPr>
          <w:p>
            <w:pPr>
              <w:ind w:left="80"/>
              <w:spacing w:after="0"/>
              <w:rPr>
                <w:sz w:val="20"/>
                <w:szCs w:val="20"/>
                <w:color w:val="auto"/>
              </w:rPr>
            </w:pPr>
            <w:r>
              <w:rPr>
                <w:rFonts w:ascii="Arial" w:cs="Arial" w:eastAsia="Arial" w:hAnsi="Arial"/>
                <w:sz w:val="14"/>
                <w:szCs w:val="14"/>
                <w:color w:val="auto"/>
              </w:rPr>
              <w:t>Household Product Manufacturer</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340" w:type="dxa"/>
            <w:vAlign w:val="bottom"/>
          </w:tcPr>
          <w:p>
            <w:pPr>
              <w:ind w:left="20"/>
              <w:spacing w:after="0"/>
              <w:rPr>
                <w:sz w:val="20"/>
                <w:szCs w:val="20"/>
                <w:color w:val="auto"/>
              </w:rPr>
            </w:pPr>
            <w:r>
              <w:rPr>
                <w:rFonts w:ascii="Arial" w:cs="Arial" w:eastAsia="Arial" w:hAnsi="Arial"/>
                <w:sz w:val="14"/>
                <w:szCs w:val="14"/>
                <w:color w:val="auto"/>
              </w:rPr>
              <w:t>U.S. Well Services, LLC</w:t>
            </w: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0" w:type="dxa"/>
            <w:vAlign w:val="bottom"/>
          </w:tcPr>
          <w:p>
            <w:pPr>
              <w:spacing w:after="0"/>
              <w:rPr>
                <w:sz w:val="1"/>
                <w:szCs w:val="1"/>
                <w:color w:val="auto"/>
              </w:rPr>
            </w:pPr>
          </w:p>
        </w:tc>
      </w:tr>
      <w:tr>
        <w:trPr>
          <w:trHeight w:val="324"/>
        </w:trPr>
        <w:tc>
          <w:tcPr>
            <w:tcW w:w="2340" w:type="dxa"/>
            <w:vAlign w:val="bottom"/>
          </w:tcPr>
          <w:p>
            <w:pPr>
              <w:ind w:left="20"/>
              <w:spacing w:after="0"/>
              <w:rPr>
                <w:sz w:val="20"/>
                <w:szCs w:val="20"/>
                <w:color w:val="auto"/>
              </w:rPr>
            </w:pPr>
            <w:r>
              <w:rPr>
                <w:rFonts w:ascii="Arial" w:cs="Arial" w:eastAsia="Arial" w:hAnsi="Arial"/>
                <w:sz w:val="14"/>
                <w:szCs w:val="14"/>
                <w:color w:val="auto"/>
              </w:rPr>
              <w:t>Vintage Stock, Inc.</w:t>
            </w: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Specialty Retail</w:t>
            </w:r>
          </w:p>
        </w:tc>
        <w:tc>
          <w:tcPr>
            <w:tcW w:w="0" w:type="dxa"/>
            <w:vAlign w:val="bottom"/>
          </w:tcPr>
          <w:p>
            <w:pPr>
              <w:spacing w:after="0"/>
              <w:rPr>
                <w:sz w:val="1"/>
                <w:szCs w:val="1"/>
                <w:color w:val="auto"/>
              </w:rPr>
            </w:pPr>
          </w:p>
        </w:tc>
      </w:tr>
      <w:tr>
        <w:trPr>
          <w:trHeight w:val="324"/>
        </w:trPr>
        <w:tc>
          <w:tcPr>
            <w:tcW w:w="2340" w:type="dxa"/>
            <w:vAlign w:val="bottom"/>
          </w:tcPr>
          <w:p>
            <w:pPr>
              <w:ind w:left="20"/>
              <w:spacing w:after="0"/>
              <w:rPr>
                <w:sz w:val="20"/>
                <w:szCs w:val="20"/>
                <w:color w:val="auto"/>
              </w:rPr>
            </w:pPr>
            <w:r>
              <w:rPr>
                <w:rFonts w:ascii="Arial" w:cs="Arial" w:eastAsia="Arial" w:hAnsi="Arial"/>
                <w:sz w:val="14"/>
                <w:szCs w:val="14"/>
                <w:color w:val="auto"/>
              </w:rPr>
              <w:t>Vology, Inc.</w:t>
            </w: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0" w:type="dxa"/>
            <w:vAlign w:val="bottom"/>
          </w:tcPr>
          <w:p>
            <w:pPr>
              <w:spacing w:after="0"/>
              <w:rPr>
                <w:sz w:val="1"/>
                <w:szCs w:val="1"/>
                <w:color w:val="auto"/>
              </w:rPr>
            </w:pPr>
          </w:p>
        </w:tc>
      </w:tr>
      <w:tr>
        <w:trPr>
          <w:trHeight w:val="324"/>
        </w:trPr>
        <w:tc>
          <w:tcPr>
            <w:tcW w:w="2340" w:type="dxa"/>
            <w:vAlign w:val="bottom"/>
          </w:tcPr>
          <w:p>
            <w:pPr>
              <w:ind w:left="20"/>
              <w:spacing w:after="0"/>
              <w:rPr>
                <w:sz w:val="20"/>
                <w:szCs w:val="20"/>
                <w:color w:val="auto"/>
              </w:rPr>
            </w:pPr>
            <w:r>
              <w:rPr>
                <w:rFonts w:ascii="Arial" w:cs="Arial" w:eastAsia="Arial" w:hAnsi="Arial"/>
                <w:sz w:val="14"/>
                <w:szCs w:val="14"/>
                <w:color w:val="auto"/>
              </w:rPr>
              <w:t>Western Windows Systems, LLC</w:t>
            </w: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ind w:left="80"/>
              <w:spacing w:after="0" w:line="155" w:lineRule="exact"/>
              <w:rPr>
                <w:sz w:val="20"/>
                <w:szCs w:val="20"/>
                <w:color w:val="auto"/>
              </w:rPr>
            </w:pPr>
            <w:r>
              <w:rPr>
                <w:rFonts w:ascii="Arial" w:cs="Arial" w:eastAsia="Arial" w:hAnsi="Arial"/>
                <w:sz w:val="14"/>
                <w:szCs w:val="14"/>
                <w:color w:val="auto"/>
              </w:rPr>
              <w:t>Building Products</w:t>
            </w:r>
          </w:p>
        </w:tc>
        <w:tc>
          <w:tcPr>
            <w:tcW w:w="0" w:type="dxa"/>
            <w:vAlign w:val="bottom"/>
          </w:tcPr>
          <w:p>
            <w:pPr>
              <w:spacing w:after="0"/>
              <w:rPr>
                <w:sz w:val="1"/>
                <w:szCs w:val="1"/>
                <w:color w:val="auto"/>
              </w:rPr>
            </w:pPr>
          </w:p>
        </w:tc>
      </w:tr>
      <w:tr>
        <w:trPr>
          <w:trHeight w:val="182"/>
        </w:trPr>
        <w:tc>
          <w:tcPr>
            <w:tcW w:w="2340" w:type="dxa"/>
            <w:vAlign w:val="bottom"/>
          </w:tcPr>
          <w:p>
            <w:pPr>
              <w:ind w:left="20"/>
              <w:spacing w:after="0"/>
              <w:rPr>
                <w:sz w:val="20"/>
                <w:szCs w:val="20"/>
                <w:color w:val="auto"/>
              </w:rPr>
            </w:pPr>
            <w:r>
              <w:rPr>
                <w:rFonts w:ascii="Arial" w:cs="Arial" w:eastAsia="Arial" w:hAnsi="Arial"/>
                <w:sz w:val="14"/>
                <w:szCs w:val="14"/>
                <w:color w:val="auto"/>
              </w:rPr>
              <w:t>Western Windows Systems, LLC</w:t>
            </w: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0" w:type="dxa"/>
            <w:vAlign w:val="bottom"/>
          </w:tcPr>
          <w:p>
            <w:pPr>
              <w:spacing w:after="0"/>
              <w:rPr>
                <w:sz w:val="1"/>
                <w:szCs w:val="1"/>
                <w:color w:val="auto"/>
              </w:rPr>
            </w:pPr>
          </w:p>
        </w:tc>
      </w:tr>
      <w:tr>
        <w:trPr>
          <w:trHeight w:val="324"/>
        </w:trPr>
        <w:tc>
          <w:tcPr>
            <w:tcW w:w="2340" w:type="dxa"/>
            <w:vAlign w:val="bottom"/>
          </w:tcPr>
          <w:p>
            <w:pPr>
              <w:ind w:left="20"/>
              <w:spacing w:after="0"/>
              <w:rPr>
                <w:sz w:val="20"/>
                <w:szCs w:val="20"/>
                <w:color w:val="auto"/>
              </w:rPr>
            </w:pPr>
            <w:r>
              <w:rPr>
                <w:rFonts w:ascii="Arial" w:cs="Arial" w:eastAsia="Arial" w:hAnsi="Arial"/>
                <w:sz w:val="14"/>
                <w:szCs w:val="14"/>
                <w:color w:val="auto"/>
              </w:rPr>
              <w:t>Xirgo Technologies, LLC</w:t>
            </w:r>
          </w:p>
        </w:tc>
        <w:tc>
          <w:tcPr>
            <w:tcW w:w="40" w:type="dxa"/>
            <w:vAlign w:val="bottom"/>
          </w:tcPr>
          <w:p>
            <w:pPr>
              <w:spacing w:after="0"/>
              <w:rPr>
                <w:sz w:val="24"/>
                <w:szCs w:val="24"/>
                <w:color w:val="auto"/>
              </w:rPr>
            </w:pPr>
          </w:p>
        </w:tc>
        <w:tc>
          <w:tcPr>
            <w:tcW w:w="2280" w:type="dxa"/>
            <w:vAlign w:val="bottom"/>
            <w:vMerge w:val="restart"/>
          </w:tcPr>
          <w:p>
            <w:pPr>
              <w:ind w:left="80"/>
              <w:spacing w:after="0"/>
              <w:rPr>
                <w:sz w:val="20"/>
                <w:szCs w:val="20"/>
                <w:color w:val="auto"/>
              </w:rPr>
            </w:pPr>
            <w:r>
              <w:rPr>
                <w:rFonts w:ascii="Arial" w:cs="Arial" w:eastAsia="Arial" w:hAnsi="Arial"/>
                <w:sz w:val="14"/>
                <w:szCs w:val="14"/>
                <w:color w:val="auto"/>
              </w:rPr>
              <w:t>Information Technology</w:t>
            </w:r>
          </w:p>
        </w:tc>
        <w:tc>
          <w:tcPr>
            <w:tcW w:w="0" w:type="dxa"/>
            <w:vAlign w:val="bottom"/>
          </w:tcPr>
          <w:p>
            <w:pPr>
              <w:spacing w:after="0"/>
              <w:rPr>
                <w:sz w:val="1"/>
                <w:szCs w:val="1"/>
                <w:color w:val="auto"/>
              </w:rPr>
            </w:pPr>
          </w:p>
        </w:tc>
      </w:tr>
      <w:tr>
        <w:trPr>
          <w:trHeight w:val="115"/>
        </w:trPr>
        <w:tc>
          <w:tcPr>
            <w:tcW w:w="2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20"/>
              <w:spacing w:after="0"/>
              <w:rPr>
                <w:sz w:val="20"/>
                <w:szCs w:val="20"/>
                <w:color w:val="auto"/>
              </w:rPr>
            </w:pPr>
            <w:r>
              <w:rPr>
                <w:rFonts w:ascii="Arial" w:cs="Arial" w:eastAsia="Arial" w:hAnsi="Arial"/>
                <w:sz w:val="14"/>
                <w:szCs w:val="14"/>
                <w:color w:val="auto"/>
              </w:rPr>
              <w:t>Xirgo Technologies, LLC</w:t>
            </w: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Information Technology</w:t>
            </w:r>
          </w:p>
        </w:tc>
        <w:tc>
          <w:tcPr>
            <w:tcW w:w="0" w:type="dxa"/>
            <w:vAlign w:val="bottom"/>
          </w:tcPr>
          <w:p>
            <w:pPr>
              <w:spacing w:after="0"/>
              <w:rPr>
                <w:sz w:val="1"/>
                <w:szCs w:val="1"/>
                <w:color w:val="auto"/>
              </w:rPr>
            </w:pPr>
          </w:p>
        </w:tc>
      </w:tr>
    </w:tbl>
    <w:p>
      <w:pPr>
        <w:spacing w:after="0" w:line="138" w:lineRule="exact"/>
        <w:rPr>
          <w:rFonts w:ascii="Arial" w:cs="Arial" w:eastAsia="Arial" w:hAnsi="Arial"/>
          <w:sz w:val="13"/>
          <w:szCs w:val="13"/>
          <w:color w:val="auto"/>
        </w:rPr>
      </w:pPr>
    </w:p>
    <w:p>
      <w:pPr>
        <w:ind w:left="20"/>
        <w:spacing w:after="0"/>
        <w:rPr>
          <w:sz w:val="20"/>
          <w:szCs w:val="20"/>
          <w:color w:val="auto"/>
        </w:rPr>
      </w:pPr>
      <w:r>
        <w:rPr>
          <w:rFonts w:ascii="Arial" w:cs="Arial" w:eastAsia="Arial" w:hAnsi="Arial"/>
          <w:sz w:val="14"/>
          <w:szCs w:val="14"/>
          <w:b w:val="1"/>
          <w:bCs w:val="1"/>
          <w:color w:val="auto"/>
        </w:rPr>
        <w:t>Sub Total Non-control/non-affiliated investments – United States</w:t>
      </w:r>
    </w:p>
    <w:p>
      <w:pPr>
        <w:spacing w:after="0" w:line="5" w:lineRule="exact"/>
        <w:rPr>
          <w:rFonts w:ascii="Arial" w:cs="Arial" w:eastAsia="Arial" w:hAnsi="Arial"/>
          <w:sz w:val="13"/>
          <w:szCs w:val="13"/>
          <w:color w:val="auto"/>
        </w:rPr>
      </w:pPr>
    </w:p>
    <w:p>
      <w:pPr>
        <w:ind w:left="20"/>
        <w:spacing w:after="0"/>
        <w:rPr>
          <w:sz w:val="20"/>
          <w:szCs w:val="20"/>
          <w:color w:val="auto"/>
        </w:rPr>
      </w:pPr>
      <w:r>
        <w:rPr>
          <w:rFonts w:ascii="Arial" w:cs="Arial" w:eastAsia="Arial" w:hAnsi="Arial"/>
          <w:sz w:val="14"/>
          <w:szCs w:val="14"/>
          <w:b w:val="1"/>
          <w:bCs w:val="1"/>
          <w:color w:val="auto"/>
        </w:rPr>
        <w:t>Non-control/non-affiliated investments – Brazil</w:t>
      </w:r>
    </w:p>
    <w:p>
      <w:pPr>
        <w:ind w:left="20"/>
        <w:spacing w:after="0" w:line="221" w:lineRule="auto"/>
        <w:rPr>
          <w:sz w:val="20"/>
          <w:szCs w:val="20"/>
          <w:color w:val="auto"/>
        </w:rPr>
      </w:pPr>
      <w:r>
        <w:rPr>
          <w:rFonts w:ascii="Arial" w:cs="Arial" w:eastAsia="Arial" w:hAnsi="Arial"/>
          <w:sz w:val="14"/>
          <w:szCs w:val="14"/>
          <w:color w:val="auto"/>
        </w:rPr>
        <w:t>Velum Global Credit Management,</w:t>
      </w:r>
    </w:p>
    <w:p>
      <w:pPr>
        <w:ind w:left="200"/>
        <w:spacing w:after="0"/>
        <w:rPr>
          <w:sz w:val="20"/>
          <w:szCs w:val="20"/>
          <w:color w:val="auto"/>
        </w:rPr>
      </w:pPr>
      <w:r>
        <w:rPr>
          <w:rFonts w:ascii="Arial" w:cs="Arial" w:eastAsia="Arial" w:hAnsi="Arial"/>
          <w:sz w:val="14"/>
          <w:szCs w:val="14"/>
          <w:color w:val="auto"/>
        </w:rPr>
        <w:t>LLC</w:t>
      </w:r>
    </w:p>
    <w:p>
      <w:pPr>
        <w:spacing w:after="0" w:line="188" w:lineRule="exact"/>
        <w:rPr>
          <w:rFonts w:ascii="Arial" w:cs="Arial" w:eastAsia="Arial" w:hAnsi="Arial"/>
          <w:sz w:val="13"/>
          <w:szCs w:val="13"/>
          <w:color w:val="auto"/>
        </w:rPr>
      </w:pPr>
    </w:p>
    <w:p>
      <w:pPr>
        <w:ind w:left="20"/>
        <w:spacing w:after="0"/>
        <w:rPr>
          <w:sz w:val="20"/>
          <w:szCs w:val="20"/>
          <w:color w:val="auto"/>
        </w:rPr>
      </w:pPr>
      <w:r>
        <w:rPr>
          <w:rFonts w:ascii="Arial" w:cs="Arial" w:eastAsia="Arial" w:hAnsi="Arial"/>
          <w:sz w:val="14"/>
          <w:szCs w:val="14"/>
          <w:b w:val="1"/>
          <w:bCs w:val="1"/>
          <w:color w:val="auto"/>
        </w:rPr>
        <w:t>Sub Total Non-Control/non-affiliated investments – Brazil</w:t>
      </w:r>
    </w:p>
    <w:p>
      <w:pPr>
        <w:spacing w:after="0" w:line="17" w:lineRule="exact"/>
        <w:rPr>
          <w:rFonts w:ascii="Arial" w:cs="Arial" w:eastAsia="Arial" w:hAnsi="Arial"/>
          <w:sz w:val="13"/>
          <w:szCs w:val="13"/>
          <w:color w:val="auto"/>
        </w:rPr>
      </w:pPr>
    </w:p>
    <w:p>
      <w:pPr>
        <w:ind w:left="20" w:right="1640"/>
        <w:spacing w:after="0" w:line="237" w:lineRule="auto"/>
        <w:rPr>
          <w:sz w:val="20"/>
          <w:szCs w:val="20"/>
          <w:color w:val="auto"/>
        </w:rPr>
      </w:pPr>
      <w:r>
        <w:rPr>
          <w:rFonts w:ascii="Arial" w:cs="Arial" w:eastAsia="Arial" w:hAnsi="Arial"/>
          <w:sz w:val="14"/>
          <w:szCs w:val="14"/>
          <w:b w:val="1"/>
          <w:bCs w:val="1"/>
          <w:color w:val="auto"/>
        </w:rPr>
        <w:t xml:space="preserve">Non-control/non-affiliated investments – Canada </w:t>
      </w:r>
      <w:r>
        <w:rPr>
          <w:rFonts w:ascii="Arial" w:cs="Arial" w:eastAsia="Arial" w:hAnsi="Arial"/>
          <w:sz w:val="14"/>
          <w:szCs w:val="14"/>
          <w:color w:val="auto"/>
        </w:rPr>
        <w:t>Group Cirque du Soleil, Inc.</w:t>
      </w:r>
    </w:p>
    <w:p>
      <w:pPr>
        <w:spacing w:after="0" w:line="156" w:lineRule="exact"/>
        <w:rPr>
          <w:rFonts w:ascii="Arial" w:cs="Arial" w:eastAsia="Arial" w:hAnsi="Arial"/>
          <w:sz w:val="13"/>
          <w:szCs w:val="13"/>
          <w:color w:val="auto"/>
        </w:rPr>
      </w:pPr>
    </w:p>
    <w:p>
      <w:pPr>
        <w:ind w:left="2460"/>
        <w:spacing w:after="0"/>
        <w:rPr>
          <w:sz w:val="20"/>
          <w:szCs w:val="20"/>
          <w:color w:val="auto"/>
        </w:rPr>
      </w:pPr>
      <w:r>
        <w:rPr>
          <w:rFonts w:ascii="Arial" w:cs="Arial" w:eastAsia="Arial" w:hAnsi="Arial"/>
          <w:sz w:val="14"/>
          <w:szCs w:val="14"/>
          <w:color w:val="auto"/>
        </w:rPr>
        <w:t>Entertainment</w:t>
      </w:r>
    </w:p>
    <w:p>
      <w:pPr>
        <w:spacing w:after="0" w:line="159" w:lineRule="exact"/>
        <w:rPr>
          <w:rFonts w:ascii="Arial" w:cs="Arial" w:eastAsia="Arial" w:hAnsi="Arial"/>
          <w:sz w:val="13"/>
          <w:szCs w:val="13"/>
          <w:color w:val="auto"/>
        </w:rPr>
      </w:pPr>
    </w:p>
    <w:p>
      <w:pPr>
        <w:ind w:left="20" w:right="980"/>
        <w:spacing w:after="0" w:line="292" w:lineRule="auto"/>
        <w:rPr>
          <w:sz w:val="20"/>
          <w:szCs w:val="20"/>
          <w:color w:val="auto"/>
        </w:rPr>
      </w:pPr>
      <w:r>
        <w:rPr>
          <w:rFonts w:ascii="Arial" w:cs="Arial" w:eastAsia="Arial" w:hAnsi="Arial"/>
          <w:sz w:val="13"/>
          <w:szCs w:val="13"/>
          <w:b w:val="1"/>
          <w:bCs w:val="1"/>
          <w:color w:val="auto"/>
        </w:rPr>
        <w:t>Sub Total Non-Control/non-affiliated investments – Canada Sub Total Non-control/non – affiliated investments</w:t>
      </w:r>
    </w:p>
    <w:p>
      <w:pPr>
        <w:spacing w:after="0" w:line="1" w:lineRule="exact"/>
        <w:rPr>
          <w:rFonts w:ascii="Arial" w:cs="Arial" w:eastAsia="Arial" w:hAnsi="Arial"/>
          <w:sz w:val="13"/>
          <w:szCs w:val="13"/>
          <w:color w:val="auto"/>
        </w:rPr>
      </w:pPr>
    </w:p>
    <w:p>
      <w:pPr>
        <w:ind w:left="20"/>
        <w:spacing w:after="0"/>
        <w:rPr>
          <w:sz w:val="20"/>
          <w:szCs w:val="20"/>
          <w:color w:val="auto"/>
        </w:rPr>
      </w:pPr>
      <w:r>
        <w:rPr>
          <w:rFonts w:ascii="Arial" w:cs="Arial" w:eastAsia="Arial" w:hAnsi="Arial"/>
          <w:sz w:val="14"/>
          <w:szCs w:val="14"/>
          <w:b w:val="1"/>
          <w:bCs w:val="1"/>
          <w:color w:val="auto"/>
        </w:rPr>
        <w:t>Affiliate investments – 24.5%</w:t>
      </w:r>
    </w:p>
    <w:p>
      <w:pPr>
        <w:ind w:left="20"/>
        <w:spacing w:after="0" w:line="226" w:lineRule="auto"/>
        <w:rPr>
          <w:sz w:val="20"/>
          <w:szCs w:val="20"/>
          <w:color w:val="auto"/>
        </w:rPr>
      </w:pPr>
      <w:r>
        <w:rPr>
          <w:rFonts w:ascii="Arial" w:cs="Arial" w:eastAsia="Arial" w:hAnsi="Arial"/>
          <w:sz w:val="14"/>
          <w:szCs w:val="14"/>
          <w:b w:val="1"/>
          <w:bCs w:val="1"/>
          <w:color w:val="auto"/>
        </w:rPr>
        <w:t>Affiliate investments – United States</w:t>
      </w:r>
    </w:p>
    <w:p>
      <w:pPr>
        <w:spacing w:after="0" w:line="1" w:lineRule="exact"/>
        <w:rPr>
          <w:rFonts w:ascii="Arial" w:cs="Arial" w:eastAsia="Arial" w:hAnsi="Arial"/>
          <w:sz w:val="13"/>
          <w:szCs w:val="13"/>
          <w:color w:val="auto"/>
        </w:rPr>
      </w:pPr>
    </w:p>
    <w:p>
      <w:pPr>
        <w:ind w:left="20"/>
        <w:spacing w:after="0"/>
        <w:rPr>
          <w:sz w:val="20"/>
          <w:szCs w:val="20"/>
          <w:color w:val="auto"/>
        </w:rPr>
      </w:pPr>
      <w:r>
        <w:rPr>
          <w:rFonts w:ascii="Arial" w:cs="Arial" w:eastAsia="Arial" w:hAnsi="Arial"/>
          <w:sz w:val="14"/>
          <w:szCs w:val="14"/>
          <w:color w:val="auto"/>
        </w:rPr>
        <w:t>Burgaflex Holdings, LLC</w:t>
      </w:r>
    </w:p>
    <w:p>
      <w:pPr>
        <w:spacing w:after="0" w:line="16" w:lineRule="exact"/>
        <w:rPr>
          <w:rFonts w:ascii="Arial" w:cs="Arial" w:eastAsia="Arial" w:hAnsi="Arial"/>
          <w:sz w:val="13"/>
          <w:szCs w:val="13"/>
          <w:color w:val="auto"/>
        </w:rPr>
      </w:pPr>
    </w:p>
    <w:p>
      <w:pPr>
        <w:ind w:left="2460"/>
        <w:spacing w:after="0"/>
        <w:rPr>
          <w:sz w:val="20"/>
          <w:szCs w:val="20"/>
          <w:color w:val="auto"/>
        </w:rPr>
      </w:pPr>
      <w:r>
        <w:rPr>
          <w:rFonts w:ascii="Arial" w:cs="Arial" w:eastAsia="Arial" w:hAnsi="Arial"/>
          <w:sz w:val="14"/>
          <w:szCs w:val="14"/>
          <w:color w:val="auto"/>
        </w:rPr>
        <w:t>Automobile Part Manufacturer</w:t>
      </w:r>
    </w:p>
    <w:p>
      <w:pPr>
        <w:ind w:left="20"/>
        <w:spacing w:after="0"/>
        <w:rPr>
          <w:sz w:val="20"/>
          <w:szCs w:val="20"/>
          <w:color w:val="auto"/>
        </w:rPr>
      </w:pPr>
      <w:r>
        <w:rPr>
          <w:rFonts w:ascii="Arial" w:cs="Arial" w:eastAsia="Arial" w:hAnsi="Arial"/>
          <w:sz w:val="14"/>
          <w:szCs w:val="14"/>
          <w:color w:val="auto"/>
        </w:rPr>
        <w:t>Burgaflex Holdings, LLC</w:t>
      </w:r>
    </w:p>
    <w:p>
      <w:pPr>
        <w:spacing w:after="0" w:line="16" w:lineRule="exact"/>
        <w:rPr>
          <w:rFonts w:ascii="Arial" w:cs="Arial" w:eastAsia="Arial" w:hAnsi="Arial"/>
          <w:sz w:val="13"/>
          <w:szCs w:val="13"/>
          <w:color w:val="auto"/>
        </w:rPr>
      </w:pPr>
    </w:p>
    <w:p>
      <w:pPr>
        <w:ind w:left="2460"/>
        <w:spacing w:after="0"/>
        <w:rPr>
          <w:sz w:val="20"/>
          <w:szCs w:val="20"/>
          <w:color w:val="auto"/>
        </w:rPr>
      </w:pPr>
      <w:r>
        <w:rPr>
          <w:rFonts w:ascii="Arial" w:cs="Arial" w:eastAsia="Arial" w:hAnsi="Arial"/>
          <w:sz w:val="14"/>
          <w:szCs w:val="14"/>
          <w:color w:val="auto"/>
        </w:rPr>
        <w:t>Automobile Part Manufacturer</w:t>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line="61" w:lineRule="exact"/>
        <w:rPr>
          <w:rFonts w:ascii="Arial" w:cs="Arial" w:eastAsia="Arial" w:hAnsi="Arial"/>
          <w:sz w:val="13"/>
          <w:szCs w:val="13"/>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9"/>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53"/>
        </w:trPr>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23"/>
        </w:trPr>
        <w:tc>
          <w:tcPr>
            <w:tcW w:w="2180" w:type="dxa"/>
            <w:vAlign w:val="bottom"/>
          </w:tcPr>
          <w:p>
            <w:pPr>
              <w:ind w:left="100"/>
              <w:spacing w:after="0" w:line="123" w:lineRule="exact"/>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Due 2/26/20)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9,000</w:t>
            </w:r>
          </w:p>
        </w:tc>
        <w:tc>
          <w:tcPr>
            <w:tcW w:w="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 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PIK, Due 7/17/19)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10,851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10,750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10,851</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First Lien Debt (12.25% Cash,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10,851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12/15/18)</w:t>
            </w:r>
            <w:r>
              <w:rPr>
                <w:rFonts w:ascii="Arial" w:cs="Arial" w:eastAsia="Arial" w:hAnsi="Arial"/>
                <w:sz w:val="22"/>
                <w:szCs w:val="22"/>
                <w:color w:val="auto"/>
                <w:vertAlign w:val="superscript"/>
              </w:rPr>
              <w:t>(2)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4,500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7/28/20)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Series C Preferred Stock (379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1,001</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(14.1% PIK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+ 13.5%, 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floor), Due 5/2/19)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15,083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15,054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15,083</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(13.1% Cash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15,054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15,083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+ 12.5%, 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floor), 3% PIK, Due 11/3/21)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22,067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22,067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22,067</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9"/>
              </w:rPr>
              <w:t>Subordinated Debt (15% Cash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22,067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22,067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+ 14%, 1% Floor,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2% PIK), Due 1/24/21)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8,082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8,082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8,082</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First Lien Debt (11.7% Cash,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7/31/20)</w:t>
            </w:r>
            <w:r>
              <w:rPr>
                <w:rFonts w:ascii="Arial" w:cs="Arial" w:eastAsia="Arial" w:hAnsi="Arial"/>
                <w:sz w:val="20"/>
                <w:szCs w:val="20"/>
                <w:color w:val="auto"/>
                <w:vertAlign w:val="superscript"/>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10,500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10,500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Membership Units (39,860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7,652</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(11.5%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18,152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3/1/22)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15,750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w w:val="98"/>
              </w:rPr>
              <w:t>Membership Units (400,000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380,165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381,985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152.5</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82"/>
        </w:trPr>
        <w:tc>
          <w:tcPr>
            <w:tcW w:w="2180" w:type="dxa"/>
            <w:vAlign w:val="bottom"/>
          </w:tcPr>
          <w:p>
            <w:pPr>
              <w:ind w:left="100"/>
              <w:spacing w:after="0"/>
              <w:rPr>
                <w:sz w:val="20"/>
                <w:szCs w:val="20"/>
                <w:color w:val="auto"/>
              </w:rPr>
            </w:pPr>
            <w:r>
              <w:rPr>
                <w:rFonts w:ascii="Arial" w:cs="Arial" w:eastAsia="Arial" w:hAnsi="Arial"/>
                <w:sz w:val="14"/>
                <w:szCs w:val="14"/>
                <w:color w:val="auto"/>
              </w:rPr>
              <w:t>First Lien Debt (15% PIK, Due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12/31/17)</w:t>
            </w:r>
            <w:r>
              <w:rPr>
                <w:rFonts w:ascii="Arial" w:cs="Arial" w:eastAsia="Arial" w:hAnsi="Arial"/>
                <w:sz w:val="22"/>
                <w:szCs w:val="22"/>
                <w:color w:val="auto"/>
                <w:vertAlign w:val="superscript"/>
              </w:rPr>
              <w:t>(1)(8)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10,553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10,553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10,553</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72"/>
        </w:trPr>
        <w:tc>
          <w:tcPr>
            <w:tcW w:w="2180" w:type="dxa"/>
            <w:vAlign w:val="bottom"/>
          </w:tcPr>
          <w:p>
            <w:pPr>
              <w:ind w:left="100"/>
              <w:spacing w:after="0"/>
              <w:rPr>
                <w:sz w:val="20"/>
                <w:szCs w:val="20"/>
                <w:color w:val="auto"/>
              </w:rPr>
            </w:pPr>
            <w:r>
              <w:rPr>
                <w:rFonts w:ascii="Arial" w:cs="Arial" w:eastAsia="Arial" w:hAnsi="Arial"/>
                <w:sz w:val="14"/>
                <w:szCs w:val="14"/>
                <w:color w:val="auto"/>
                <w:w w:val="96"/>
              </w:rPr>
              <w:t>Second Lien Debt (9.25% Cash (3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month LIBOR + 8.25%, 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Floor), Due 7/8/23)</w:t>
            </w:r>
            <w:r>
              <w:rPr>
                <w:rFonts w:ascii="Arial" w:cs="Arial" w:eastAsia="Arial" w:hAnsi="Arial"/>
                <w:sz w:val="22"/>
                <w:szCs w:val="22"/>
                <w:color w:val="auto"/>
                <w:vertAlign w:val="superscript"/>
              </w:rPr>
              <w:t>(8)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988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987</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391,706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393,525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157.1</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(14% Cash,</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2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8/9/19)</w:t>
            </w:r>
            <w:r>
              <w:rPr>
                <w:rFonts w:ascii="Arial" w:cs="Arial" w:eastAsia="Arial" w:hAnsi="Arial"/>
                <w:sz w:val="20"/>
                <w:szCs w:val="20"/>
                <w:color w:val="auto"/>
                <w:vertAlign w:val="superscript"/>
              </w:rPr>
              <w:t>(10)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3,000</w:t>
            </w:r>
          </w:p>
        </w:tc>
        <w:tc>
          <w:tcPr>
            <w:tcW w:w="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180" w:type="dxa"/>
            <w:vAlign w:val="bottom"/>
          </w:tcPr>
          <w:p>
            <w:pPr>
              <w:ind w:left="100"/>
              <w:spacing w:after="0"/>
              <w:rPr>
                <w:sz w:val="20"/>
                <w:szCs w:val="20"/>
                <w:color w:val="auto"/>
              </w:rPr>
            </w:pPr>
            <w:r>
              <w:rPr>
                <w:rFonts w:ascii="Arial" w:cs="Arial" w:eastAsia="Arial" w:hAnsi="Arial"/>
                <w:sz w:val="14"/>
                <w:szCs w:val="14"/>
                <w:color w:val="auto"/>
              </w:rPr>
              <w:t>Due 8/9/19)</w:t>
            </w:r>
            <w:r>
              <w:rPr>
                <w:rFonts w:ascii="Arial" w:cs="Arial" w:eastAsia="Arial" w:hAnsi="Arial"/>
                <w:sz w:val="23"/>
                <w:szCs w:val="23"/>
                <w:color w:val="auto"/>
                <w:vertAlign w:val="superscript"/>
              </w:rPr>
              <w:t>(10)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5,828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5,828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5,828</w:t>
            </w:r>
          </w:p>
        </w:tc>
        <w:tc>
          <w:tcPr>
            <w:tcW w:w="680" w:type="dxa"/>
            <w:vAlign w:val="bottom"/>
            <w:gridSpan w:val="3"/>
          </w:tcPr>
          <w:p>
            <w:pPr>
              <w:jc w:val="right"/>
              <w:ind w:right="10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200" w:lineRule="exact"/>
        <w:rPr>
          <w:rFonts w:ascii="Arial" w:cs="Arial" w:eastAsia="Arial" w:hAnsi="Arial"/>
          <w:sz w:val="13"/>
          <w:szCs w:val="13"/>
          <w:color w:val="auto"/>
        </w:rPr>
      </w:pPr>
    </w:p>
    <w:p>
      <w:pPr>
        <w:sectPr>
          <w:pgSz w:w="11900" w:h="16838" w:orient="portrait"/>
          <w:cols w:equalWidth="0" w:num="2">
            <w:col w:w="4660" w:space="40"/>
            <w:col w:w="5399"/>
          </w:cols>
          <w:pgMar w:left="360" w:top="792" w:right="1440" w:bottom="1440" w:gutter="0" w:footer="0" w:header="0"/>
          <w:type w:val="continuous"/>
        </w:sectPr>
      </w:pPr>
    </w:p>
    <w:p>
      <w:pPr>
        <w:spacing w:after="0" w:line="211" w:lineRule="exact"/>
        <w:rPr>
          <w:rFonts w:ascii="Arial" w:cs="Arial" w:eastAsia="Arial" w:hAnsi="Arial"/>
          <w:sz w:val="13"/>
          <w:szCs w:val="13"/>
          <w:color w:val="auto"/>
        </w:rPr>
      </w:pPr>
    </w:p>
    <w:p>
      <w:pPr>
        <w:ind w:left="260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rFonts w:ascii="Arial" w:cs="Arial" w:eastAsia="Arial" w:hAnsi="Arial"/>
          <w:sz w:val="13"/>
          <w:szCs w:val="13"/>
          <w:color w:val="auto"/>
        </w:rPr>
      </w:pPr>
    </w:p>
    <w:p>
      <w:pPr>
        <w:spacing w:after="0" w:line="386" w:lineRule="exact"/>
        <w:rPr>
          <w:rFonts w:ascii="Arial" w:cs="Arial" w:eastAsia="Arial" w:hAnsi="Arial"/>
          <w:sz w:val="13"/>
          <w:szCs w:val="13"/>
          <w:color w:val="auto"/>
        </w:rPr>
      </w:pPr>
    </w:p>
    <w:p>
      <w:pPr>
        <w:ind w:left="4500"/>
        <w:spacing w:after="0"/>
        <w:rPr>
          <w:sz w:val="20"/>
          <w:szCs w:val="20"/>
          <w:color w:val="auto"/>
        </w:rPr>
      </w:pPr>
      <w:r>
        <w:rPr>
          <w:rFonts w:ascii="Arial" w:cs="Arial" w:eastAsia="Arial" w:hAnsi="Arial"/>
          <w:sz w:val="18"/>
          <w:szCs w:val="18"/>
          <w:color w:val="auto"/>
        </w:rPr>
        <w:t>F-14</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left="3160"/>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61658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61658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Portfolio Company, Country</w:t>
      </w:r>
      <w:r>
        <w:rPr>
          <w:rFonts w:ascii="Arial" w:cs="Arial" w:eastAsia="Arial" w:hAnsi="Arial"/>
          <w:sz w:val="17"/>
          <w:szCs w:val="17"/>
          <w:b w:val="1"/>
          <w:bCs w:val="1"/>
          <w:color w:val="auto"/>
          <w:vertAlign w:val="superscript"/>
        </w:rPr>
        <w:t>(4),(5),(14),(15)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4751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Burgaflex Holdings, LLC</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City Gear,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City Gear, LLC</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City Gear,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GA Communications,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GA Communications,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J&amp;J Produce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J&amp;J Produce Holdings, Inc.</w:t>
      </w:r>
    </w:p>
    <w:p>
      <w:pPr>
        <w:spacing w:after="0"/>
        <w:rPr>
          <w:sz w:val="20"/>
          <w:szCs w:val="20"/>
          <w:color w:val="auto"/>
        </w:rPr>
      </w:pPr>
      <w:r>
        <w:rPr>
          <w:rFonts w:ascii="Arial" w:cs="Arial" w:eastAsia="Arial" w:hAnsi="Arial"/>
          <w:sz w:val="14"/>
          <w:szCs w:val="14"/>
          <w:color w:val="auto"/>
        </w:rPr>
        <w:t>J&amp;J Produce Holdings, Inc.</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LJS Partners, LLC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MJC Holdings,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MMI Holdings,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MTI Holdings, LLC</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Source Capital Penray, LLC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Source Capital Penray, LLC</w:t>
      </w:r>
    </w:p>
    <w:p>
      <w:pPr>
        <w:spacing w:after="0" w:line="312" w:lineRule="exact"/>
        <w:rPr>
          <w:sz w:val="20"/>
          <w:szCs w:val="20"/>
          <w:color w:val="auto"/>
        </w:rPr>
      </w:pPr>
    </w:p>
    <w:p>
      <w:pPr>
        <w:ind w:left="180" w:hanging="179"/>
        <w:spacing w:after="0" w:line="253" w:lineRule="auto"/>
        <w:rPr>
          <w:sz w:val="20"/>
          <w:szCs w:val="20"/>
          <w:color w:val="auto"/>
        </w:rPr>
      </w:pPr>
      <w:r>
        <w:rPr>
          <w:rFonts w:ascii="Arial" w:cs="Arial" w:eastAsia="Arial" w:hAnsi="Arial"/>
          <w:sz w:val="14"/>
          <w:szCs w:val="14"/>
          <w:color w:val="auto"/>
        </w:rPr>
        <w:t>STX Healthcare Management Services, Inc.</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2540</wp:posOffset>
            </wp:positionV>
            <wp:extent cx="14579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Automobile Part Manufacturer</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Footwear Retail</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Footwear Retail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Footwear Retail</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Advertising &amp; Marketing Services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Advertising &amp; Marketing Services</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Produce Distribution</w:t>
      </w:r>
    </w:p>
    <w:p>
      <w:pPr>
        <w:spacing w:after="0"/>
        <w:rPr>
          <w:sz w:val="20"/>
          <w:szCs w:val="20"/>
          <w:color w:val="auto"/>
        </w:rPr>
      </w:pPr>
      <w:r>
        <w:rPr>
          <w:rFonts w:ascii="Arial" w:cs="Arial" w:eastAsia="Arial" w:hAnsi="Arial"/>
          <w:sz w:val="14"/>
          <w:szCs w:val="14"/>
          <w:color w:val="auto"/>
        </w:rPr>
        <w:t>Produce Distribution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Produce Distribution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QSR Franchisor</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Specialty Clothing</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Medical Device Distributor</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Medical Device Distributor</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Medical Device Distributor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Medical Device Distributor</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Retail Display &amp; Security Services</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Automotive Chemicals &amp; Lubricants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Automotive Chemicals &amp; Lubricants</w:t>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Dental Practice Management</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Data Processing &amp; Digital Marketing</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188"/>
              <w:spacing w:after="0"/>
              <w:rPr>
                <w:sz w:val="20"/>
                <w:szCs w:val="20"/>
                <w:color w:val="auto"/>
              </w:rPr>
            </w:pPr>
            <w:r>
              <w:rPr>
                <w:rFonts w:ascii="Arial" w:cs="Arial" w:eastAsia="Arial" w:hAnsi="Arial"/>
                <w:sz w:val="13"/>
                <w:szCs w:val="13"/>
                <w:b w:val="1"/>
                <w:bCs w:val="1"/>
                <w:color w:val="auto"/>
                <w:w w:val="90"/>
              </w:rPr>
              <w:t>Principal</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53"/>
        </w:trPr>
        <w:tc>
          <w:tcPr>
            <w:tcW w:w="2180" w:type="dxa"/>
            <w:vAlign w:val="bottom"/>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228"/>
              <w:spacing w:after="0"/>
              <w:rPr>
                <w:sz w:val="20"/>
                <w:szCs w:val="20"/>
                <w:color w:val="auto"/>
              </w:rPr>
            </w:pPr>
            <w:r>
              <w:rPr>
                <w:rFonts w:ascii="Arial" w:cs="Arial" w:eastAsia="Arial" w:hAnsi="Arial"/>
                <w:sz w:val="13"/>
                <w:szCs w:val="13"/>
                <w:b w:val="1"/>
                <w:bCs w:val="1"/>
                <w:color w:val="auto"/>
                <w:w w:val="93"/>
              </w:rPr>
              <w:t>Amount</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color w:val="auto"/>
                <w:w w:val="94"/>
              </w:rPr>
              <w:t>Common Stock (1,253,198 shares)</w:t>
            </w: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1,504</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color w:val="auto"/>
              </w:rPr>
              <w:t>1,248</w:t>
            </w:r>
          </w:p>
        </w:tc>
        <w:tc>
          <w:tcPr>
            <w:tcW w:w="4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10,076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9/28/17)</w:t>
            </w:r>
            <w:r>
              <w:rPr>
                <w:rFonts w:ascii="Arial" w:cs="Arial" w:eastAsia="Arial" w:hAnsi="Arial"/>
                <w:sz w:val="20"/>
                <w:szCs w:val="20"/>
                <w:color w:val="auto"/>
                <w:vertAlign w:val="superscript"/>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8,231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8,231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8,231</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(2.78% fully diluted, 9%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1,269</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(11.38%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9,736</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8"/>
              </w:rPr>
              <w:t>Series A-1 Preferred Stock (1,998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19,236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shares, 8% 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2,648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2,864</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B-1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(200,000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1,046</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3,910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7/16/18)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6,182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6,182</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(8,182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(6,369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6,182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180" w:type="dxa"/>
            <w:vAlign w:val="bottom"/>
          </w:tcPr>
          <w:p>
            <w:pPr>
              <w:ind w:left="100"/>
              <w:spacing w:after="0" w:line="142" w:lineRule="exact"/>
              <w:rPr>
                <w:sz w:val="20"/>
                <w:szCs w:val="20"/>
                <w:color w:val="auto"/>
              </w:rPr>
            </w:pPr>
            <w:r>
              <w:rPr>
                <w:rFonts w:ascii="Arial" w:cs="Arial" w:eastAsia="Arial" w:hAnsi="Arial"/>
                <w:sz w:val="14"/>
                <w:szCs w:val="14"/>
                <w:color w:val="auto"/>
                <w:w w:val="94"/>
              </w:rPr>
              <w:t>Common Stock (1,500,000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8,497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Series A Preferred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8,497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(2,000,000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5,011</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5,011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1/31/18)</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2,600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5"/>
              </w:rPr>
              <w:t>Subordinated Debt (6% Cash, Due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1/31/18)</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400</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8"/>
        </w:trPr>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Preferred Units (1,000 units, 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1,296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1,433</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Membership Units (45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228</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Membership Units (2,000,000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4,284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4,661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(12)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537</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color w:val="auto"/>
                <w:w w:val="76"/>
              </w:rPr>
              <w:t>537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4/8/19)</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1,425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1,425</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(11.3%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00"/>
              <w:spacing w:after="0"/>
              <w:rPr>
                <w:sz w:val="20"/>
                <w:szCs w:val="20"/>
                <w:color w:val="auto"/>
              </w:rPr>
            </w:pPr>
            <w:r>
              <w:rPr>
                <w:rFonts w:ascii="Arial" w:cs="Arial" w:eastAsia="Arial" w:hAnsi="Arial"/>
                <w:sz w:val="14"/>
                <w:szCs w:val="14"/>
                <w:color w:val="auto"/>
              </w:rPr>
              <w:t>ownership)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805</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Common Stock (1,200,000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2,175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2,230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0.9</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100"/>
              <w:spacing w:after="0"/>
              <w:rPr>
                <w:sz w:val="20"/>
                <w:szCs w:val="20"/>
                <w:color w:val="auto"/>
              </w:rPr>
            </w:pPr>
            <w:r>
              <w:rPr>
                <w:rFonts w:ascii="Arial" w:cs="Arial" w:eastAsia="Arial" w:hAnsi="Arial"/>
                <w:sz w:val="12"/>
                <w:szCs w:val="12"/>
                <w:color w:val="auto"/>
              </w:rPr>
              <w:t>(12)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109</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w:t>
            </w:r>
            <w:r>
              <w:rPr>
                <w:rFonts w:ascii="Arial" w:cs="Arial" w:eastAsia="Arial" w:hAnsi="Arial"/>
                <w:sz w:val="23"/>
                <w:szCs w:val="23"/>
                <w:color w:val="auto"/>
                <w:vertAlign w:val="superscript"/>
              </w:rPr>
              <w:t>(12)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color w:val="auto"/>
                <w:w w:val="76"/>
              </w:rPr>
              <w:t>109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3"/>
        </w:trPr>
        <w:tc>
          <w:tcPr>
            <w:tcW w:w="2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813</w:t>
            </w:r>
          </w:p>
        </w:tc>
        <w:tc>
          <w:tcPr>
            <w:tcW w:w="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1,015</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color w:val="auto"/>
                <w:w w:val="85"/>
              </w:rPr>
              <w:t>1,015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2280" w:space="160"/>
            <w:col w:w="2140" w:space="100"/>
            <w:col w:w="5399"/>
          </w:cols>
          <w:pgMar w:left="380" w:top="792" w:right="1440"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Sub Total Affiliate investments –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Control investments – 34.6%</w:t>
      </w:r>
    </w:p>
    <w:p>
      <w:pPr>
        <w:spacing w:after="0" w:line="226" w:lineRule="auto"/>
        <w:rPr>
          <w:sz w:val="20"/>
          <w:szCs w:val="20"/>
          <w:color w:val="auto"/>
        </w:rPr>
      </w:pPr>
      <w:r>
        <w:rPr>
          <w:rFonts w:ascii="Arial" w:cs="Arial" w:eastAsia="Arial" w:hAnsi="Arial"/>
          <w:sz w:val="14"/>
          <w:szCs w:val="14"/>
          <w:b w:val="1"/>
          <w:bCs w:val="1"/>
          <w:color w:val="auto"/>
        </w:rPr>
        <w:t>Control investments – United States</w:t>
      </w:r>
    </w:p>
    <w:p>
      <w:pPr>
        <w:spacing w:after="0" w:line="222" w:lineRule="auto"/>
        <w:rPr>
          <w:sz w:val="20"/>
          <w:szCs w:val="20"/>
          <w:color w:val="auto"/>
        </w:rPr>
      </w:pPr>
      <w:r>
        <w:rPr>
          <w:rFonts w:ascii="Arial" w:cs="Arial" w:eastAsia="Arial" w:hAnsi="Arial"/>
          <w:sz w:val="14"/>
          <w:szCs w:val="14"/>
          <w:color w:val="auto"/>
        </w:rPr>
        <w:t>CableOrganizer Acquisition, LLC</w:t>
      </w:r>
    </w:p>
    <w:p>
      <w:pPr>
        <w:jc w:val="right"/>
        <w:ind w:right="220"/>
        <w:spacing w:after="0" w:line="221" w:lineRule="auto"/>
        <w:rPr>
          <w:sz w:val="20"/>
          <w:szCs w:val="20"/>
          <w:color w:val="auto"/>
        </w:rPr>
      </w:pPr>
      <w:r>
        <w:rPr>
          <w:rFonts w:ascii="Arial" w:cs="Arial" w:eastAsia="Arial" w:hAnsi="Arial"/>
          <w:sz w:val="14"/>
          <w:szCs w:val="14"/>
          <w:color w:val="auto"/>
        </w:rPr>
        <w:t>Computer Supply Retail</w:t>
      </w:r>
    </w:p>
    <w:p>
      <w:pPr>
        <w:spacing w:after="0" w:line="222" w:lineRule="auto"/>
        <w:rPr>
          <w:sz w:val="20"/>
          <w:szCs w:val="20"/>
          <w:color w:val="auto"/>
        </w:rPr>
      </w:pPr>
      <w:r>
        <w:rPr>
          <w:rFonts w:ascii="Arial" w:cs="Arial" w:eastAsia="Arial" w:hAnsi="Arial"/>
          <w:sz w:val="14"/>
          <w:szCs w:val="14"/>
          <w:color w:val="auto"/>
        </w:rPr>
        <w:t>CableOrganizer Acquisition, LLC</w:t>
      </w:r>
    </w:p>
    <w:p>
      <w:pPr>
        <w:jc w:val="right"/>
        <w:ind w:right="220"/>
        <w:spacing w:after="0"/>
        <w:rPr>
          <w:sz w:val="20"/>
          <w:szCs w:val="20"/>
          <w:color w:val="auto"/>
        </w:rPr>
      </w:pPr>
      <w:r>
        <w:rPr>
          <w:rFonts w:ascii="Arial" w:cs="Arial" w:eastAsia="Arial" w:hAnsi="Arial"/>
          <w:sz w:val="14"/>
          <w:szCs w:val="14"/>
          <w:color w:val="auto"/>
        </w:rPr>
        <w:t>Computer Supply Retail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39,279</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61,464</w:t>
            </w:r>
          </w:p>
        </w:tc>
        <w:tc>
          <w:tcPr>
            <w:tcW w:w="1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1960" w:type="dxa"/>
            <w:vAlign w:val="bottom"/>
            <w:vMerge w:val="restart"/>
          </w:tcPr>
          <w:p>
            <w:pPr>
              <w:spacing w:after="0"/>
              <w:rPr>
                <w:sz w:val="20"/>
                <w:szCs w:val="20"/>
                <w:color w:val="auto"/>
              </w:rPr>
            </w:pPr>
            <w:r>
              <w:rPr>
                <w:rFonts w:ascii="Arial" w:cs="Arial" w:eastAsia="Arial" w:hAnsi="Arial"/>
                <w:sz w:val="14"/>
                <w:szCs w:val="14"/>
                <w:color w:val="auto"/>
              </w:rPr>
              <w:t>First Lien Debt (12% Cash, 4%</w:t>
            </w: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1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PIK, Due 5/24/18)</w:t>
            </w:r>
          </w:p>
        </w:tc>
        <w:tc>
          <w:tcPr>
            <w:tcW w:w="3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11,882</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11,882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11,882</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Common Stock (19.7% fully</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diluted ownership)</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200</w:t>
            </w:r>
          </w:p>
        </w:tc>
        <w:tc>
          <w:tcPr>
            <w:tcW w:w="560" w:type="dxa"/>
            <w:vAlign w:val="bottom"/>
            <w:gridSpan w:val="2"/>
          </w:tcPr>
          <w:p>
            <w:pPr>
              <w:jc w:val="right"/>
              <w:ind w:right="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060" w:space="720"/>
            <w:col w:w="5299"/>
          </w:cols>
          <w:pgMar w:left="380" w:top="792" w:right="1440" w:bottom="1440" w:gutter="0" w:footer="0" w:header="0"/>
          <w:type w:val="continuous"/>
        </w:sectPr>
      </w:pPr>
    </w:p>
    <w:p>
      <w:pPr>
        <w:spacing w:after="0" w:line="311"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13" w:name="page114"/>
    <w:bookmarkEnd w:id="11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units/shares)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61658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wp:posOffset>
            </wp:positionV>
            <wp:extent cx="616585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86"/>
              </w:rPr>
              <w:t>Portfolio Company, Country</w:t>
            </w:r>
            <w:r>
              <w:rPr>
                <w:rFonts w:ascii="Arial" w:cs="Arial" w:eastAsia="Arial" w:hAnsi="Arial"/>
                <w:sz w:val="20"/>
                <w:szCs w:val="20"/>
                <w:b w:val="1"/>
                <w:bCs w:val="1"/>
                <w:color w:val="auto"/>
                <w:w w:val="86"/>
                <w:vertAlign w:val="superscript"/>
              </w:rPr>
              <w:t>(4),(5),(14),(15)</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w w:val="90"/>
              </w:rPr>
              <w:t>Principal</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53"/>
        </w:trPr>
        <w:tc>
          <w:tcPr>
            <w:tcW w:w="23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ind w:left="92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88"/>
              <w:spacing w:after="0"/>
              <w:rPr>
                <w:sz w:val="20"/>
                <w:szCs w:val="20"/>
                <w:color w:val="auto"/>
              </w:rPr>
            </w:pPr>
            <w:r>
              <w:rPr>
                <w:rFonts w:ascii="Arial" w:cs="Arial" w:eastAsia="Arial" w:hAnsi="Arial"/>
                <w:sz w:val="13"/>
                <w:szCs w:val="13"/>
                <w:b w:val="1"/>
                <w:bCs w:val="1"/>
                <w:color w:val="auto"/>
                <w:w w:val="93"/>
              </w:rPr>
              <w:t>Amount</w:t>
            </w:r>
          </w:p>
        </w:tc>
        <w:tc>
          <w:tcPr>
            <w:tcW w:w="5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23"/>
        </w:trPr>
        <w:tc>
          <w:tcPr>
            <w:tcW w:w="23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CableOrganizer Acquisition, LLC</w:t>
            </w:r>
          </w:p>
        </w:tc>
        <w:tc>
          <w:tcPr>
            <w:tcW w:w="40" w:type="dxa"/>
            <w:vAlign w:val="bottom"/>
          </w:tcPr>
          <w:p>
            <w:pPr>
              <w:spacing w:after="0"/>
              <w:rPr>
                <w:sz w:val="10"/>
                <w:szCs w:val="10"/>
                <w:color w:val="auto"/>
              </w:rPr>
            </w:pPr>
          </w:p>
        </w:tc>
        <w:tc>
          <w:tcPr>
            <w:tcW w:w="22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Common Stock Warrants (10%</w:t>
            </w: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fully diluted ownership)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101</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Eastport Holdings,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Subordinated Debt (13.9% Cash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13,276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12,183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month LIBOR + 13%, 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Floor), Due 4/29/20)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16,500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13,982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16,500</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58"/>
        </w:trPr>
        <w:tc>
          <w:tcPr>
            <w:tcW w:w="23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Eastport Holdings, LLC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Membership Units (30.1% fully</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diluted)</w:t>
            </w:r>
            <w:r>
              <w:rPr>
                <w:rFonts w:ascii="Arial" w:cs="Arial" w:eastAsia="Arial" w:hAnsi="Arial"/>
                <w:sz w:val="22"/>
                <w:szCs w:val="22"/>
                <w:color w:val="auto"/>
                <w:vertAlign w:val="superscript"/>
              </w:rPr>
              <w:t>(11)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4,733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13,395</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18,715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29,895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11.9</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3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Due 9/15/18)</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1,862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1,862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1,862</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8"/>
        </w:trPr>
        <w:tc>
          <w:tcPr>
            <w:tcW w:w="23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w w:val="94"/>
              </w:rPr>
              <w:t>Subordinated Debt (14% Cash, 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Due 9/15/18)</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3,989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3,989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3,989</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w w:val="96"/>
              </w:rPr>
              <w:t>Series A Preferred Units (47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1,629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2,523</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(15% Cash,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7,480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8,374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3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2220" w:type="dxa"/>
            <w:vAlign w:val="bottom"/>
            <w:gridSpan w:val="2"/>
          </w:tcPr>
          <w:p>
            <w:pPr>
              <w:ind w:left="140"/>
              <w:spacing w:after="0" w:line="179" w:lineRule="exact"/>
              <w:rPr>
                <w:sz w:val="20"/>
                <w:szCs w:val="20"/>
                <w:color w:val="auto"/>
              </w:rPr>
            </w:pPr>
            <w:r>
              <w:rPr>
                <w:rFonts w:ascii="Arial" w:cs="Arial" w:eastAsia="Arial" w:hAnsi="Arial"/>
                <w:sz w:val="13"/>
                <w:szCs w:val="13"/>
                <w:color w:val="auto"/>
              </w:rPr>
              <w:t>10/30/20)</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6,500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6,500</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Class A Preferred Stock (1,000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 10% Cash Dividend)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(300,000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5,634</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4"/>
              </w:rPr>
              <w:t>Subordinated Debt (14% Cash, 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7,501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13,134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5.2</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3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PIK, Due 12/19/17)</w:t>
            </w:r>
            <w:r>
              <w:rPr>
                <w:rFonts w:ascii="Arial" w:cs="Arial" w:eastAsia="Arial" w:hAnsi="Arial"/>
                <w:sz w:val="20"/>
                <w:szCs w:val="20"/>
                <w:color w:val="auto"/>
                <w:vertAlign w:val="superscript"/>
              </w:rPr>
              <w:t>(1)(2)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9,837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10,303</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A Preferred Stock (32,782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3,278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Series B Preferred Stock (23,648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Common Stock (33,058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First Lien Debt (10% Cash, 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15,513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10,303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PIK, Due 2/24/19)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17,316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12,761</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8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(18,543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3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 (820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46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Sub Total Control investments – United States</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20,306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12,761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6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82,791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86,650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34.6</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INVESTMENTS – 216.2%</w:t>
            </w: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513,776</w:t>
            </w: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541,639</w:t>
            </w:r>
          </w:p>
        </w:tc>
        <w:tc>
          <w:tcPr>
            <w:tcW w:w="1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216.2</w:t>
            </w: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40" w:type="dxa"/>
            <w:vAlign w:val="bottom"/>
            <w:gridSpan w:val="3"/>
            <w:vMerge w:val="restart"/>
          </w:tcPr>
          <w:p>
            <w:pPr>
              <w:ind w:left="20"/>
              <w:spacing w:after="0" w:line="160" w:lineRule="exact"/>
              <w:rPr>
                <w:sz w:val="20"/>
                <w:szCs w:val="20"/>
                <w:color w:val="auto"/>
              </w:rPr>
            </w:pPr>
            <w:r>
              <w:rPr>
                <w:rFonts w:ascii="Arial" w:cs="Arial" w:eastAsia="Arial" w:hAnsi="Arial"/>
                <w:sz w:val="14"/>
                <w:szCs w:val="14"/>
                <w:b w:val="1"/>
                <w:bCs w:val="1"/>
                <w:color w:val="auto"/>
              </w:rPr>
              <w:t>Derivatives – (1.1)%</w:t>
            </w: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3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Derivatives – United States</w:t>
            </w: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340" w:type="dxa"/>
            <w:vAlign w:val="bottom"/>
            <w:gridSpan w:val="3"/>
          </w:tcPr>
          <w:p>
            <w:pPr>
              <w:ind w:left="20"/>
              <w:spacing w:after="0"/>
              <w:rPr>
                <w:sz w:val="20"/>
                <w:szCs w:val="20"/>
                <w:color w:val="auto"/>
              </w:rPr>
            </w:pPr>
            <w:r>
              <w:rPr>
                <w:rFonts w:ascii="Arial" w:cs="Arial" w:eastAsia="Arial" w:hAnsi="Arial"/>
                <w:sz w:val="14"/>
                <w:szCs w:val="14"/>
                <w:color w:val="auto"/>
              </w:rPr>
              <w:t>Eastport Holdings, LLC</w:t>
            </w:r>
          </w:p>
        </w:tc>
        <w:tc>
          <w:tcPr>
            <w:tcW w:w="4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8"/>
                <w:szCs w:val="18"/>
                <w:color w:val="auto"/>
              </w:rPr>
            </w:pPr>
          </w:p>
        </w:tc>
        <w:tc>
          <w:tcPr>
            <w:tcW w:w="2180" w:type="dxa"/>
            <w:vAlign w:val="bottom"/>
          </w:tcPr>
          <w:p>
            <w:pPr>
              <w:ind w:left="100"/>
              <w:spacing w:after="0" w:line="208" w:lineRule="exact"/>
              <w:rPr>
                <w:sz w:val="20"/>
                <w:szCs w:val="20"/>
                <w:color w:val="auto"/>
              </w:rPr>
            </w:pPr>
            <w:r>
              <w:rPr>
                <w:rFonts w:ascii="Arial" w:cs="Arial" w:eastAsia="Arial" w:hAnsi="Arial"/>
                <w:sz w:val="14"/>
                <w:szCs w:val="14"/>
                <w:color w:val="auto"/>
              </w:rPr>
              <w:t>Written Call Option</w:t>
            </w:r>
            <w:r>
              <w:rPr>
                <w:rFonts w:ascii="Arial" w:cs="Arial" w:eastAsia="Arial" w:hAnsi="Arial"/>
                <w:sz w:val="23"/>
                <w:szCs w:val="23"/>
                <w:color w:val="auto"/>
                <w:vertAlign w:val="superscript"/>
              </w:rPr>
              <w:t>(11)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(20)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(2,736)</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3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2"/>
              </w:rPr>
              <w:t>Sub Total Derivatives – United States</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(2,736</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w:t>
            </w:r>
          </w:p>
        </w:tc>
        <w:tc>
          <w:tcPr>
            <w:tcW w:w="2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 DERIVATIVES – (1.1)%</w:t>
            </w: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w:t>
            </w: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(2,736</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hanging="41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117" w:lineRule="exact"/>
        <w:rPr>
          <w:rFonts w:ascii="Arial" w:cs="Arial" w:eastAsia="Arial" w:hAnsi="Arial"/>
          <w:sz w:val="18"/>
          <w:szCs w:val="18"/>
          <w:color w:val="auto"/>
        </w:rPr>
      </w:pPr>
    </w:p>
    <w:p>
      <w:pPr>
        <w:ind w:left="440" w:right="1279" w:hanging="412"/>
        <w:spacing w:after="0" w:line="277" w:lineRule="auto"/>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debt investments are income producing, unless otherwise noted. Equity and warrant investments are non-income producing, unless otherwise noted.</w:t>
      </w:r>
    </w:p>
    <w:p>
      <w:pPr>
        <w:spacing w:after="0" w:line="62" w:lineRule="exact"/>
        <w:rPr>
          <w:rFonts w:ascii="Arial" w:cs="Arial" w:eastAsia="Arial" w:hAnsi="Arial"/>
          <w:sz w:val="18"/>
          <w:szCs w:val="18"/>
          <w:color w:val="auto"/>
        </w:rPr>
      </w:pPr>
    </w:p>
    <w:p>
      <w:pPr>
        <w:ind w:left="440" w:hanging="41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Percentages are based on net assets of $250,582 as of December 31, 2016.</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200" w:lineRule="exact"/>
        <w:rPr>
          <w:sz w:val="20"/>
          <w:szCs w:val="20"/>
          <w:color w:val="auto"/>
        </w:rPr>
      </w:pPr>
    </w:p>
    <w:p>
      <w:pPr>
        <w:spacing w:after="0" w:line="34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2016</w:t>
      </w:r>
    </w:p>
    <w:p>
      <w:pPr>
        <w:spacing w:after="0" w:line="103" w:lineRule="exact"/>
        <w:rPr>
          <w:sz w:val="20"/>
          <w:szCs w:val="20"/>
          <w:color w:val="auto"/>
        </w:rPr>
      </w:pPr>
    </w:p>
    <w:p>
      <w:pPr>
        <w:ind w:left="420" w:right="619" w:hanging="412"/>
        <w:spacing w:after="0" w:line="259" w:lineRule="auto"/>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2016, 4.5% of the Company’s total assets were non-qualifying assets.</w:t>
      </w:r>
    </w:p>
    <w:p>
      <w:pPr>
        <w:spacing w:after="0" w:line="78" w:lineRule="exact"/>
        <w:rPr>
          <w:rFonts w:ascii="Arial" w:cs="Arial" w:eastAsia="Arial" w:hAnsi="Arial"/>
          <w:sz w:val="18"/>
          <w:szCs w:val="18"/>
          <w:color w:val="auto"/>
        </w:rPr>
      </w:pPr>
    </w:p>
    <w:p>
      <w:pPr>
        <w:ind w:left="420" w:right="679" w:hanging="412"/>
        <w:spacing w:after="0" w:line="277" w:lineRule="auto"/>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Interest rate was amended to zero. The Company is entitled to receive earn-out payments of up to $2.4 million in satisfaction of the debt.</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addition to the stated rate, the investment is paying 3% default interest.</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has written a call option that enables CapitalSouth Partners Florida Sidecar Fund II, L.P. to purchase up to</w:t>
      </w:r>
    </w:p>
    <w:p>
      <w:pPr>
        <w:spacing w:after="0" w:line="46" w:lineRule="exact"/>
        <w:rPr>
          <w:rFonts w:ascii="Arial" w:cs="Arial" w:eastAsia="Arial" w:hAnsi="Arial"/>
          <w:sz w:val="16"/>
          <w:szCs w:val="16"/>
          <w:color w:val="auto"/>
        </w:rPr>
      </w:pPr>
    </w:p>
    <w:p>
      <w:pPr>
        <w:jc w:val="both"/>
        <w:ind w:left="420" w:right="639"/>
        <w:spacing w:after="0" w:line="255" w:lineRule="auto"/>
        <w:rPr>
          <w:rFonts w:ascii="Arial" w:cs="Arial" w:eastAsia="Arial" w:hAnsi="Arial"/>
          <w:sz w:val="16"/>
          <w:szCs w:val="16"/>
          <w:color w:val="auto"/>
        </w:rPr>
      </w:pPr>
      <w:r>
        <w:rPr>
          <w:rFonts w:ascii="Arial" w:cs="Arial" w:eastAsia="Arial" w:hAnsi="Arial"/>
          <w:sz w:val="18"/>
          <w:szCs w:val="18"/>
          <w:color w:val="auto"/>
        </w:rPr>
        <w:t>31.25% of the Company’s interest at a strike price of $1.5 million. As of December 31, 2016, the fair value of the written call option is approximately $2.7 million. See Note 4 to the consolidated financial statements for further detail on the written call option transaction.</w:t>
      </w:r>
    </w:p>
    <w:p>
      <w:pPr>
        <w:spacing w:after="0" w:line="82" w:lineRule="exact"/>
        <w:rPr>
          <w:rFonts w:ascii="Arial" w:cs="Arial" w:eastAsia="Arial" w:hAnsi="Arial"/>
          <w:sz w:val="16"/>
          <w:szCs w:val="16"/>
          <w:color w:val="auto"/>
        </w:rPr>
      </w:pPr>
    </w:p>
    <w:p>
      <w:pPr>
        <w:ind w:left="420" w:hanging="412"/>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to be settled post-closing.</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portfolio company is currently being charged default interest rate of prime plus 10.5%.</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investments valued by the Board of Directors.</w:t>
      </w:r>
    </w:p>
    <w:p>
      <w:pPr>
        <w:spacing w:after="0" w:line="200" w:lineRule="exact"/>
        <w:rPr>
          <w:sz w:val="20"/>
          <w:szCs w:val="20"/>
          <w:color w:val="auto"/>
        </w:rPr>
      </w:pPr>
    </w:p>
    <w:p>
      <w:pPr>
        <w:spacing w:after="0" w:line="34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is an “emerging growth company” within the meaning of the Jumpstart Our Business Startups Act of 2012 (the “JOBS Act”), and as such, is subject to reduced public company reporting requirements.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(the “Advisors Act”), and Capitala Advisors Corp. (the “Administrator”) provides the administrative services necessary for the Company to operate. For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75"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loans, second lien loans, subordinated loans, and, to a lesser extent, equity securities issued by lower middle-market companies and traditional middle-market companies.</w:t>
      </w:r>
    </w:p>
    <w:p>
      <w:pPr>
        <w:spacing w:after="0" w:line="57"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57" w:lineRule="exact"/>
        <w:rPr>
          <w:sz w:val="20"/>
          <w:szCs w:val="20"/>
          <w:color w:val="auto"/>
        </w:rPr>
      </w:pPr>
    </w:p>
    <w:p>
      <w:pPr>
        <w:ind w:left="40" w:right="699" w:firstLine="270"/>
        <w:spacing w:after="0" w:line="290"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58" w:lineRule="exact"/>
        <w:rPr>
          <w:sz w:val="20"/>
          <w:szCs w:val="20"/>
          <w:color w:val="auto"/>
        </w:rPr>
      </w:pPr>
    </w:p>
    <w:p>
      <w:pPr>
        <w:ind w:left="40" w:right="1159" w:firstLine="270"/>
        <w:spacing w:after="0" w:line="277" w:lineRule="auto"/>
        <w:rPr>
          <w:sz w:val="20"/>
          <w:szCs w:val="20"/>
          <w:color w:val="auto"/>
        </w:rPr>
      </w:pPr>
      <w:r>
        <w:rPr>
          <w:rFonts w:ascii="Arial" w:cs="Arial" w:eastAsia="Arial" w:hAnsi="Arial"/>
          <w:sz w:val="18"/>
          <w:szCs w:val="18"/>
          <w:color w:val="auto"/>
        </w:rPr>
        <w:t>During the fourth quarter of 2017, Florida Sidecar transferred all of its assets to Capitala Finance Corp. and was legally dissolved as a standalone partnership.</w:t>
      </w:r>
    </w:p>
    <w:p>
      <w:pPr>
        <w:spacing w:after="0" w:line="62"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income tax purposes. These Taxable Subsidiaries allow the Company to make equity investments in companies organized as pass-through entities while continuing to satisfy the requirements of a RIC under the Code.</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is considered an investment company as defined in Accounting Standards Codification (“ASC”) Topic</w:t>
      </w:r>
    </w:p>
    <w:p>
      <w:pPr>
        <w:spacing w:after="0" w:line="23" w:lineRule="exact"/>
        <w:rPr>
          <w:sz w:val="20"/>
          <w:szCs w:val="20"/>
          <w:color w:val="auto"/>
        </w:rPr>
      </w:pPr>
    </w:p>
    <w:p>
      <w:pPr>
        <w:ind w:left="40" w:right="599"/>
        <w:spacing w:after="0" w:line="253" w:lineRule="auto"/>
        <w:rPr>
          <w:sz w:val="20"/>
          <w:szCs w:val="20"/>
          <w:color w:val="auto"/>
        </w:rPr>
      </w:pPr>
      <w:r>
        <w:rPr>
          <w:rFonts w:ascii="Arial" w:cs="Arial" w:eastAsia="Arial" w:hAnsi="Arial"/>
          <w:sz w:val="18"/>
          <w:szCs w:val="18"/>
          <w:color w:val="auto"/>
        </w:rPr>
        <w:t xml:space="preserve">946 — </w:t>
      </w:r>
      <w:r>
        <w:rPr>
          <w:rFonts w:ascii="Arial" w:cs="Arial" w:eastAsia="Arial" w:hAnsi="Arial"/>
          <w:sz w:val="18"/>
          <w:szCs w:val="18"/>
          <w:i w:val="1"/>
          <w:iCs w:val="1"/>
          <w:color w:val="auto"/>
        </w:rPr>
        <w:t>Financial Services — Investment Companies</w:t>
      </w:r>
      <w:r>
        <w:rPr>
          <w:rFonts w:ascii="Arial" w:cs="Arial" w:eastAsia="Arial" w:hAnsi="Arial"/>
          <w:sz w:val="18"/>
          <w:szCs w:val="18"/>
          <w:color w:val="auto"/>
        </w:rPr>
        <w:t xml:space="preserve"> (“ASC 946”)</w:t>
      </w:r>
      <w:r>
        <w:rPr>
          <w:rFonts w:ascii="Arial" w:cs="Arial" w:eastAsia="Arial" w:hAnsi="Arial"/>
          <w:sz w:val="18"/>
          <w:szCs w:val="18"/>
          <w:i w:val="1"/>
          <w:iCs w:val="1"/>
          <w:color w:val="auto"/>
        </w:rPr>
        <w:t>.</w:t>
      </w:r>
      <w:r>
        <w:rPr>
          <w:rFonts w:ascii="Arial" w:cs="Arial" w:eastAsia="Arial" w:hAnsi="Arial"/>
          <w:sz w:val="18"/>
          <w:szCs w:val="18"/>
          <w:color w:val="auto"/>
        </w:rPr>
        <w:t xml:space="preserve"> The accompanying consolidated financial statements have been prepared on the accrual basis of accounting in conformity with U.S. generally accepted accounting principles (“U.S. GAAP”) and pursuant to the requirements for reporting on Form 10-K and Article 6 of Regulation S-X. The consolidated financial statements of the Company include the accounts of the Company and its wholly owned subsidiaries, including Fund II, Fund III, Florida Sidecar, and the Taxable Subsidiaries.</w:t>
      </w:r>
    </w:p>
    <w:p>
      <w:pPr>
        <w:spacing w:after="0" w:line="83"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The Company’s financial statements as of December 31, 2017 and 2016 are presented on a consolidated basis. The effects of all intercompany transactions between the Company and its subsidiaries (Fund II, Fund III, Florida Sidecar,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left="40" w:right="739" w:firstLine="270"/>
        <w:spacing w:after="0" w:line="302"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Consolidation</w:t>
      </w:r>
    </w:p>
    <w:p>
      <w:pPr>
        <w:spacing w:after="0" w:line="121"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As provided under Regulation S-X and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Florida Sidecar, and the Taxable Subsidiaries) in its consolidated financial statements. The Company did not consolidate its interest in Capitala Senior Liquid Loan Fund I, LLC (“CSLLF”) during the periods it was in existence because the investment was not considered a substantially wholly owned investment company subsidiary. Further, CSLLF was a joint venture for which shared power existed relating to the decisions that most significantly impacted the economic performance of the entity. See Note 4 to the consolidated financial statements for a description of the Company’s investment in CSLLF.</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40" w:right="1019" w:firstLine="270"/>
        <w:spacing w:after="0" w:line="259"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In accordance with the provisions of the 1940 Act, the Company classifies its investments by level of control. As defined in the 1940 Act, “Control Investments” are investments in those companies that the</w:t>
      </w: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559"/>
        <w:spacing w:after="0" w:line="272" w:lineRule="auto"/>
        <w:rPr>
          <w:sz w:val="20"/>
          <w:szCs w:val="20"/>
          <w:color w:val="auto"/>
        </w:rPr>
      </w:pPr>
      <w:r>
        <w:rPr>
          <w:rFonts w:ascii="Arial" w:cs="Arial" w:eastAsia="Arial" w:hAnsi="Arial"/>
          <w:sz w:val="17"/>
          <w:szCs w:val="17"/>
          <w:color w:val="auto"/>
        </w:rPr>
        <w:t>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Valuation of Investments</w:t>
      </w:r>
    </w:p>
    <w:p>
      <w:pPr>
        <w:spacing w:after="0" w:line="121"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w:t>
      </w:r>
    </w:p>
    <w:p>
      <w:pPr>
        <w:spacing w:after="0" w:line="80" w:lineRule="exact"/>
        <w:rPr>
          <w:sz w:val="20"/>
          <w:szCs w:val="20"/>
          <w:color w:val="auto"/>
        </w:rPr>
      </w:pPr>
    </w:p>
    <w:p>
      <w:pPr>
        <w:ind w:left="40" w:right="659" w:firstLine="270"/>
        <w:spacing w:after="0" w:line="302" w:lineRule="auto"/>
        <w:rPr>
          <w:sz w:val="20"/>
          <w:szCs w:val="20"/>
          <w:color w:val="auto"/>
        </w:rPr>
      </w:pPr>
      <w:r>
        <w:rPr>
          <w:rFonts w:ascii="Arial" w:cs="Arial" w:eastAsia="Arial" w:hAnsi="Arial"/>
          <w:sz w:val="16"/>
          <w:szCs w:val="16"/>
          <w:color w:val="auto"/>
        </w:rPr>
        <w:t>In determining fair value, the Company’s board of directors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46" w:lineRule="exact"/>
        <w:rPr>
          <w:sz w:val="20"/>
          <w:szCs w:val="20"/>
          <w:color w:val="auto"/>
        </w:rPr>
      </w:pPr>
    </w:p>
    <w:p>
      <w:pPr>
        <w:jc w:val="both"/>
        <w:ind w:left="40" w:right="719" w:firstLine="270"/>
        <w:spacing w:after="0" w:line="312" w:lineRule="auto"/>
        <w:rPr>
          <w:sz w:val="20"/>
          <w:szCs w:val="20"/>
          <w:color w:val="auto"/>
        </w:rPr>
      </w:pPr>
      <w:r>
        <w:rPr>
          <w:rFonts w:ascii="Arial" w:cs="Arial" w:eastAsia="Arial" w:hAnsi="Arial"/>
          <w:sz w:val="16"/>
          <w:szCs w:val="16"/>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39" w:lineRule="exact"/>
        <w:rPr>
          <w:sz w:val="20"/>
          <w:szCs w:val="20"/>
          <w:color w:val="auto"/>
        </w:rPr>
      </w:pPr>
    </w:p>
    <w:p>
      <w:pPr>
        <w:ind w:left="40" w:right="779" w:firstLine="270"/>
        <w:spacing w:after="0" w:line="287"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65" w:lineRule="exact"/>
        <w:rPr>
          <w:sz w:val="20"/>
          <w:szCs w:val="20"/>
          <w:color w:val="auto"/>
        </w:rPr>
      </w:pPr>
    </w:p>
    <w:p>
      <w:pPr>
        <w:ind w:left="40" w:right="679" w:firstLine="270"/>
        <w:spacing w:after="0" w:line="273" w:lineRule="auto"/>
        <w:rPr>
          <w:sz w:val="20"/>
          <w:szCs w:val="20"/>
          <w:color w:val="auto"/>
        </w:rPr>
      </w:pPr>
      <w:r>
        <w:rPr>
          <w:rFonts w:ascii="Arial" w:cs="Arial" w:eastAsia="Arial" w:hAnsi="Arial"/>
          <w:sz w:val="17"/>
          <w:szCs w:val="17"/>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79"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As a practical expedient, the Company used the net asset value (“NAV”) as the basis for the fair value of its investment in CSLLF for the periods held. CSLLF recorded its underlying investments at fair value on a daily basis utilizing pricing information from third-party sources.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Enterprise Value Waterfall Approach</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enterprise value waterfall approach is primarily utilized to value the Company’s equity securities, including warrants.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However, the Company may utilize the enterprise value waterfall approach to value certain debt securities.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Approach</w:t>
      </w:r>
    </w:p>
    <w:p>
      <w:pPr>
        <w:spacing w:after="0" w:line="117"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Asset Approach</w:t>
      </w:r>
    </w:p>
    <w:p>
      <w:pPr>
        <w:spacing w:after="0" w:line="117"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200" w:lineRule="exact"/>
        <w:rPr>
          <w:sz w:val="20"/>
          <w:szCs w:val="20"/>
          <w:color w:val="auto"/>
        </w:rPr>
      </w:pPr>
    </w:p>
    <w:p>
      <w:pPr>
        <w:spacing w:after="0" w:line="3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40" w:right="779" w:firstLine="270"/>
        <w:spacing w:after="0" w:line="276"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are expected to be collected. The Company has loans in the portfolio that contain a payment-in-kind interest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64"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Management reviews all loans that become 90 days or more past due, or when there is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61"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 xml:space="preserve">Gains and losses on investment sales and paydowns: </w:t>
      </w:r>
      <w:r>
        <w:rPr>
          <w:rFonts w:ascii="Arial" w:cs="Arial" w:eastAsia="Arial" w:hAnsi="Arial"/>
          <w:sz w:val="18"/>
          <w:szCs w:val="18"/>
          <w:color w:val="auto"/>
        </w:rPr>
        <w:t>Realized gains and losses on investments are recognized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w:t>
      </w:r>
    </w:p>
    <w:p>
      <w:pPr>
        <w:spacing w:after="0" w:line="62"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59"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loan. Any remaining discount is accreted into income upon prepayment of the loan.</w:t>
      </w:r>
    </w:p>
    <w:p>
      <w:pPr>
        <w:spacing w:after="0" w:line="62"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fees associated with investments in portfolio companies are recognized as income when the investment transaction closes. Prepayment penalties received by the Company for debt instruments repaid prior to maturity date are recorded as income upon receipt.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Loan Sales</w:t>
      </w:r>
    </w:p>
    <w:p>
      <w:pPr>
        <w:spacing w:after="0" w:line="121"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 xml:space="preserve">The Company follows the guidance in ASC Topic 860 — </w:t>
      </w:r>
      <w:r>
        <w:rPr>
          <w:rFonts w:ascii="Arial" w:cs="Arial" w:eastAsia="Arial" w:hAnsi="Arial"/>
          <w:sz w:val="18"/>
          <w:szCs w:val="18"/>
          <w:i w:val="1"/>
          <w:iCs w:val="1"/>
          <w:color w:val="auto"/>
        </w:rPr>
        <w:t>Transfers and Servicing</w:t>
      </w:r>
      <w:r>
        <w:rPr>
          <w:rFonts w:ascii="Arial" w:cs="Arial" w:eastAsia="Arial" w:hAnsi="Arial"/>
          <w:sz w:val="18"/>
          <w:szCs w:val="18"/>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40" w:right="679" w:firstLine="270"/>
        <w:spacing w:after="0" w:line="279" w:lineRule="auto"/>
        <w:rPr>
          <w:sz w:val="20"/>
          <w:szCs w:val="20"/>
          <w:color w:val="auto"/>
        </w:rPr>
      </w:pPr>
      <w:r>
        <w:rPr>
          <w:rFonts w:ascii="Arial" w:cs="Arial" w:eastAsia="Arial" w:hAnsi="Arial"/>
          <w:sz w:val="17"/>
          <w:szCs w:val="17"/>
          <w:color w:val="auto"/>
        </w:rPr>
        <w:t>General and administrative expenses are paid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Deferred Financing Fees</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40" w:right="679" w:firstLine="270"/>
        <w:spacing w:after="0" w:line="302" w:lineRule="auto"/>
        <w:rPr>
          <w:sz w:val="20"/>
          <w:szCs w:val="20"/>
          <w:color w:val="auto"/>
        </w:rPr>
      </w:pPr>
      <w:r>
        <w:rPr>
          <w:rFonts w:ascii="Arial" w:cs="Arial" w:eastAsia="Arial" w:hAnsi="Arial"/>
          <w:sz w:val="16"/>
          <w:szCs w:val="16"/>
          <w:color w:val="auto"/>
        </w:rPr>
        <w:t>As of December 31, 2017, the Company had outstanding unfunded commitments related to debt investments in existing portfolio companies of $3.1 million (Portrait Studio, LLC), $2.0 million (CIS Secure Computing, Inc.), $1.0 million (Kelle’s Transport Service, LLC), and $0.7 million (U.S. Well Services, LLC). As of December 31, 2016, the Company had outstanding unfunded commitments related to debt investments in an existing portfolio company of $1.2 million (On-Site Fuel Services, Inc.).</w:t>
      </w:r>
    </w:p>
    <w:p>
      <w:pPr>
        <w:spacing w:after="0" w:line="46"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In addition to unfunded commitments related to debt investments, the Company also has extended a guaranty on behalf of one of our portfolio companies, whereby we have guaranteed $1.9 million of obligations of Kelle’s Transport Service, LLC. As of December 31, 2017 we have not been required to make payments on this or any previous guaranties, and we consider the credit risks to be remote and the fair value of this guaranty to be immaterial.</w:t>
      </w:r>
    </w:p>
    <w:p>
      <w:pPr>
        <w:spacing w:after="0" w:line="79"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7"/>
          <w:szCs w:val="17"/>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On December 28, 2017, an alleged shareholder filed a putative class action complaint, </w:t>
      </w:r>
      <w:r>
        <w:rPr>
          <w:rFonts w:ascii="Arial" w:cs="Arial" w:eastAsia="Arial" w:hAnsi="Arial"/>
          <w:sz w:val="16"/>
          <w:szCs w:val="16"/>
          <w:i w:val="1"/>
          <w:iCs w:val="1"/>
          <w:color w:val="auto"/>
        </w:rPr>
        <w:t>Paskowitz v. Capitala Finance Corp., et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al.</w:t>
      </w:r>
      <w:r>
        <w:rPr>
          <w:rFonts w:ascii="Arial" w:cs="Arial" w:eastAsia="Arial" w:hAnsi="Arial"/>
          <w:sz w:val="18"/>
          <w:szCs w:val="18"/>
          <w:color w:val="auto"/>
        </w:rPr>
        <w:t>, in the United States District Court for the Central District of California (case number 2:17-cv-09251-MWF-AS) (the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Paskowitz</w:t>
      </w:r>
      <w:r>
        <w:rPr>
          <w:rFonts w:ascii="Arial" w:cs="Arial" w:eastAsia="Arial" w:hAnsi="Arial"/>
          <w:sz w:val="16"/>
          <w:szCs w:val="16"/>
          <w:color w:val="auto"/>
        </w:rPr>
        <w:t xml:space="preserve"> Action”), against the Company and certain of its current officers on behalf of all persons who purchased or otherwise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acquired the Company's common stock between January 4, 2016 and August 7, 2017. On January 3, 2018, another alleged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shareholder filed a putative class action complaint, </w:t>
      </w:r>
      <w:r>
        <w:rPr>
          <w:rFonts w:ascii="Arial" w:cs="Arial" w:eastAsia="Arial" w:hAnsi="Arial"/>
          <w:sz w:val="16"/>
          <w:szCs w:val="16"/>
          <w:i w:val="1"/>
          <w:iCs w:val="1"/>
          <w:color w:val="auto"/>
        </w:rPr>
        <w:t>Sandifer v. Capitala Finance Corp., et al.</w:t>
      </w:r>
      <w:r>
        <w:rPr>
          <w:rFonts w:ascii="Arial" w:cs="Arial" w:eastAsia="Arial" w:hAnsi="Arial"/>
          <w:sz w:val="16"/>
          <w:szCs w:val="16"/>
          <w:color w:val="auto"/>
        </w:rPr>
        <w:t>, in the United States District Court for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Central District of California (case number 2:18-cv-00052-MWF-AS) (the “</w:t>
      </w:r>
      <w:r>
        <w:rPr>
          <w:rFonts w:ascii="Arial" w:cs="Arial" w:eastAsia="Arial" w:hAnsi="Arial"/>
          <w:sz w:val="17"/>
          <w:szCs w:val="17"/>
          <w:i w:val="1"/>
          <w:iCs w:val="1"/>
          <w:color w:val="auto"/>
        </w:rPr>
        <w:t>Sandifer</w:t>
      </w:r>
      <w:r>
        <w:rPr>
          <w:rFonts w:ascii="Arial" w:cs="Arial" w:eastAsia="Arial" w:hAnsi="Arial"/>
          <w:sz w:val="17"/>
          <w:szCs w:val="17"/>
          <w:color w:val="auto"/>
        </w:rPr>
        <w:t xml:space="preserve"> Action”), asserting substantially similar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claims on behalf of the same putative class and against the same defendants. The complaints in the </w:t>
      </w:r>
      <w:r>
        <w:rPr>
          <w:rFonts w:ascii="Arial" w:cs="Arial" w:eastAsia="Arial" w:hAnsi="Arial"/>
          <w:sz w:val="17"/>
          <w:szCs w:val="17"/>
          <w:i w:val="1"/>
          <w:iCs w:val="1"/>
          <w:color w:val="auto"/>
        </w:rPr>
        <w:t>Paskowitz</w:t>
      </w:r>
      <w:r>
        <w:rPr>
          <w:rFonts w:ascii="Arial" w:cs="Arial" w:eastAsia="Arial" w:hAnsi="Arial"/>
          <w:sz w:val="17"/>
          <w:szCs w:val="17"/>
          <w:color w:val="auto"/>
        </w:rPr>
        <w:t xml:space="preserve"> Action and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 xml:space="preserve">Sandifer </w:t>
      </w:r>
      <w:r>
        <w:rPr>
          <w:rFonts w:ascii="Arial" w:cs="Arial" w:eastAsia="Arial" w:hAnsi="Arial"/>
          <w:sz w:val="17"/>
          <w:szCs w:val="17"/>
          <w:color w:val="auto"/>
        </w:rPr>
        <w:t>Action allege certain violations of the securities laws, including, inter alia, that the defendants made certain materially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false and misleading statements and omissions regarding the Company's business, operations, and prospects. On February 2, 2018,</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Sandifer</w:t>
      </w:r>
      <w:r>
        <w:rPr>
          <w:rFonts w:ascii="Arial" w:cs="Arial" w:eastAsia="Arial" w:hAnsi="Arial"/>
          <w:sz w:val="17"/>
          <w:szCs w:val="17"/>
          <w:color w:val="auto"/>
        </w:rPr>
        <w:t xml:space="preserve"> Action was transferred, on stipulation of the parties, to the United States District Court for the Western District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North Carolina (case number 3:18-cv-00063-MOC-DCK). The defendants filed a motion to transfer the </w:t>
      </w:r>
      <w:r>
        <w:rPr>
          <w:rFonts w:ascii="Arial" w:cs="Arial" w:eastAsia="Arial" w:hAnsi="Arial"/>
          <w:sz w:val="17"/>
          <w:szCs w:val="17"/>
          <w:i w:val="1"/>
          <w:iCs w:val="1"/>
          <w:color w:val="auto"/>
        </w:rPr>
        <w:t>Paskowitz</w:t>
      </w:r>
      <w:r>
        <w:rPr>
          <w:rFonts w:ascii="Arial" w:cs="Arial" w:eastAsia="Arial" w:hAnsi="Arial"/>
          <w:sz w:val="17"/>
          <w:szCs w:val="17"/>
          <w:color w:val="auto"/>
        </w:rPr>
        <w:t xml:space="preserve"> Action to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United States District Court for the Western District of North Carolina on February 2, 2018, which remains pending. While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Company intends to vigorously defend itself in this litigation, the outcome of these legal proceedings cannot be predicted with</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certainty.</w:t>
      </w:r>
    </w:p>
    <w:p>
      <w:pPr>
        <w:spacing w:after="0" w:line="103"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519"/>
        <w:spacing w:after="0" w:line="271" w:lineRule="auto"/>
        <w:rPr>
          <w:sz w:val="20"/>
          <w:szCs w:val="20"/>
          <w:color w:val="auto"/>
        </w:rPr>
      </w:pPr>
      <w:r>
        <w:rPr>
          <w:rFonts w:ascii="Arial" w:cs="Arial" w:eastAsia="Arial" w:hAnsi="Arial"/>
          <w:sz w:val="17"/>
          <w:szCs w:val="17"/>
          <w:color w:val="auto"/>
        </w:rPr>
        <w:t>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the currently pending legal matters described above will be material to the Company's results of operations or financial condition. However, in light of the inherent uncertainties involved in such matters, an adverse outcome in this litigation could materially and adversely affect the Company's financial condition, results of operations or cash flows in any particular reporting period.</w:t>
      </w:r>
    </w:p>
    <w:p>
      <w:pPr>
        <w:spacing w:after="0" w:line="71"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as of December 31, 2017 and December 31, 2016.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73" w:lineRule="exact"/>
        <w:rPr>
          <w:sz w:val="20"/>
          <w:szCs w:val="20"/>
          <w:color w:val="auto"/>
        </w:rPr>
      </w:pPr>
    </w:p>
    <w:p>
      <w:pPr>
        <w:jc w:val="both"/>
        <w:ind w:left="40" w:right="619" w:firstLine="270"/>
        <w:spacing w:after="0" w:line="302" w:lineRule="auto"/>
        <w:rPr>
          <w:sz w:val="20"/>
          <w:szCs w:val="20"/>
          <w:color w:val="auto"/>
        </w:rPr>
      </w:pPr>
      <w:r>
        <w:rPr>
          <w:rFonts w:ascii="Arial" w:cs="Arial" w:eastAsia="Arial" w:hAnsi="Arial"/>
          <w:sz w:val="16"/>
          <w:szCs w:val="16"/>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46" w:lineRule="exact"/>
        <w:rPr>
          <w:sz w:val="20"/>
          <w:szCs w:val="20"/>
          <w:color w:val="auto"/>
        </w:rPr>
      </w:pPr>
    </w:p>
    <w:p>
      <w:pPr>
        <w:ind w:left="40" w:right="679" w:firstLine="270"/>
        <w:spacing w:after="0" w:line="297" w:lineRule="auto"/>
        <w:rPr>
          <w:sz w:val="20"/>
          <w:szCs w:val="20"/>
          <w:color w:val="auto"/>
        </w:rPr>
      </w:pPr>
      <w:r>
        <w:rPr>
          <w:rFonts w:ascii="Arial" w:cs="Arial" w:eastAsia="Arial" w:hAnsi="Arial"/>
          <w:sz w:val="16"/>
          <w:szCs w:val="16"/>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50"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The Company’s Taxable Subsidiaries record deferred tax assets or liabilities related to temporary book versus tax differences on the income or loss generated by the underlying equity investments held by the Taxable Subsidiaries. As of December 31, 2017, and December 31, 2016, the Company recorded a net deferred tax liability of $1.3 million and $0.0 million, respectively. For the year ended December 31, 2017, the Company recorded a tax provision of $1.3 million. For the years ended December 31, 2016 and 2015, no tax provision was recorded.</w:t>
      </w:r>
    </w:p>
    <w:p>
      <w:pPr>
        <w:spacing w:after="0" w:line="80"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w:t>
      </w:r>
    </w:p>
    <w:p>
      <w:pPr>
        <w:spacing w:after="0" w:line="200" w:lineRule="exact"/>
        <w:rPr>
          <w:sz w:val="20"/>
          <w:szCs w:val="20"/>
          <w:color w:val="auto"/>
        </w:rPr>
      </w:pPr>
    </w:p>
    <w:p>
      <w:pPr>
        <w:spacing w:after="0" w:line="29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639"/>
        <w:spacing w:after="0" w:line="293" w:lineRule="auto"/>
        <w:rPr>
          <w:sz w:val="20"/>
          <w:szCs w:val="20"/>
          <w:color w:val="auto"/>
        </w:rPr>
      </w:pPr>
      <w:r>
        <w:rPr>
          <w:rFonts w:ascii="Arial" w:cs="Arial" w:eastAsia="Arial" w:hAnsi="Arial"/>
          <w:sz w:val="16"/>
          <w:szCs w:val="16"/>
          <w:color w:val="auto"/>
        </w:rPr>
        <w:t>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For income tax purposes, the Company has paid distributions on its common stock from ordinary income in the amount of $25.2 million, $24.5 million, and $25.1 million during the tax years ended August 31, 2017, 2016 and 2015, respectively.</w:t>
      </w:r>
    </w:p>
    <w:p>
      <w:pPr>
        <w:spacing w:after="0" w:line="5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2017 and December 31, 2016, there were no uncertain tax positions.</w:t>
      </w:r>
    </w:p>
    <w:p>
      <w:pPr>
        <w:spacing w:after="0" w:line="70"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64"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73"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The tax years ended August 31, 2017, 2016 and 2015, and 2014 remain subject to examination by U.S. federal, state, and local tax authorities. No interest expense or penalties have been assessed as of December 31, 2017 and 2016. If the Company was required to recognize interest and penalties, if any, related to unrecognized tax benefits this would be recognized as income tax expense in the consolidated statements of operations.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Distributions to common stockholders are recorded as payable on the declaration date. The amount to be paid out as a dividend is determined by the Board. Net capital gains, if any, are generally distributed at least annually, although we may decide to retain such capital gains for reinvestment.</w:t>
      </w:r>
    </w:p>
    <w:p>
      <w:pPr>
        <w:spacing w:after="0" w:line="73"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121"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The Investment Advisor has broad discretion in making investments for the Company. Investments will generally consist of debt and equity instruments that may be affected by business, financial market or legal</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jc w:val="both"/>
        <w:ind w:left="40" w:right="559"/>
        <w:spacing w:after="0" w:line="312" w:lineRule="auto"/>
        <w:rPr>
          <w:sz w:val="20"/>
          <w:szCs w:val="20"/>
          <w:color w:val="auto"/>
        </w:rPr>
      </w:pPr>
      <w:r>
        <w:rPr>
          <w:rFonts w:ascii="Arial" w:cs="Arial" w:eastAsia="Arial" w:hAnsi="Arial"/>
          <w:sz w:val="16"/>
          <w:szCs w:val="16"/>
          <w:color w:val="auto"/>
        </w:rPr>
        <w:t>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39"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80"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62"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121" w:lineRule="exact"/>
        <w:rPr>
          <w:sz w:val="20"/>
          <w:szCs w:val="20"/>
          <w:color w:val="auto"/>
        </w:rPr>
      </w:pPr>
    </w:p>
    <w:p>
      <w:pPr>
        <w:ind w:left="40" w:right="719" w:firstLine="270"/>
        <w:spacing w:after="0" w:line="255" w:lineRule="auto"/>
        <w:rPr>
          <w:sz w:val="20"/>
          <w:szCs w:val="20"/>
          <w:color w:val="auto"/>
        </w:rPr>
      </w:pPr>
      <w:r>
        <w:rPr>
          <w:rFonts w:ascii="Arial" w:cs="Arial" w:eastAsia="Arial" w:hAnsi="Arial"/>
          <w:sz w:val="18"/>
          <w:szCs w:val="18"/>
          <w:color w:val="auto"/>
        </w:rPr>
        <w:t>In October 2016, the SEC adopted new rules and amended existing rules (together, “final rules”) intended to modernize the reporting and disclosure of information by registered investment companies. In part, the final rules amend Regulation S-X and require standardized, enhanced disclosures about derivatives in investment company financial statements, as well as other amendments. The compliance date for the amendments to Regulation S-X is August 1, 2017. Management has adopted the amendments to Regulation S-X and included required disclosures in the Company’s consolidated financial statements and related disclosures.</w:t>
      </w:r>
    </w:p>
    <w:p>
      <w:pPr>
        <w:spacing w:after="0" w:line="85"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In May 2014, the FASB issued Accounting Standards Update 2014-09, Revenue from Contracts with Customers (Accounting Standards Codification (“ASC”) Topic 606) (“ASU 2014-09”). ASU 2014-09 supersedes the revenue recognition requirements under ASC Topic 605, Revenue Recognition, and most industry-specific guidance throughout the ASC. The core principle of the guidance is that an entity should recognize revenue to depict the transfer of promised goods or services to customers in an amount that reflects the consideration to which an entity expects to be entitled in exchange for those goods or services. The new guidance will significantly enhance comparability of revenue recognition practices across entities, industries, jurisdictions and capital markets. Additionally, the guidance requires improved disclosures as to the nature, amount, timing and uncertainty of revenue that is recognized. The new guidance will be effective for the annual reporting period beginning after December 15, 2017, including interim periods within that reporting period. The Company completed its initial assessment in evaluating the potential impact on its consolidated financial statements and based on its initial assessment, determined that its financial contracts are excluded from the scope of ASU 2014-09. As a result of the scope exception for financial contracts, the Company's management has determined that there will be no material changes to the recognition timing and classification of revenues and expenses; additionally, the Company's management does not expect the adoption of ASU 2014-09 to have a significant impact on its consolidated financial statement disclosures upon adoption.</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121"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The Company’s investment objective is to generate both current income and capital appreciation through debt and equity investments. Both directly and through the Company’s subsidiaries that are licensed by the SBA under the SBIC Act, the Company offers customized financing to business owners, management teams</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jc w:val="both"/>
        <w:ind w:left="40" w:right="599"/>
        <w:spacing w:after="0" w:line="276" w:lineRule="auto"/>
        <w:rPr>
          <w:sz w:val="20"/>
          <w:szCs w:val="20"/>
          <w:color w:val="auto"/>
        </w:rPr>
      </w:pPr>
      <w:r>
        <w:rPr>
          <w:rFonts w:ascii="Arial" w:cs="Arial" w:eastAsia="Arial" w:hAnsi="Arial"/>
          <w:sz w:val="17"/>
          <w:szCs w:val="17"/>
          <w:color w:val="auto"/>
        </w:rPr>
        <w:t>and financial sponsors for change of ownership transactions, recapitalizations, strategic acquisitions, business expansion and other growth initiatives. The Company invests in first lien loans, second lien loans, and subordinated loans. Most of the Company’s debt investments are coupled with equity interests, whether in the form of detachable “penny” warrants or equity co-investments made pari-passu with our borrowers’ financial sponsors. As of December 31, 2017, our portfolio consisted of investments in 47 portfolio companies with a fair value of approximately $499.9 million.</w:t>
      </w:r>
    </w:p>
    <w:p>
      <w:pPr>
        <w:spacing w:after="0" w:line="64"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Unitranche debt, a form of first lien loan, typically involves issuing one debt security that blends the risk and return profiles of both senior secured and subordinated debt in one debt security, bifurcating the loan into a first-out tranche and last-out tranche. As of December 31, 2017, 13.7% of our first lien loans consisted of last-out loans. In some cases, first lien loans may be subordinated, solely with respect to the payment of cash interest, to an asset based revolving credit facility.</w:t>
      </w:r>
    </w:p>
    <w:p>
      <w:pPr>
        <w:spacing w:after="0" w:line="59"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73"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7"/>
          <w:szCs w:val="17"/>
          <w:color w:val="auto"/>
        </w:rPr>
        <w:t>In addition to first and second lien loans, the Company may also invest in subordinated loans. Subordinated loans typically have a second lien on all or substantially all of the borrower’s assets, and unlike second lien loans, may be subject to the interruption of cash interest payments upon certain events of default, at the discretion of the first lien lender.</w:t>
      </w:r>
    </w:p>
    <w:p>
      <w:pPr>
        <w:spacing w:after="0" w:line="57"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During the year ended December 31, 2017, the Company made approximately $82.8 million of investments and had approximately $115.8 million in repayments and sales resulting in net repayments and sales of approximately $33.0 million for the year. During the year ended December 31, 2016, the Company made approximately $120.8 million of investments and had approximately $163.6 million in repayments and sales resulting in net repayments and sales of approximately $42.8 million for the year. During the year ended December 31, 2015, the Company made approximately $260.6 million of investments and had approximately $142.7 million in repayments and sales resulting in net investments of approximately $117.9 million for the year.</w:t>
      </w:r>
    </w:p>
    <w:p>
      <w:pPr>
        <w:spacing w:after="0" w:line="5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During the year ended December 31, 2017, the Company funded $5.9 million of previously committed capital to existing portfolio companies. During the year ended December 31, 2017, the Company funded $76.9 million of investments in portfolio companies for which it was not previously committed to fund. During the year ended December 31, 2016, the Company funded $2.8 million of previously committed capital to existing portfolio companies. During the year ended December 31, 2016, the Company funded $118.0 million of investments in portfolio companies for which it was not previously committed to fund. During the year ended December 31, 2015, the Company funded $52.4 million of previously committed capital to existing portfolio companies. During the year ended December 31, 2015, the Company funded $208.2 million of investments in portfolio companies for which it was not previously committed to fund.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year ended December 31, 2017, the Company assisted one portfolio company in obtaining indirect financing by providing a limited guarantee. During the year ended December 31, 2016, the Company did not lead any syndicates and did not assist any</w:t>
      </w:r>
    </w:p>
    <w:p>
      <w:pPr>
        <w:spacing w:after="0" w:line="200" w:lineRule="exact"/>
        <w:rPr>
          <w:sz w:val="20"/>
          <w:szCs w:val="20"/>
          <w:color w:val="auto"/>
        </w:rPr>
      </w:pPr>
    </w:p>
    <w:p>
      <w:pPr>
        <w:spacing w:after="0" w:line="3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5" w:name="page126"/>
    <w:bookmarkEnd w:id="125"/>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180" w:right="539"/>
        <w:spacing w:after="0" w:line="277" w:lineRule="auto"/>
        <w:rPr>
          <w:sz w:val="20"/>
          <w:szCs w:val="20"/>
          <w:color w:val="auto"/>
        </w:rPr>
      </w:pPr>
      <w:r>
        <w:rPr>
          <w:rFonts w:ascii="Arial" w:cs="Arial" w:eastAsia="Arial" w:hAnsi="Arial"/>
          <w:sz w:val="18"/>
          <w:szCs w:val="18"/>
          <w:color w:val="auto"/>
        </w:rPr>
        <w:t>portfolio companies in obtaining indirect financing. During the year ended December 31, 2015, the Company assisted one company in securing financing from other sources as part of a loan syndication.</w:t>
      </w:r>
    </w:p>
    <w:p>
      <w:pPr>
        <w:spacing w:after="0" w:line="62" w:lineRule="exact"/>
        <w:rPr>
          <w:sz w:val="20"/>
          <w:szCs w:val="20"/>
          <w:color w:val="auto"/>
        </w:rPr>
      </w:pPr>
    </w:p>
    <w:p>
      <w:pPr>
        <w:ind w:left="180" w:right="539" w:firstLine="270"/>
        <w:spacing w:after="0" w:line="255" w:lineRule="auto"/>
        <w:rPr>
          <w:sz w:val="20"/>
          <w:szCs w:val="20"/>
          <w:color w:val="auto"/>
        </w:rPr>
      </w:pPr>
      <w:r>
        <w:rPr>
          <w:rFonts w:ascii="Arial" w:cs="Arial" w:eastAsia="Arial" w:hAnsi="Arial"/>
          <w:sz w:val="18"/>
          <w:szCs w:val="18"/>
          <w:color w:val="auto"/>
        </w:rPr>
        <w:t>On August 31, 2016, the Company sold a portion of 14 securities across 10 portfolio companies to CapitalSouth Partners Florida Sidecar Fund II, L.P. (“FSC II”), including granting an option to acquire a portion of the Company’s equity investment in Eastport Holdings, LLC (the “Written Call Option”), in exchange for 100% of the partnership interests in FSC II. Concurrent with the sale of these assets to FSC II, the Company received cash consideration of $47.6 million from an affiliated third-party purchaser in exchange for 100% of the partnership interests of FSC II. These assets were sold to FSC II at their June 30, 2016 fair market values, resulting in a net realized gain of $0.1 million. The Company’s Board pre-approved this transaction pursuant to Section 57(f) of the 1940 Act.</w:t>
      </w:r>
    </w:p>
    <w:p>
      <w:pPr>
        <w:spacing w:after="0" w:line="81" w:lineRule="exact"/>
        <w:rPr>
          <w:sz w:val="20"/>
          <w:szCs w:val="20"/>
          <w:color w:val="auto"/>
        </w:rPr>
      </w:pPr>
    </w:p>
    <w:p>
      <w:pPr>
        <w:ind w:left="180" w:right="599" w:firstLine="270"/>
        <w:spacing w:after="0" w:line="259"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79" w:lineRule="exact"/>
        <w:rPr>
          <w:sz w:val="20"/>
          <w:szCs w:val="20"/>
          <w:color w:val="auto"/>
        </w:rPr>
      </w:pPr>
    </w:p>
    <w:p>
      <w:pPr>
        <w:ind w:left="180" w:right="539" w:firstLine="270"/>
        <w:spacing w:after="0" w:line="290" w:lineRule="auto"/>
        <w:rPr>
          <w:sz w:val="20"/>
          <w:szCs w:val="20"/>
          <w:color w:val="auto"/>
        </w:rPr>
      </w:pPr>
      <w:r>
        <w:rPr>
          <w:rFonts w:ascii="Arial" w:cs="Arial" w:eastAsia="Arial" w:hAnsi="Arial"/>
          <w:sz w:val="16"/>
          <w:szCs w:val="16"/>
          <w:color w:val="auto"/>
        </w:rPr>
        <w:t>The Written Call Option granted FSC II the right to purchase up to 31.25% of the Company’s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the Company’s consolidated statements of assets and liabilities, was approximately $6.8 million and $2.7 million as of December 31, 2017 and 2016, respectively. For purposes of determining the fair value of the Written Call Option, the Company calculated the difference in the fair value of the underlying equity investment in Eastport Holdings, LLC and the strike price of the Written Call Option, or intrinsic value. The time value of the Written Call Option as of December 31, 2017 and 2016 was determined to be insignificant. The Written Call Option is classified as a Level 3 financial instrument.</w:t>
      </w:r>
    </w:p>
    <w:p>
      <w:pPr>
        <w:spacing w:after="0" w:line="58" w:lineRule="exact"/>
        <w:rPr>
          <w:sz w:val="20"/>
          <w:szCs w:val="20"/>
          <w:color w:val="auto"/>
        </w:rPr>
      </w:pPr>
    </w:p>
    <w:p>
      <w:pPr>
        <w:ind w:left="180" w:right="1079" w:firstLine="270"/>
        <w:spacing w:after="0" w:line="277" w:lineRule="auto"/>
        <w:rPr>
          <w:sz w:val="20"/>
          <w:szCs w:val="20"/>
          <w:color w:val="auto"/>
        </w:rPr>
      </w:pPr>
      <w:r>
        <w:rPr>
          <w:rFonts w:ascii="Arial" w:cs="Arial" w:eastAsia="Arial" w:hAnsi="Arial"/>
          <w:sz w:val="18"/>
          <w:szCs w:val="18"/>
          <w:color w:val="auto"/>
        </w:rPr>
        <w:t>The composition of our investments as of December 31, 2017, at amortized cost and fair value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9684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Investments at</w:t>
            </w:r>
          </w:p>
        </w:tc>
        <w:tc>
          <w:tcPr>
            <w:tcW w:w="1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Amortized Cost</w:t>
            </w:r>
          </w:p>
        </w:tc>
        <w:tc>
          <w:tcPr>
            <w:tcW w:w="160" w:type="dxa"/>
            <w:vAlign w:val="bottom"/>
          </w:tcPr>
          <w:p>
            <w:pPr>
              <w:spacing w:after="0"/>
              <w:rPr>
                <w:sz w:val="14"/>
                <w:szCs w:val="14"/>
                <w:color w:val="auto"/>
              </w:rPr>
            </w:pPr>
          </w:p>
        </w:tc>
        <w:tc>
          <w:tcPr>
            <w:tcW w:w="9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7"/>
              </w:rPr>
              <w:t>Investments</w:t>
            </w:r>
          </w:p>
        </w:tc>
        <w:tc>
          <w:tcPr>
            <w:tcW w:w="16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8"/>
              </w:rPr>
              <w:t>Amortized Cost</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16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at Fair Value</w:t>
            </w:r>
          </w:p>
        </w:tc>
        <w:tc>
          <w:tcPr>
            <w:tcW w:w="160" w:type="dxa"/>
            <w:vAlign w:val="bottom"/>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257,147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243,489</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32,465</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30,794</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120,235</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103,385</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55,180</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122,271</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465,027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499,939</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180" w:right="1079" w:firstLine="270"/>
        <w:spacing w:after="0" w:line="277" w:lineRule="auto"/>
        <w:rPr>
          <w:sz w:val="20"/>
          <w:szCs w:val="20"/>
          <w:color w:val="auto"/>
        </w:rPr>
      </w:pPr>
      <w:r>
        <w:rPr>
          <w:rFonts w:ascii="Arial" w:cs="Arial" w:eastAsia="Arial" w:hAnsi="Arial"/>
          <w:sz w:val="18"/>
          <w:szCs w:val="18"/>
          <w:color w:val="auto"/>
        </w:rPr>
        <w:t>The composition of our investments as of December 31, 2016, at amortized cost and fair value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9684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Investments at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Amortized Cost</w:t>
            </w:r>
          </w:p>
        </w:tc>
        <w:tc>
          <w:tcPr>
            <w:tcW w:w="160" w:type="dxa"/>
            <w:vAlign w:val="bottom"/>
          </w:tcPr>
          <w:p>
            <w:pPr>
              <w:spacing w:after="0"/>
              <w:rPr>
                <w:sz w:val="14"/>
                <w:szCs w:val="14"/>
                <w:color w:val="auto"/>
              </w:rPr>
            </w:pPr>
          </w:p>
        </w:tc>
        <w:tc>
          <w:tcPr>
            <w:tcW w:w="9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7"/>
              </w:rPr>
              <w:t>Investments</w:t>
            </w:r>
          </w:p>
        </w:tc>
        <w:tc>
          <w:tcPr>
            <w:tcW w:w="16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Amortized Cost</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16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at Fair Value</w:t>
            </w:r>
          </w:p>
        </w:tc>
        <w:tc>
          <w:tcPr>
            <w:tcW w:w="160" w:type="dxa"/>
            <w:vAlign w:val="bottom"/>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Total portfolio</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244,647</w:t>
            </w:r>
          </w:p>
        </w:tc>
        <w:tc>
          <w:tcPr>
            <w:tcW w:w="1360" w:type="dxa"/>
            <w:vAlign w:val="bottom"/>
            <w:tcBorders>
              <w:lef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226,578</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74,559</w:t>
            </w:r>
          </w:p>
        </w:tc>
        <w:tc>
          <w:tcPr>
            <w:tcW w:w="1360" w:type="dxa"/>
            <w:vAlign w:val="bottom"/>
            <w:gridSpan w:val="4"/>
          </w:tcPr>
          <w:p>
            <w:pPr>
              <w:jc w:val="right"/>
              <w:ind w:right="36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71,483</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13.2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148,849</w:t>
            </w:r>
          </w:p>
        </w:tc>
        <w:tc>
          <w:tcPr>
            <w:tcW w:w="1360" w:type="dxa"/>
            <w:vAlign w:val="bottom"/>
            <w:tcBorders>
              <w:lef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150,232</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45,721</w:t>
            </w:r>
          </w:p>
        </w:tc>
        <w:tc>
          <w:tcPr>
            <w:tcW w:w="1360" w:type="dxa"/>
            <w:vAlign w:val="bottom"/>
            <w:gridSpan w:val="4"/>
          </w:tcPr>
          <w:p>
            <w:pPr>
              <w:jc w:val="right"/>
              <w:ind w:right="36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93,346</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17.2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513,776</w:t>
            </w:r>
          </w:p>
        </w:tc>
        <w:tc>
          <w:tcPr>
            <w:tcW w:w="1360" w:type="dxa"/>
            <w:vAlign w:val="bottom"/>
            <w:tcBorders>
              <w:lef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541,639</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4"/>
          </w:tcPr>
          <w:p>
            <w:pPr>
              <w:jc w:val="right"/>
              <w:ind w:right="940"/>
              <w:spacing w:after="0"/>
              <w:rPr>
                <w:sz w:val="20"/>
                <w:szCs w:val="20"/>
                <w:color w:val="auto"/>
              </w:rPr>
            </w:pPr>
            <w:r>
              <w:rPr>
                <w:rFonts w:ascii="Arial" w:cs="Arial" w:eastAsia="Arial" w:hAnsi="Arial"/>
                <w:sz w:val="18"/>
                <w:szCs w:val="18"/>
                <w:color w:val="auto"/>
              </w:rPr>
              <w:t>F-28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4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4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6" w:name="page127"/>
    <w:bookmarkEnd w:id="12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180" w:right="559" w:firstLine="270"/>
        <w:spacing w:after="0" w:line="312" w:lineRule="auto"/>
        <w:rPr>
          <w:sz w:val="20"/>
          <w:szCs w:val="20"/>
          <w:color w:val="auto"/>
        </w:rPr>
      </w:pPr>
      <w:r>
        <w:rPr>
          <w:rFonts w:ascii="Arial" w:cs="Arial" w:eastAsia="Arial" w:hAnsi="Arial"/>
          <w:sz w:val="16"/>
          <w:szCs w:val="16"/>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39" w:lineRule="exact"/>
        <w:rPr>
          <w:sz w:val="20"/>
          <w:szCs w:val="20"/>
          <w:color w:val="auto"/>
        </w:rPr>
      </w:pPr>
    </w:p>
    <w:p>
      <w:pPr>
        <w:ind w:left="180" w:right="539" w:firstLine="270"/>
        <w:spacing w:after="0" w:line="257" w:lineRule="auto"/>
        <w:rPr>
          <w:sz w:val="20"/>
          <w:szCs w:val="20"/>
          <w:color w:val="auto"/>
        </w:rPr>
      </w:pPr>
      <w:r>
        <w:rPr>
          <w:rFonts w:ascii="Arial" w:cs="Arial" w:eastAsia="Arial" w:hAnsi="Arial"/>
          <w:sz w:val="18"/>
          <w:szCs w:val="18"/>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80" w:lineRule="exact"/>
        <w:rPr>
          <w:sz w:val="20"/>
          <w:szCs w:val="20"/>
          <w:color w:val="auto"/>
        </w:rPr>
      </w:pPr>
    </w:p>
    <w:p>
      <w:pPr>
        <w:ind w:left="180" w:right="539" w:firstLine="270"/>
        <w:spacing w:after="0" w:line="312" w:lineRule="auto"/>
        <w:rPr>
          <w:sz w:val="20"/>
          <w:szCs w:val="20"/>
          <w:color w:val="auto"/>
        </w:rPr>
      </w:pPr>
      <w:r>
        <w:rPr>
          <w:rFonts w:ascii="Arial" w:cs="Arial" w:eastAsia="Arial" w:hAnsi="Arial"/>
          <w:sz w:val="16"/>
          <w:szCs w:val="16"/>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39" w:lineRule="exact"/>
        <w:rPr>
          <w:sz w:val="20"/>
          <w:szCs w:val="20"/>
          <w:color w:val="auto"/>
        </w:rPr>
      </w:pPr>
    </w:p>
    <w:p>
      <w:pPr>
        <w:ind w:left="740" w:right="779" w:hanging="322"/>
        <w:spacing w:after="0" w:line="277" w:lineRule="auto"/>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the Company has the ability to access.</w:t>
      </w:r>
    </w:p>
    <w:p>
      <w:pPr>
        <w:spacing w:after="0" w:line="62" w:lineRule="exact"/>
        <w:rPr>
          <w:rFonts w:ascii="Arial" w:cs="Arial" w:eastAsia="Arial" w:hAnsi="Arial"/>
          <w:sz w:val="18"/>
          <w:szCs w:val="18"/>
          <w:color w:val="auto"/>
        </w:rPr>
      </w:pPr>
    </w:p>
    <w:p>
      <w:pPr>
        <w:ind w:left="740" w:right="919" w:hanging="322"/>
        <w:spacing w:after="0" w:line="277" w:lineRule="auto"/>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62" w:lineRule="exact"/>
        <w:rPr>
          <w:rFonts w:ascii="Arial" w:cs="Arial" w:eastAsia="Arial" w:hAnsi="Arial"/>
          <w:sz w:val="18"/>
          <w:szCs w:val="18"/>
          <w:color w:val="auto"/>
        </w:rPr>
      </w:pPr>
    </w:p>
    <w:p>
      <w:pPr>
        <w:ind w:left="740" w:hanging="322"/>
        <w:spacing w:after="0"/>
        <w:tabs>
          <w:tab w:leader="none" w:pos="7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129" w:lineRule="exact"/>
        <w:rPr>
          <w:sz w:val="20"/>
          <w:szCs w:val="20"/>
          <w:color w:val="auto"/>
        </w:rPr>
      </w:pPr>
    </w:p>
    <w:p>
      <w:pPr>
        <w:jc w:val="both"/>
        <w:ind w:left="180" w:right="539" w:firstLine="270"/>
        <w:spacing w:after="0" w:line="286" w:lineRule="auto"/>
        <w:rPr>
          <w:sz w:val="20"/>
          <w:szCs w:val="20"/>
          <w:color w:val="auto"/>
        </w:rPr>
      </w:pPr>
      <w:r>
        <w:rPr>
          <w:rFonts w:ascii="Arial" w:cs="Arial" w:eastAsia="Arial" w:hAnsi="Arial"/>
          <w:sz w:val="17"/>
          <w:szCs w:val="17"/>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57" w:lineRule="exact"/>
        <w:rPr>
          <w:sz w:val="20"/>
          <w:szCs w:val="20"/>
          <w:color w:val="auto"/>
        </w:rPr>
      </w:pPr>
    </w:p>
    <w:p>
      <w:pPr>
        <w:ind w:left="180" w:right="739" w:firstLine="270"/>
        <w:spacing w:after="0" w:line="259" w:lineRule="auto"/>
        <w:rPr>
          <w:sz w:val="20"/>
          <w:szCs w:val="20"/>
          <w:color w:val="auto"/>
        </w:rPr>
      </w:pPr>
      <w:r>
        <w:rPr>
          <w:rFonts w:ascii="Arial" w:cs="Arial" w:eastAsia="Arial" w:hAnsi="Arial"/>
          <w:sz w:val="18"/>
          <w:szCs w:val="18"/>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79" w:lineRule="exact"/>
        <w:rPr>
          <w:sz w:val="20"/>
          <w:szCs w:val="20"/>
          <w:color w:val="auto"/>
        </w:rPr>
      </w:pPr>
    </w:p>
    <w:p>
      <w:pPr>
        <w:ind w:left="180" w:right="739" w:firstLine="270"/>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December 31, 2017 (dollars in thousands), according to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0573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8"/>
              </w:rPr>
              <w:t>Fair Value Measurements</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First Lien Debt</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243,489</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243,489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Lien Debt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30,794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16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103,385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103,385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122,271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122,271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499,939</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499,939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F-29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-814070</wp:posOffset>
            </wp:positionV>
            <wp:extent cx="5213985" cy="1803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7" w:name="page128"/>
    <w:bookmarkEnd w:id="127"/>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180" w:right="1339" w:firstLine="270"/>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December 31, 2017 (dollars in thousands), according to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0573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5"/>
              </w:rPr>
              <w:t>Fair Value Measurements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Written Call Option</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(6,815)</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(6,815)</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180" w:right="999" w:firstLine="270"/>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2016 (dollars in thousands), according to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0573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8"/>
              </w:rPr>
              <w:t>Fair Value Measurements</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First Lien Debt</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226,578</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226,578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Lien Debt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71,483</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16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150,232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150,232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93,346</w:t>
            </w: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541,639</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541,639</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-179705</wp:posOffset>
            </wp:positionV>
            <wp:extent cx="5213985" cy="1803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180" w:right="1339" w:firstLine="270"/>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December 31, 2016 (dollars in thousands), according to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0573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5"/>
              </w:rPr>
              <w:t>Fair Value Measurements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Written Call Option</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(2,736)</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180" w:right="699" w:firstLine="27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year ended December 31, 2017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First Lien</w:t>
            </w:r>
          </w:p>
        </w:tc>
        <w:tc>
          <w:tcPr>
            <w:tcW w:w="160" w:type="dxa"/>
            <w:vAlign w:val="bottom"/>
          </w:tcPr>
          <w:p>
            <w:pPr>
              <w:spacing w:after="0"/>
              <w:rPr>
                <w:sz w:val="14"/>
                <w:szCs w:val="14"/>
                <w:color w:val="auto"/>
              </w:rPr>
            </w:pP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6"/>
              </w:rPr>
              <w:t>Second Lien</w:t>
            </w:r>
          </w:p>
        </w:tc>
        <w:tc>
          <w:tcPr>
            <w:tcW w:w="16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Subordinated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Warrants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$ 226,578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71,483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$ 150,232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93,346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541,639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(7,109)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Repayments/sales</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(45,804)</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(115,810)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69,722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4,000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2,730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82,750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Payment in-kind interest and dividends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Accretion of original issue discount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1,357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 (loss) from investments</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(1,456)</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(24,189)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300" w:type="dxa"/>
            <w:vAlign w:val="bottom"/>
          </w:tcPr>
          <w:p>
            <w:pPr>
              <w:ind w:left="20"/>
              <w:spacing w:after="0" w:line="201" w:lineRule="exact"/>
              <w:rPr>
                <w:sz w:val="20"/>
                <w:szCs w:val="20"/>
                <w:color w:val="auto"/>
              </w:rPr>
            </w:pPr>
            <w:r>
              <w:rPr>
                <w:rFonts w:ascii="Arial" w:cs="Arial" w:eastAsia="Arial" w:hAnsi="Arial"/>
                <w:sz w:val="18"/>
                <w:szCs w:val="18"/>
                <w:color w:val="auto"/>
                <w:w w:val="97"/>
              </w:rPr>
              <w:t>Net unrealized appreciation (depreciation)</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on investments</w:t>
            </w:r>
          </w:p>
        </w:tc>
        <w:tc>
          <w:tcPr>
            <w:tcW w:w="740" w:type="dxa"/>
            <w:vAlign w:val="bottom"/>
          </w:tcPr>
          <w:p>
            <w:pPr>
              <w:jc w:val="right"/>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1,403</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(18,233)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7,049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$ 243,489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30,794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$ 103,385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122,271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499,939</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97"/>
              </w:rPr>
              <w:t>F-30</w:t>
            </w: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8" w:name="page129"/>
    <w:bookmarkEnd w:id="12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 Level 3 inputs for the year ended December 31, 2017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7"/>
              </w:rPr>
              <w:t>Written Call</w:t>
            </w:r>
          </w:p>
        </w:tc>
      </w:tr>
      <w:tr>
        <w:trPr>
          <w:trHeight w:val="171"/>
        </w:trPr>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Option</w:t>
            </w: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(2,736)</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Net unrealized depreciation on Written Call Option</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(4,079)</w:t>
            </w:r>
          </w:p>
        </w:tc>
      </w:tr>
      <w:tr>
        <w:trPr>
          <w:trHeight w:val="20"/>
        </w:trPr>
        <w:tc>
          <w:tcPr>
            <w:tcW w:w="6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(6,815)</w:t>
            </w:r>
          </w:p>
        </w:tc>
      </w:tr>
      <w:tr>
        <w:trPr>
          <w:trHeight w:val="20"/>
        </w:trPr>
        <w:tc>
          <w:tcPr>
            <w:tcW w:w="6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year ended December 31, 2016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Second Lien</w:t>
            </w:r>
          </w:p>
        </w:tc>
        <w:tc>
          <w:tcPr>
            <w:tcW w:w="100" w:type="dxa"/>
            <w:vAlign w:val="bottom"/>
          </w:tcPr>
          <w:p>
            <w:pPr>
              <w:spacing w:after="0"/>
              <w:rPr>
                <w:sz w:val="14"/>
                <w:szCs w:val="14"/>
                <w:color w:val="auto"/>
              </w:rPr>
            </w:pP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9"/>
              </w:rPr>
              <w:t>Subordinated</w:t>
            </w: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199,843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194,485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$ 98,480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573,418</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Repayments/sales</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(35,823)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(71,527)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(22,410)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(142,510)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37,406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120,844</w:t>
            </w:r>
          </w:p>
        </w:tc>
        <w:tc>
          <w:tcPr>
            <w:tcW w:w="0" w:type="dxa"/>
            <w:vAlign w:val="bottom"/>
          </w:tcPr>
          <w:p>
            <w:pPr>
              <w:spacing w:after="0"/>
              <w:rPr>
                <w:sz w:val="1"/>
                <w:szCs w:val="1"/>
                <w:color w:val="auto"/>
              </w:rPr>
            </w:pPr>
          </w:p>
        </w:tc>
      </w:tr>
      <w:tr>
        <w:trPr>
          <w:trHeight w:val="202"/>
        </w:trPr>
        <w:tc>
          <w:tcPr>
            <w:tcW w:w="3160" w:type="dxa"/>
            <w:vAlign w:val="bottom"/>
          </w:tcPr>
          <w:p>
            <w:pPr>
              <w:ind w:left="20"/>
              <w:spacing w:after="0" w:line="201" w:lineRule="exact"/>
              <w:rPr>
                <w:sz w:val="20"/>
                <w:szCs w:val="20"/>
                <w:color w:val="auto"/>
              </w:rPr>
            </w:pPr>
            <w:r>
              <w:rPr>
                <w:rFonts w:ascii="Arial" w:cs="Arial" w:eastAsia="Arial" w:hAnsi="Arial"/>
                <w:sz w:val="18"/>
                <w:szCs w:val="18"/>
                <w:color w:val="auto"/>
              </w:rPr>
              <w:t>Payment in-kind interest and dividends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accrued</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596</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original issue discount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Realized gain (loss) from investments</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(25,325)</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7,078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(23,439)</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unrealized appreciation (depreciation)</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 investments</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71,483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150,232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$ 93,346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541,639</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 Level 3 inputs for the year ended December 31, 2016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7"/>
              </w:rPr>
              <w:t>Written Call</w:t>
            </w:r>
          </w:p>
        </w:tc>
      </w:tr>
      <w:tr>
        <w:trPr>
          <w:trHeight w:val="171"/>
        </w:trPr>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Option</w:t>
            </w: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Net unrealized depreciation on Written Call Option</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(2,716)</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Written Call Option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r>
      <w:tr>
        <w:trPr>
          <w:trHeight w:val="20"/>
        </w:trPr>
        <w:tc>
          <w:tcPr>
            <w:tcW w:w="6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(2,736)</w:t>
            </w:r>
          </w:p>
        </w:tc>
      </w:tr>
      <w:tr>
        <w:trPr>
          <w:trHeight w:val="21"/>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839" w:firstLine="270"/>
        <w:spacing w:after="0" w:line="264" w:lineRule="auto"/>
        <w:rPr>
          <w:sz w:val="20"/>
          <w:szCs w:val="20"/>
          <w:color w:val="auto"/>
        </w:rPr>
      </w:pPr>
      <w:r>
        <w:rPr>
          <w:rFonts w:ascii="Arial" w:cs="Arial" w:eastAsia="Arial" w:hAnsi="Arial"/>
          <w:sz w:val="18"/>
          <w:szCs w:val="18"/>
          <w:color w:val="auto"/>
        </w:rPr>
        <w:t>The net change in unrealized appreciation (depreciation) on investments held as of December 31, 2017 and 2016 was $(1.6) million and $3.9 million, respectively, and is included in net unrealized appreciation (depreciation) on investments in the consolidated statements of operations.</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40" w:right="1039" w:firstLine="270"/>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(liabilities) as of December 31,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0903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142875</wp:posOffset>
            </wp:positionV>
            <wp:extent cx="620903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4"/>
                <w:szCs w:val="14"/>
                <w:color w:val="auto"/>
              </w:rPr>
            </w:pPr>
          </w:p>
        </w:tc>
        <w:tc>
          <w:tcPr>
            <w:tcW w:w="13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Valuation Approach</w:t>
            </w:r>
          </w:p>
        </w:tc>
        <w:tc>
          <w:tcPr>
            <w:tcW w:w="40" w:type="dxa"/>
            <w:vAlign w:val="bottom"/>
          </w:tcPr>
          <w:p>
            <w:pPr>
              <w:spacing w:after="0"/>
              <w:rPr>
                <w:sz w:val="14"/>
                <w:szCs w:val="14"/>
                <w:color w:val="auto"/>
              </w:rPr>
            </w:pPr>
          </w:p>
        </w:tc>
        <w:tc>
          <w:tcPr>
            <w:tcW w:w="1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Unobservable Input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71"/>
        </w:trPr>
        <w:tc>
          <w:tcPr>
            <w:tcW w:w="1900" w:type="dxa"/>
            <w:vAlign w:val="bottom"/>
            <w:vMerge w:val="restart"/>
          </w:tcPr>
          <w:p>
            <w:pPr>
              <w:spacing w:after="0"/>
              <w:rPr>
                <w:sz w:val="20"/>
                <w:szCs w:val="20"/>
                <w:color w:val="auto"/>
              </w:rPr>
            </w:pPr>
            <w:r>
              <w:rPr>
                <w:rFonts w:ascii="Arial" w:cs="Arial" w:eastAsia="Arial" w:hAnsi="Arial"/>
                <w:sz w:val="18"/>
                <w:szCs w:val="18"/>
                <w:color w:val="auto"/>
              </w:rPr>
              <w:t>First lien debt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ind w:left="80"/>
              <w:spacing w:after="0" w:line="195" w:lineRule="exact"/>
              <w:rPr>
                <w:sz w:val="20"/>
                <w:szCs w:val="20"/>
                <w:color w:val="auto"/>
              </w:rPr>
            </w:pPr>
            <w:r>
              <w:rPr>
                <w:rFonts w:ascii="Arial" w:cs="Arial" w:eastAsia="Arial" w:hAnsi="Arial"/>
                <w:sz w:val="18"/>
                <w:szCs w:val="18"/>
                <w:color w:val="auto"/>
                <w:w w:val="93"/>
              </w:rPr>
              <w:t>Required Rate of Return</w:t>
            </w:r>
          </w:p>
        </w:tc>
        <w:tc>
          <w:tcPr>
            <w:tcW w:w="60" w:type="dxa"/>
            <w:vAlign w:val="bottom"/>
          </w:tcPr>
          <w:p>
            <w:pPr>
              <w:spacing w:after="0"/>
              <w:rPr>
                <w:sz w:val="16"/>
                <w:szCs w:val="16"/>
                <w:color w:val="auto"/>
              </w:rPr>
            </w:pPr>
          </w:p>
        </w:tc>
        <w:tc>
          <w:tcPr>
            <w:tcW w:w="350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8.6% – 21.2% (13.5%)</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1.7x</w:t>
            </w:r>
          </w:p>
        </w:tc>
        <w:tc>
          <w:tcPr>
            <w:tcW w:w="3080" w:type="dxa"/>
            <w:vAlign w:val="bottom"/>
          </w:tcPr>
          <w:p>
            <w:pPr>
              <w:ind w:left="20"/>
              <w:spacing w:after="0"/>
              <w:rPr>
                <w:sz w:val="20"/>
                <w:szCs w:val="20"/>
                <w:color w:val="auto"/>
              </w:rPr>
            </w:pPr>
            <w:r>
              <w:rPr>
                <w:rFonts w:ascii="Arial" w:cs="Arial" w:eastAsia="Arial" w:hAnsi="Arial"/>
                <w:sz w:val="18"/>
                <w:szCs w:val="18"/>
                <w:color w:val="auto"/>
              </w:rPr>
              <w:t>– 7.0x (3.6x)</w:t>
            </w:r>
          </w:p>
        </w:tc>
        <w:tc>
          <w:tcPr>
            <w:tcW w:w="0" w:type="dxa"/>
            <w:vAlign w:val="bottom"/>
          </w:tcPr>
          <w:p>
            <w:pPr>
              <w:spacing w:after="0"/>
              <w:rPr>
                <w:sz w:val="1"/>
                <w:szCs w:val="1"/>
                <w:color w:val="auto"/>
              </w:rPr>
            </w:pPr>
          </w:p>
        </w:tc>
      </w:tr>
      <w:tr>
        <w:trPr>
          <w:trHeight w:val="216"/>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87"/>
              </w:rPr>
              <w:t>$211.2</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Income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w w:val="99"/>
              </w:rPr>
              <w:t>$1.8 million – $131.2 million ($21.1 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First lien debt</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 and</w:t>
            </w:r>
          </w:p>
        </w:tc>
        <w:tc>
          <w:tcPr>
            <w:tcW w:w="40" w:type="dxa"/>
            <w:vAlign w:val="bottom"/>
          </w:tcPr>
          <w:p>
            <w:pPr>
              <w:spacing w:after="0"/>
              <w:rPr>
                <w:sz w:val="19"/>
                <w:szCs w:val="19"/>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9"/>
                <w:szCs w:val="19"/>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4.0x</w:t>
            </w:r>
          </w:p>
        </w:tc>
        <w:tc>
          <w:tcPr>
            <w:tcW w:w="3080" w:type="dxa"/>
            <w:vAlign w:val="bottom"/>
          </w:tcPr>
          <w:p>
            <w:pPr>
              <w:ind w:left="20"/>
              <w:spacing w:after="0"/>
              <w:rPr>
                <w:sz w:val="20"/>
                <w:szCs w:val="20"/>
                <w:color w:val="auto"/>
              </w:rPr>
            </w:pPr>
            <w:r>
              <w:rPr>
                <w:rFonts w:ascii="Arial" w:cs="Arial" w:eastAsia="Arial" w:hAnsi="Arial"/>
                <w:sz w:val="18"/>
                <w:szCs w:val="18"/>
                <w:color w:val="auto"/>
              </w:rPr>
              <w:t>– 7.0x (5.5x)</w:t>
            </w:r>
          </w:p>
        </w:tc>
        <w:tc>
          <w:tcPr>
            <w:tcW w:w="0" w:type="dxa"/>
            <w:vAlign w:val="bottom"/>
          </w:tcPr>
          <w:p>
            <w:pPr>
              <w:spacing w:after="0"/>
              <w:rPr>
                <w:sz w:val="1"/>
                <w:szCs w:val="1"/>
                <w:color w:val="auto"/>
              </w:rPr>
            </w:pPr>
          </w:p>
        </w:tc>
      </w:tr>
      <w:tr>
        <w:trPr>
          <w:trHeight w:val="253"/>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88"/>
              </w:rPr>
              <w:t>$32.3</w:t>
            </w:r>
          </w:p>
        </w:tc>
        <w:tc>
          <w:tcPr>
            <w:tcW w:w="60" w:type="dxa"/>
            <w:vAlign w:val="bottom"/>
          </w:tcPr>
          <w:p>
            <w:pPr>
              <w:spacing w:after="0"/>
              <w:rPr>
                <w:sz w:val="21"/>
                <w:szCs w:val="21"/>
                <w:color w:val="auto"/>
              </w:rPr>
            </w:pPr>
          </w:p>
        </w:tc>
        <w:tc>
          <w:tcPr>
            <w:tcW w:w="1360" w:type="dxa"/>
            <w:vAlign w:val="bottom"/>
          </w:tcPr>
          <w:p>
            <w:pPr>
              <w:ind w:left="80"/>
              <w:spacing w:after="0" w:line="253" w:lineRule="exact"/>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40" w:type="dxa"/>
            <w:vAlign w:val="bottom"/>
          </w:tcPr>
          <w:p>
            <w:pPr>
              <w:spacing w:after="0"/>
              <w:rPr>
                <w:sz w:val="21"/>
                <w:szCs w:val="21"/>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21"/>
                <w:szCs w:val="21"/>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$2.1 million – $3.1 million ($2.6 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Second lien debt</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w w:val="93"/>
              </w:rPr>
              <w:t>Required Rate of Return</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11.6% – 17.6% (14.4%)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4.9x</w:t>
            </w:r>
          </w:p>
        </w:tc>
        <w:tc>
          <w:tcPr>
            <w:tcW w:w="3080" w:type="dxa"/>
            <w:vAlign w:val="bottom"/>
          </w:tcPr>
          <w:p>
            <w:pPr>
              <w:ind w:left="20"/>
              <w:spacing w:after="0"/>
              <w:rPr>
                <w:sz w:val="20"/>
                <w:szCs w:val="20"/>
                <w:color w:val="auto"/>
              </w:rPr>
            </w:pPr>
            <w:r>
              <w:rPr>
                <w:rFonts w:ascii="Arial" w:cs="Arial" w:eastAsia="Arial" w:hAnsi="Arial"/>
                <w:sz w:val="18"/>
                <w:szCs w:val="18"/>
                <w:color w:val="auto"/>
              </w:rPr>
              <w:t>– 7.0x (6.0x)</w:t>
            </w:r>
          </w:p>
        </w:tc>
        <w:tc>
          <w:tcPr>
            <w:tcW w:w="0" w:type="dxa"/>
            <w:vAlign w:val="bottom"/>
          </w:tcPr>
          <w:p>
            <w:pPr>
              <w:spacing w:after="0"/>
              <w:rPr>
                <w:sz w:val="1"/>
                <w:szCs w:val="1"/>
                <w:color w:val="auto"/>
              </w:rPr>
            </w:pPr>
          </w:p>
        </w:tc>
      </w:tr>
      <w:tr>
        <w:trPr>
          <w:trHeight w:val="216"/>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88"/>
              </w:rPr>
              <w:t>$30.8</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Income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$7.3 million – $78.5 million ($41.1 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w w:val="93"/>
              </w:rPr>
              <w:t>Required Rate of Return</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11.5% – 19.0% (14.2%)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3.2x</w:t>
            </w:r>
          </w:p>
        </w:tc>
        <w:tc>
          <w:tcPr>
            <w:tcW w:w="3080" w:type="dxa"/>
            <w:vAlign w:val="bottom"/>
          </w:tcPr>
          <w:p>
            <w:pPr>
              <w:ind w:left="20"/>
              <w:spacing w:after="0"/>
              <w:rPr>
                <w:sz w:val="20"/>
                <w:szCs w:val="20"/>
                <w:color w:val="auto"/>
              </w:rPr>
            </w:pPr>
            <w:r>
              <w:rPr>
                <w:rFonts w:ascii="Arial" w:cs="Arial" w:eastAsia="Arial" w:hAnsi="Arial"/>
                <w:sz w:val="18"/>
                <w:szCs w:val="18"/>
                <w:color w:val="auto"/>
              </w:rPr>
              <w:t>– 8.1x (5.6x)</w:t>
            </w:r>
          </w:p>
        </w:tc>
        <w:tc>
          <w:tcPr>
            <w:tcW w:w="0" w:type="dxa"/>
            <w:vAlign w:val="bottom"/>
          </w:tcPr>
          <w:p>
            <w:pPr>
              <w:spacing w:after="0"/>
              <w:rPr>
                <w:sz w:val="1"/>
                <w:szCs w:val="1"/>
                <w:color w:val="auto"/>
              </w:rPr>
            </w:pPr>
          </w:p>
        </w:tc>
      </w:tr>
      <w:tr>
        <w:trPr>
          <w:trHeight w:val="216"/>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88"/>
              </w:rPr>
              <w:t>$64.4</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Income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$3.2 million – $15.1 million ($9.7 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6.0x</w:t>
            </w:r>
          </w:p>
        </w:tc>
        <w:tc>
          <w:tcPr>
            <w:tcW w:w="3080" w:type="dxa"/>
            <w:vAlign w:val="bottom"/>
          </w:tcPr>
          <w:p>
            <w:pPr>
              <w:ind w:left="20"/>
              <w:spacing w:after="0"/>
              <w:rPr>
                <w:sz w:val="20"/>
                <w:szCs w:val="20"/>
                <w:color w:val="auto"/>
              </w:rPr>
            </w:pPr>
            <w:r>
              <w:rPr>
                <w:rFonts w:ascii="Arial" w:cs="Arial" w:eastAsia="Arial" w:hAnsi="Arial"/>
                <w:sz w:val="18"/>
                <w:szCs w:val="18"/>
                <w:color w:val="auto"/>
              </w:rPr>
              <w:t>– 7.5x (7.2x)</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vMerge w:val="restart"/>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$1.8 million – $30.1 million ($21.2 million)</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tcPr>
          <w:p>
            <w:pPr>
              <w:ind w:left="80"/>
              <w:spacing w:after="0" w:line="176" w:lineRule="exact"/>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5"/>
                <w:szCs w:val="15"/>
                <w:color w:val="auto"/>
              </w:rPr>
            </w:pPr>
          </w:p>
        </w:tc>
        <w:tc>
          <w:tcPr>
            <w:tcW w:w="420" w:type="dxa"/>
            <w:vAlign w:val="bottom"/>
          </w:tcPr>
          <w:p>
            <w:pPr>
              <w:ind w:left="80"/>
              <w:spacing w:after="0" w:line="176" w:lineRule="exact"/>
              <w:rPr>
                <w:sz w:val="20"/>
                <w:szCs w:val="20"/>
                <w:color w:val="auto"/>
              </w:rPr>
            </w:pPr>
            <w:r>
              <w:rPr>
                <w:rFonts w:ascii="Arial" w:cs="Arial" w:eastAsia="Arial" w:hAnsi="Arial"/>
                <w:sz w:val="18"/>
                <w:szCs w:val="18"/>
                <w:color w:val="auto"/>
                <w:w w:val="93"/>
              </w:rPr>
              <w:t>0.2x</w:t>
            </w:r>
          </w:p>
        </w:tc>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 0.2x (0.2x)</w:t>
            </w:r>
          </w:p>
        </w:tc>
        <w:tc>
          <w:tcPr>
            <w:tcW w:w="0" w:type="dxa"/>
            <w:vAlign w:val="bottom"/>
          </w:tcPr>
          <w:p>
            <w:pPr>
              <w:spacing w:after="0"/>
              <w:rPr>
                <w:sz w:val="1"/>
                <w:szCs w:val="1"/>
                <w:color w:val="auto"/>
              </w:rPr>
            </w:pPr>
          </w:p>
        </w:tc>
      </w:tr>
      <w:tr>
        <w:trPr>
          <w:trHeight w:val="219"/>
        </w:trPr>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 and</w:t>
            </w:r>
          </w:p>
        </w:tc>
        <w:tc>
          <w:tcPr>
            <w:tcW w:w="40" w:type="dxa"/>
            <w:vAlign w:val="bottom"/>
          </w:tcPr>
          <w:p>
            <w:pPr>
              <w:spacing w:after="0"/>
              <w:rPr>
                <w:sz w:val="19"/>
                <w:szCs w:val="19"/>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 Multiple</w:t>
            </w:r>
          </w:p>
        </w:tc>
        <w:tc>
          <w:tcPr>
            <w:tcW w:w="60" w:type="dxa"/>
            <w:vAlign w:val="bottom"/>
          </w:tcPr>
          <w:p>
            <w:pPr>
              <w:spacing w:after="0"/>
              <w:rPr>
                <w:sz w:val="19"/>
                <w:szCs w:val="19"/>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$150.7 million – $150.7 million ($150.7</w:t>
            </w:r>
          </w:p>
        </w:tc>
        <w:tc>
          <w:tcPr>
            <w:tcW w:w="0" w:type="dxa"/>
            <w:vAlign w:val="bottom"/>
          </w:tcPr>
          <w:p>
            <w:pPr>
              <w:spacing w:after="0"/>
              <w:rPr>
                <w:sz w:val="1"/>
                <w:szCs w:val="1"/>
                <w:color w:val="auto"/>
              </w:rPr>
            </w:pPr>
          </w:p>
        </w:tc>
      </w:tr>
      <w:tr>
        <w:trPr>
          <w:trHeight w:val="253"/>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88"/>
              </w:rPr>
              <w:t>$39.0</w:t>
            </w:r>
          </w:p>
        </w:tc>
        <w:tc>
          <w:tcPr>
            <w:tcW w:w="60" w:type="dxa"/>
            <w:vAlign w:val="bottom"/>
          </w:tcPr>
          <w:p>
            <w:pPr>
              <w:spacing w:after="0"/>
              <w:rPr>
                <w:sz w:val="21"/>
                <w:szCs w:val="21"/>
                <w:color w:val="auto"/>
              </w:rPr>
            </w:pPr>
          </w:p>
        </w:tc>
        <w:tc>
          <w:tcPr>
            <w:tcW w:w="1360" w:type="dxa"/>
            <w:vAlign w:val="bottom"/>
          </w:tcPr>
          <w:p>
            <w:pPr>
              <w:ind w:left="80"/>
              <w:spacing w:after="0" w:line="253" w:lineRule="exact"/>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40" w:type="dxa"/>
            <w:vAlign w:val="bottom"/>
          </w:tcPr>
          <w:p>
            <w:pPr>
              <w:spacing w:after="0"/>
              <w:rPr>
                <w:sz w:val="21"/>
                <w:szCs w:val="21"/>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w:t>
            </w:r>
          </w:p>
        </w:tc>
        <w:tc>
          <w:tcPr>
            <w:tcW w:w="60" w:type="dxa"/>
            <w:vAlign w:val="bottom"/>
          </w:tcPr>
          <w:p>
            <w:pPr>
              <w:spacing w:after="0"/>
              <w:rPr>
                <w:sz w:val="21"/>
                <w:szCs w:val="21"/>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Equity and warrants</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3.5x</w:t>
            </w:r>
          </w:p>
        </w:tc>
        <w:tc>
          <w:tcPr>
            <w:tcW w:w="3080" w:type="dxa"/>
            <w:vAlign w:val="bottom"/>
          </w:tcPr>
          <w:p>
            <w:pPr>
              <w:ind w:left="20"/>
              <w:spacing w:after="0"/>
              <w:rPr>
                <w:sz w:val="20"/>
                <w:szCs w:val="20"/>
                <w:color w:val="auto"/>
              </w:rPr>
            </w:pPr>
            <w:r>
              <w:rPr>
                <w:rFonts w:ascii="Arial" w:cs="Arial" w:eastAsia="Arial" w:hAnsi="Arial"/>
                <w:sz w:val="18"/>
                <w:szCs w:val="18"/>
                <w:color w:val="auto"/>
              </w:rPr>
              <w:t>– 14.5x (7.9x)</w:t>
            </w:r>
          </w:p>
        </w:tc>
        <w:tc>
          <w:tcPr>
            <w:tcW w:w="0" w:type="dxa"/>
            <w:vAlign w:val="bottom"/>
          </w:tcPr>
          <w:p>
            <w:pPr>
              <w:spacing w:after="0"/>
              <w:rPr>
                <w:sz w:val="1"/>
                <w:szCs w:val="1"/>
                <w:color w:val="auto"/>
              </w:rPr>
            </w:pPr>
          </w:p>
        </w:tc>
      </w:tr>
      <w:tr>
        <w:trPr>
          <w:trHeight w:val="216"/>
        </w:trPr>
        <w:tc>
          <w:tcPr>
            <w:tcW w:w="28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$122.3</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$1.8 million – $77.6 million ($24.3 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Written Call Option</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7.25x – 7.25x (7.25x)</w:t>
            </w:r>
          </w:p>
        </w:tc>
        <w:tc>
          <w:tcPr>
            <w:tcW w:w="0" w:type="dxa"/>
            <w:vAlign w:val="bottom"/>
          </w:tcPr>
          <w:p>
            <w:pPr>
              <w:spacing w:after="0"/>
              <w:rPr>
                <w:sz w:val="1"/>
                <w:szCs w:val="1"/>
                <w:color w:val="auto"/>
              </w:rPr>
            </w:pPr>
          </w:p>
        </w:tc>
      </w:tr>
      <w:tr>
        <w:trPr>
          <w:trHeight w:val="230"/>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93"/>
              </w:rPr>
              <w:t>$(6.8)</w:t>
            </w:r>
          </w:p>
        </w:tc>
        <w:tc>
          <w:tcPr>
            <w:tcW w:w="60" w:type="dxa"/>
            <w:vAlign w:val="bottom"/>
          </w:tcPr>
          <w:p>
            <w:pPr>
              <w:spacing w:after="0"/>
              <w:rPr>
                <w:sz w:val="20"/>
                <w:szCs w:val="20"/>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w:t>
            </w:r>
          </w:p>
        </w:tc>
        <w:tc>
          <w:tcPr>
            <w:tcW w:w="4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20"/>
                <w:szCs w:val="20"/>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w w:val="99"/>
              </w:rPr>
              <w:t>$30.1 million – $30.1 million ($30.1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480" w:right="2219" w:hanging="4472"/>
        <w:spacing w:after="0" w:line="919" w:lineRule="auto"/>
        <w:tabs>
          <w:tab w:leader="none" w:pos="279"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 million in subordinated debt and $1.9 million in first lien debt were valued using the asset approach. 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-280670</wp:posOffset>
            </wp:positionV>
            <wp:extent cx="6114415" cy="596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40" w:right="1039" w:firstLine="270"/>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(liabilities) as of December 31,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0903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142875</wp:posOffset>
            </wp:positionV>
            <wp:extent cx="620903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4"/>
                <w:szCs w:val="14"/>
                <w:color w:val="auto"/>
              </w:rPr>
            </w:pPr>
          </w:p>
        </w:tc>
        <w:tc>
          <w:tcPr>
            <w:tcW w:w="13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Valuation Approach</w:t>
            </w:r>
          </w:p>
        </w:tc>
        <w:tc>
          <w:tcPr>
            <w:tcW w:w="40" w:type="dxa"/>
            <w:vAlign w:val="bottom"/>
          </w:tcPr>
          <w:p>
            <w:pPr>
              <w:spacing w:after="0"/>
              <w:rPr>
                <w:sz w:val="14"/>
                <w:szCs w:val="14"/>
                <w:color w:val="auto"/>
              </w:rPr>
            </w:pPr>
          </w:p>
        </w:tc>
        <w:tc>
          <w:tcPr>
            <w:tcW w:w="1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Unobservable Input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71"/>
        </w:trPr>
        <w:tc>
          <w:tcPr>
            <w:tcW w:w="1900" w:type="dxa"/>
            <w:vAlign w:val="bottom"/>
            <w:vMerge w:val="restart"/>
          </w:tcPr>
          <w:p>
            <w:pPr>
              <w:spacing w:after="0"/>
              <w:rPr>
                <w:sz w:val="20"/>
                <w:szCs w:val="20"/>
                <w:color w:val="auto"/>
              </w:rPr>
            </w:pPr>
            <w:r>
              <w:rPr>
                <w:rFonts w:ascii="Arial" w:cs="Arial" w:eastAsia="Arial" w:hAnsi="Arial"/>
                <w:sz w:val="18"/>
                <w:szCs w:val="18"/>
                <w:color w:val="auto"/>
              </w:rPr>
              <w:t>First lien debt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ind w:left="80"/>
              <w:spacing w:after="0" w:line="195" w:lineRule="exact"/>
              <w:rPr>
                <w:sz w:val="20"/>
                <w:szCs w:val="20"/>
                <w:color w:val="auto"/>
              </w:rPr>
            </w:pPr>
            <w:r>
              <w:rPr>
                <w:rFonts w:ascii="Arial" w:cs="Arial" w:eastAsia="Arial" w:hAnsi="Arial"/>
                <w:sz w:val="18"/>
                <w:szCs w:val="18"/>
                <w:color w:val="auto"/>
                <w:w w:val="93"/>
              </w:rPr>
              <w:t>Required Rate of Return</w:t>
            </w:r>
          </w:p>
        </w:tc>
        <w:tc>
          <w:tcPr>
            <w:tcW w:w="60" w:type="dxa"/>
            <w:vAlign w:val="bottom"/>
          </w:tcPr>
          <w:p>
            <w:pPr>
              <w:spacing w:after="0"/>
              <w:rPr>
                <w:sz w:val="16"/>
                <w:szCs w:val="16"/>
                <w:color w:val="auto"/>
              </w:rPr>
            </w:pPr>
          </w:p>
        </w:tc>
        <w:tc>
          <w:tcPr>
            <w:tcW w:w="350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9.5% – 18.0% (14.2%)</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2.0x</w:t>
            </w:r>
          </w:p>
        </w:tc>
        <w:tc>
          <w:tcPr>
            <w:tcW w:w="3080" w:type="dxa"/>
            <w:vAlign w:val="bottom"/>
          </w:tcPr>
          <w:p>
            <w:pPr>
              <w:ind w:left="20"/>
              <w:spacing w:after="0"/>
              <w:rPr>
                <w:sz w:val="20"/>
                <w:szCs w:val="20"/>
                <w:color w:val="auto"/>
              </w:rPr>
            </w:pPr>
            <w:r>
              <w:rPr>
                <w:rFonts w:ascii="Arial" w:cs="Arial" w:eastAsia="Arial" w:hAnsi="Arial"/>
                <w:sz w:val="18"/>
                <w:szCs w:val="18"/>
                <w:color w:val="auto"/>
              </w:rPr>
              <w:t>– 6.4x (4.1x)</w:t>
            </w:r>
          </w:p>
        </w:tc>
        <w:tc>
          <w:tcPr>
            <w:tcW w:w="0" w:type="dxa"/>
            <w:vAlign w:val="bottom"/>
          </w:tcPr>
          <w:p>
            <w:pPr>
              <w:spacing w:after="0"/>
              <w:rPr>
                <w:sz w:val="1"/>
                <w:szCs w:val="1"/>
                <w:color w:val="auto"/>
              </w:rPr>
            </w:pPr>
          </w:p>
        </w:tc>
      </w:tr>
      <w:tr>
        <w:trPr>
          <w:trHeight w:val="216"/>
        </w:trPr>
        <w:tc>
          <w:tcPr>
            <w:tcW w:w="28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$173.3</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Income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w w:val="99"/>
              </w:rPr>
              <w:t>$1.8 million – $166.0 million ($24.1 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First lien debt</w:t>
            </w:r>
          </w:p>
        </w:tc>
        <w:tc>
          <w:tcPr>
            <w:tcW w:w="60" w:type="dxa"/>
            <w:vAlign w:val="bottom"/>
          </w:tcPr>
          <w:p>
            <w:pPr>
              <w:spacing w:after="0"/>
              <w:rPr>
                <w:sz w:val="18"/>
                <w:szCs w:val="18"/>
                <w:color w:val="auto"/>
              </w:rPr>
            </w:pPr>
          </w:p>
        </w:tc>
        <w:tc>
          <w:tcPr>
            <w:tcW w:w="1360" w:type="dxa"/>
            <w:vAlign w:val="bottom"/>
            <w:vMerge w:val="restart"/>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4.5x</w:t>
            </w:r>
          </w:p>
        </w:tc>
        <w:tc>
          <w:tcPr>
            <w:tcW w:w="3080" w:type="dxa"/>
            <w:vAlign w:val="bottom"/>
          </w:tcPr>
          <w:p>
            <w:pPr>
              <w:ind w:left="20"/>
              <w:spacing w:after="0"/>
              <w:rPr>
                <w:sz w:val="20"/>
                <w:szCs w:val="20"/>
                <w:color w:val="auto"/>
              </w:rPr>
            </w:pPr>
            <w:r>
              <w:rPr>
                <w:rFonts w:ascii="Arial" w:cs="Arial" w:eastAsia="Arial" w:hAnsi="Arial"/>
                <w:sz w:val="18"/>
                <w:szCs w:val="18"/>
                <w:color w:val="auto"/>
              </w:rPr>
              <w:t>– 9.0x (6.3x)</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tcPr>
          <w:p>
            <w:pPr>
              <w:ind w:left="80"/>
              <w:spacing w:after="0" w:line="176" w:lineRule="exact"/>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5"/>
                <w:szCs w:val="15"/>
                <w:color w:val="auto"/>
              </w:rPr>
            </w:pPr>
          </w:p>
        </w:tc>
        <w:tc>
          <w:tcPr>
            <w:tcW w:w="35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$2.5 million – $34.3 million ($13.1 million)</w:t>
            </w:r>
          </w:p>
        </w:tc>
        <w:tc>
          <w:tcPr>
            <w:tcW w:w="0" w:type="dxa"/>
            <w:vAlign w:val="bottom"/>
          </w:tcPr>
          <w:p>
            <w:pPr>
              <w:spacing w:after="0"/>
              <w:rPr>
                <w:sz w:val="1"/>
                <w:szCs w:val="1"/>
                <w:color w:val="auto"/>
              </w:rPr>
            </w:pPr>
          </w:p>
        </w:tc>
      </w:tr>
      <w:tr>
        <w:trPr>
          <w:trHeight w:val="219"/>
        </w:trPr>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 and</w:t>
            </w:r>
          </w:p>
        </w:tc>
        <w:tc>
          <w:tcPr>
            <w:tcW w:w="40" w:type="dxa"/>
            <w:vAlign w:val="bottom"/>
          </w:tcPr>
          <w:p>
            <w:pPr>
              <w:spacing w:after="0"/>
              <w:rPr>
                <w:sz w:val="19"/>
                <w:szCs w:val="19"/>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 Multiple</w:t>
            </w:r>
          </w:p>
        </w:tc>
        <w:tc>
          <w:tcPr>
            <w:tcW w:w="60" w:type="dxa"/>
            <w:vAlign w:val="bottom"/>
          </w:tcPr>
          <w:p>
            <w:pPr>
              <w:spacing w:after="0"/>
              <w:rPr>
                <w:sz w:val="19"/>
                <w:szCs w:val="19"/>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0.3x</w:t>
            </w:r>
          </w:p>
        </w:tc>
        <w:tc>
          <w:tcPr>
            <w:tcW w:w="3080" w:type="dxa"/>
            <w:vAlign w:val="bottom"/>
          </w:tcPr>
          <w:p>
            <w:pPr>
              <w:ind w:left="20"/>
              <w:spacing w:after="0"/>
              <w:rPr>
                <w:sz w:val="20"/>
                <w:szCs w:val="20"/>
                <w:color w:val="auto"/>
              </w:rPr>
            </w:pPr>
            <w:r>
              <w:rPr>
                <w:rFonts w:ascii="Arial" w:cs="Arial" w:eastAsia="Arial" w:hAnsi="Arial"/>
                <w:sz w:val="18"/>
                <w:szCs w:val="18"/>
                <w:color w:val="auto"/>
              </w:rPr>
              <w:t>– 0.3x (0.3x)</w:t>
            </w:r>
          </w:p>
        </w:tc>
        <w:tc>
          <w:tcPr>
            <w:tcW w:w="0" w:type="dxa"/>
            <w:vAlign w:val="bottom"/>
          </w:tcPr>
          <w:p>
            <w:pPr>
              <w:spacing w:after="0"/>
              <w:rPr>
                <w:sz w:val="1"/>
                <w:szCs w:val="1"/>
                <w:color w:val="auto"/>
              </w:rPr>
            </w:pPr>
          </w:p>
        </w:tc>
      </w:tr>
      <w:tr>
        <w:trPr>
          <w:trHeight w:val="253"/>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88"/>
              </w:rPr>
              <w:t>$53.3</w:t>
            </w:r>
          </w:p>
        </w:tc>
        <w:tc>
          <w:tcPr>
            <w:tcW w:w="60" w:type="dxa"/>
            <w:vAlign w:val="bottom"/>
          </w:tcPr>
          <w:p>
            <w:pPr>
              <w:spacing w:after="0"/>
              <w:rPr>
                <w:sz w:val="21"/>
                <w:szCs w:val="21"/>
                <w:color w:val="auto"/>
              </w:rPr>
            </w:pPr>
          </w:p>
        </w:tc>
        <w:tc>
          <w:tcPr>
            <w:tcW w:w="1360" w:type="dxa"/>
            <w:vAlign w:val="bottom"/>
          </w:tcPr>
          <w:p>
            <w:pPr>
              <w:ind w:left="80"/>
              <w:spacing w:after="0" w:line="253" w:lineRule="exact"/>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40" w:type="dxa"/>
            <w:vAlign w:val="bottom"/>
          </w:tcPr>
          <w:p>
            <w:pPr>
              <w:spacing w:after="0"/>
              <w:rPr>
                <w:sz w:val="21"/>
                <w:szCs w:val="21"/>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Revenue</w:t>
            </w:r>
          </w:p>
        </w:tc>
        <w:tc>
          <w:tcPr>
            <w:tcW w:w="60" w:type="dxa"/>
            <w:vAlign w:val="bottom"/>
          </w:tcPr>
          <w:p>
            <w:pPr>
              <w:spacing w:after="0"/>
              <w:rPr>
                <w:sz w:val="21"/>
                <w:szCs w:val="21"/>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w w:val="99"/>
              </w:rPr>
              <w:t>$88.1 million – $88.1 million ($88.1 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Second lien debt</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w w:val="93"/>
              </w:rPr>
              <w:t>Required Rate of Return</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10.0% – 17.3% (13.3%)</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0.0x</w:t>
            </w:r>
          </w:p>
        </w:tc>
        <w:tc>
          <w:tcPr>
            <w:tcW w:w="3080" w:type="dxa"/>
            <w:vAlign w:val="bottom"/>
          </w:tcPr>
          <w:p>
            <w:pPr>
              <w:ind w:left="20"/>
              <w:spacing w:after="0"/>
              <w:rPr>
                <w:sz w:val="20"/>
                <w:szCs w:val="20"/>
                <w:color w:val="auto"/>
              </w:rPr>
            </w:pPr>
            <w:r>
              <w:rPr>
                <w:rFonts w:ascii="Arial" w:cs="Arial" w:eastAsia="Arial" w:hAnsi="Arial"/>
                <w:sz w:val="18"/>
                <w:szCs w:val="18"/>
                <w:color w:val="auto"/>
              </w:rPr>
              <w:t>– 7.5x (5.0x)</w:t>
            </w:r>
          </w:p>
        </w:tc>
        <w:tc>
          <w:tcPr>
            <w:tcW w:w="0" w:type="dxa"/>
            <w:vAlign w:val="bottom"/>
          </w:tcPr>
          <w:p>
            <w:pPr>
              <w:spacing w:after="0"/>
              <w:rPr>
                <w:sz w:val="1"/>
                <w:szCs w:val="1"/>
                <w:color w:val="auto"/>
              </w:rPr>
            </w:pPr>
          </w:p>
        </w:tc>
      </w:tr>
      <w:tr>
        <w:trPr>
          <w:trHeight w:val="216"/>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88"/>
              </w:rPr>
              <w:t>$71.5</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Income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w w:val="99"/>
              </w:rPr>
              <w:t>$8.1 million – $166.0 million ($76.5 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w w:val="93"/>
              </w:rPr>
              <w:t>Required Rate of Return</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11.5% – 20.0% (13.6%)</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Leverage Ratio</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1.5x</w:t>
            </w:r>
          </w:p>
        </w:tc>
        <w:tc>
          <w:tcPr>
            <w:tcW w:w="3080" w:type="dxa"/>
            <w:vAlign w:val="bottom"/>
          </w:tcPr>
          <w:p>
            <w:pPr>
              <w:ind w:left="20"/>
              <w:spacing w:after="0"/>
              <w:rPr>
                <w:sz w:val="20"/>
                <w:szCs w:val="20"/>
                <w:color w:val="auto"/>
              </w:rPr>
            </w:pPr>
            <w:r>
              <w:rPr>
                <w:rFonts w:ascii="Arial" w:cs="Arial" w:eastAsia="Arial" w:hAnsi="Arial"/>
                <w:sz w:val="18"/>
                <w:szCs w:val="18"/>
                <w:color w:val="auto"/>
              </w:rPr>
              <w:t>– 6.7x (4.1x)</w:t>
            </w:r>
          </w:p>
        </w:tc>
        <w:tc>
          <w:tcPr>
            <w:tcW w:w="0" w:type="dxa"/>
            <w:vAlign w:val="bottom"/>
          </w:tcPr>
          <w:p>
            <w:pPr>
              <w:spacing w:after="0"/>
              <w:rPr>
                <w:sz w:val="1"/>
                <w:szCs w:val="1"/>
                <w:color w:val="auto"/>
              </w:rPr>
            </w:pPr>
          </w:p>
        </w:tc>
      </w:tr>
      <w:tr>
        <w:trPr>
          <w:trHeight w:val="216"/>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87"/>
              </w:rPr>
              <w:t>$114.6</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Income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$2.0 million – $63.7 million ($21.4 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 and</w:t>
            </w:r>
          </w:p>
        </w:tc>
        <w:tc>
          <w:tcPr>
            <w:tcW w:w="40" w:type="dxa"/>
            <w:vAlign w:val="bottom"/>
          </w:tcPr>
          <w:p>
            <w:pPr>
              <w:spacing w:after="0"/>
              <w:rPr>
                <w:sz w:val="19"/>
                <w:szCs w:val="19"/>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9"/>
                <w:szCs w:val="19"/>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5.0x</w:t>
            </w:r>
          </w:p>
        </w:tc>
        <w:tc>
          <w:tcPr>
            <w:tcW w:w="3080" w:type="dxa"/>
            <w:vAlign w:val="bottom"/>
          </w:tcPr>
          <w:p>
            <w:pPr>
              <w:ind w:left="20"/>
              <w:spacing w:after="0"/>
              <w:rPr>
                <w:sz w:val="20"/>
                <w:szCs w:val="20"/>
                <w:color w:val="auto"/>
              </w:rPr>
            </w:pPr>
            <w:r>
              <w:rPr>
                <w:rFonts w:ascii="Arial" w:cs="Arial" w:eastAsia="Arial" w:hAnsi="Arial"/>
                <w:sz w:val="18"/>
                <w:szCs w:val="18"/>
                <w:color w:val="auto"/>
              </w:rPr>
              <w:t>– 8.7x (6.3x)</w:t>
            </w:r>
          </w:p>
        </w:tc>
        <w:tc>
          <w:tcPr>
            <w:tcW w:w="0" w:type="dxa"/>
            <w:vAlign w:val="bottom"/>
          </w:tcPr>
          <w:p>
            <w:pPr>
              <w:spacing w:after="0"/>
              <w:rPr>
                <w:sz w:val="1"/>
                <w:szCs w:val="1"/>
                <w:color w:val="auto"/>
              </w:rPr>
            </w:pPr>
          </w:p>
        </w:tc>
      </w:tr>
      <w:tr>
        <w:trPr>
          <w:trHeight w:val="253"/>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88"/>
              </w:rPr>
              <w:t>$35.6</w:t>
            </w:r>
          </w:p>
        </w:tc>
        <w:tc>
          <w:tcPr>
            <w:tcW w:w="60" w:type="dxa"/>
            <w:vAlign w:val="bottom"/>
          </w:tcPr>
          <w:p>
            <w:pPr>
              <w:spacing w:after="0"/>
              <w:rPr>
                <w:sz w:val="21"/>
                <w:szCs w:val="21"/>
                <w:color w:val="auto"/>
              </w:rPr>
            </w:pPr>
          </w:p>
        </w:tc>
        <w:tc>
          <w:tcPr>
            <w:tcW w:w="1360" w:type="dxa"/>
            <w:vAlign w:val="bottom"/>
          </w:tcPr>
          <w:p>
            <w:pPr>
              <w:ind w:left="80"/>
              <w:spacing w:after="0" w:line="253" w:lineRule="exact"/>
              <w:rPr>
                <w:sz w:val="20"/>
                <w:szCs w:val="20"/>
                <w:color w:val="auto"/>
              </w:rPr>
            </w:pPr>
            <w:r>
              <w:rPr>
                <w:rFonts w:ascii="Arial" w:cs="Arial" w:eastAsia="Arial" w:hAnsi="Arial"/>
                <w:sz w:val="18"/>
                <w:szCs w:val="18"/>
                <w:color w:val="auto"/>
              </w:rPr>
              <w:t>Asset</w:t>
            </w:r>
            <w:r>
              <w:rPr>
                <w:rFonts w:ascii="Arial" w:cs="Arial" w:eastAsia="Arial" w:hAnsi="Arial"/>
                <w:sz w:val="29"/>
                <w:szCs w:val="29"/>
                <w:color w:val="auto"/>
                <w:vertAlign w:val="superscript"/>
              </w:rPr>
              <w:t>(1)</w:t>
            </w:r>
          </w:p>
        </w:tc>
        <w:tc>
          <w:tcPr>
            <w:tcW w:w="40" w:type="dxa"/>
            <w:vAlign w:val="bottom"/>
          </w:tcPr>
          <w:p>
            <w:pPr>
              <w:spacing w:after="0"/>
              <w:rPr>
                <w:sz w:val="21"/>
                <w:szCs w:val="21"/>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21"/>
                <w:szCs w:val="21"/>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$1.8 million – $27.6 million ($15.7 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Equity and warrants</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3"/>
              </w:rPr>
              <w:t>4.5x</w:t>
            </w:r>
          </w:p>
        </w:tc>
        <w:tc>
          <w:tcPr>
            <w:tcW w:w="3080" w:type="dxa"/>
            <w:vAlign w:val="bottom"/>
          </w:tcPr>
          <w:p>
            <w:pPr>
              <w:ind w:left="20"/>
              <w:spacing w:after="0"/>
              <w:rPr>
                <w:sz w:val="20"/>
                <w:szCs w:val="20"/>
                <w:color w:val="auto"/>
              </w:rPr>
            </w:pPr>
            <w:r>
              <w:rPr>
                <w:rFonts w:ascii="Arial" w:cs="Arial" w:eastAsia="Arial" w:hAnsi="Arial"/>
                <w:sz w:val="18"/>
                <w:szCs w:val="18"/>
                <w:color w:val="auto"/>
              </w:rPr>
              <w:t>– 12.2x (7.6x)</w:t>
            </w:r>
          </w:p>
        </w:tc>
        <w:tc>
          <w:tcPr>
            <w:tcW w:w="0" w:type="dxa"/>
            <w:vAlign w:val="bottom"/>
          </w:tcPr>
          <w:p>
            <w:pPr>
              <w:spacing w:after="0"/>
              <w:rPr>
                <w:sz w:val="1"/>
                <w:szCs w:val="1"/>
                <w:color w:val="auto"/>
              </w:rPr>
            </w:pPr>
          </w:p>
        </w:tc>
      </w:tr>
      <w:tr>
        <w:trPr>
          <w:trHeight w:val="216"/>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88"/>
              </w:rPr>
              <w:t>$93.3</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$1.8 million – $63.7 million ($17.5 million)</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Written Call Option</w:t>
            </w:r>
          </w:p>
        </w:tc>
        <w:tc>
          <w:tcPr>
            <w:tcW w:w="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4"/>
              </w:rPr>
              <w:t>Enterprise Value</w:t>
            </w:r>
          </w:p>
        </w:tc>
        <w:tc>
          <w:tcPr>
            <w:tcW w:w="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EBITDA Multiple</w:t>
            </w:r>
          </w:p>
        </w:tc>
        <w:tc>
          <w:tcPr>
            <w:tcW w:w="60" w:type="dxa"/>
            <w:vAlign w:val="bottom"/>
          </w:tcPr>
          <w:p>
            <w:pPr>
              <w:spacing w:after="0"/>
              <w:rPr>
                <w:sz w:val="18"/>
                <w:szCs w:val="18"/>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6.25x – 6.25x (6.25x)</w:t>
            </w:r>
          </w:p>
        </w:tc>
        <w:tc>
          <w:tcPr>
            <w:tcW w:w="0" w:type="dxa"/>
            <w:vAlign w:val="bottom"/>
          </w:tcPr>
          <w:p>
            <w:pPr>
              <w:spacing w:after="0"/>
              <w:rPr>
                <w:sz w:val="1"/>
                <w:szCs w:val="1"/>
                <w:color w:val="auto"/>
              </w:rPr>
            </w:pPr>
          </w:p>
        </w:tc>
      </w:tr>
      <w:tr>
        <w:trPr>
          <w:trHeight w:val="230"/>
        </w:trPr>
        <w:tc>
          <w:tcPr>
            <w:tcW w:w="2820" w:type="dxa"/>
            <w:vAlign w:val="bottom"/>
            <w:gridSpan w:val="2"/>
          </w:tcPr>
          <w:p>
            <w:pPr>
              <w:jc w:val="center"/>
              <w:ind w:left="1810"/>
              <w:spacing w:after="0"/>
              <w:rPr>
                <w:sz w:val="20"/>
                <w:szCs w:val="20"/>
                <w:color w:val="auto"/>
              </w:rPr>
            </w:pPr>
            <w:r>
              <w:rPr>
                <w:rFonts w:ascii="Arial" w:cs="Arial" w:eastAsia="Arial" w:hAnsi="Arial"/>
                <w:sz w:val="18"/>
                <w:szCs w:val="18"/>
                <w:color w:val="auto"/>
                <w:w w:val="93"/>
              </w:rPr>
              <w:t>$(2.7)</w:t>
            </w:r>
          </w:p>
        </w:tc>
        <w:tc>
          <w:tcPr>
            <w:tcW w:w="60" w:type="dxa"/>
            <w:vAlign w:val="bottom"/>
          </w:tcPr>
          <w:p>
            <w:pPr>
              <w:spacing w:after="0"/>
              <w:rPr>
                <w:sz w:val="20"/>
                <w:szCs w:val="20"/>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Waterfall</w:t>
            </w:r>
          </w:p>
        </w:tc>
        <w:tc>
          <w:tcPr>
            <w:tcW w:w="40" w:type="dxa"/>
            <w:vAlign w:val="bottom"/>
          </w:tcPr>
          <w:p>
            <w:pPr>
              <w:spacing w:after="0"/>
              <w:rPr>
                <w:sz w:val="20"/>
                <w:szCs w:val="20"/>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20"/>
                <w:szCs w:val="20"/>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w w:val="99"/>
              </w:rPr>
              <w:t>$27.6 million – $27.6 million ($27.6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 $2.5 million in subordinated debt and $2.6 million in first lien debt were valued using the asset approach.</w:t>
      </w:r>
    </w:p>
    <w:p>
      <w:pPr>
        <w:spacing w:after="0" w:line="117"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117"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On March 24, 2015, the Company and Trinity Universal Insurance Company (“Trinity”), a subsidiary of Kemper Corporation, entered into a limited liability company agreement to co-manage CSLLF. The purpose and design of the joint venture was to invest primarily in broadly syndicated senior secured loans to middle-market companies, which were purchased on the secondary market. Capitala and Trinity committed to provide $25.0 million of equity to CSLLF, with Capitala providing $20.0 million and Trinity providing $5.0 million, resulting in an 80%/20% economic ownership between the two parties. The board of directors and investment committee of CSLLF were split 50/50 between Trinity and Capitala, resulting in equal voting power between the two entities. In September 2016, the Company and Trinity elected to wind-down operations of CSLLF. During the fourth quarter of 2016, CSLLF sold all referenced assets underlying the total return swap (“TRS”) and declared final distributions, inclusive of dividends and return of capital, in December 2016.</w:t>
      </w:r>
    </w:p>
    <w:p>
      <w:pPr>
        <w:spacing w:after="0" w:line="200" w:lineRule="exact"/>
        <w:rPr>
          <w:sz w:val="20"/>
          <w:szCs w:val="20"/>
          <w:color w:val="auto"/>
        </w:rPr>
      </w:pP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Because the TRS was wound down in a prior period, only comparative period disclosures are included herein. For the years ended December 31, 2016 and December 31, 2015, the Company received $1.8 million and $0.9 million, respectively, in dividend income from its equity interest in CSLLF. For the year ended December 31, 2016, CSLLF declared a return of capital distribution to the Company in the amount of $20.0 million, which included $19.9 million in cash received in December 2016 and $0.1 million paid in the first quarter of 2017.</w:t>
      </w:r>
    </w:p>
    <w:p>
      <w:pPr>
        <w:spacing w:after="0" w:line="80"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On March 27, 2015, CSLLF entered into a TRS with Bank of America, N.A. (“Bank of America”) that was indexed to a basket of senior secured loans purchased by CSLLF. CSLLF obtained the economic benefit of the loans underlying the TRS, including the net interest spread between the interest income generated by the underlying loans and the interest expense type payment under the TRS, the realized gain (loss) on liquidated loans, and the unrealized appreciation (depreciation) on the underlying loans.</w:t>
      </w:r>
    </w:p>
    <w:p>
      <w:pPr>
        <w:spacing w:after="0" w:line="46"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The terms of the TRS were governed by an ISDA 2002 Master Agreement, the Schedule thereto, and Credit Support Annex to such Schedule, and the confirmation exchanged thereunder, between CSLLF and Bank of America, which collectively established the TRS, and are collectively referred to herein as the “TRS Agreement.” Pursuant to the terms of the TRS Agreement, CSLLF selected a portfolio of loans with a maximum market value (determined at the time each such loan becomes subject to the TRS) of $100.0 million, which was also referred to as the maximum notional amount of the TRS. Each individual loan, and the portfolio of loans taken as a whole, had to meet criteria described in the TRS Agreement. CSLLF received from Bank of America a periodic payment on set dates that was based upon any coupons, both earned and accrued, generated by the loans underlying the TRS, subject to limitations described in the TRS Agreement as well as any fees associated with the loans included in the portfolio. CSLLF paid to Bank of America interest at a rate equal to the London Interbank Offered Rate (“LIBOR”) plus 1.25% per annum; the LIBOR option paid by CSLLF was determined on an asset by asset basis such that the tenor of the LIBOR option (1 month, 3 month, etc.) matched the tenor of the underlying reference asset. In addition, upon the termination of any loan subject to the TRS or any repayment of the underlying reference asset, CSLLF either received from Bank of America the appreciation in the value of such loan, or paid to Bank of America any depreciation in the value of such loan.</w:t>
      </w:r>
    </w:p>
    <w:p>
      <w:pPr>
        <w:spacing w:after="0" w:line="67" w:lineRule="exact"/>
        <w:rPr>
          <w:sz w:val="20"/>
          <w:szCs w:val="20"/>
          <w:color w:val="auto"/>
        </w:rPr>
      </w:pPr>
    </w:p>
    <w:p>
      <w:pPr>
        <w:ind w:left="40" w:right="799" w:firstLine="270"/>
        <w:spacing w:after="0" w:line="259" w:lineRule="auto"/>
        <w:rPr>
          <w:sz w:val="20"/>
          <w:szCs w:val="20"/>
          <w:color w:val="auto"/>
        </w:rPr>
      </w:pPr>
      <w:r>
        <w:rPr>
          <w:rFonts w:ascii="Arial" w:cs="Arial" w:eastAsia="Arial" w:hAnsi="Arial"/>
          <w:sz w:val="18"/>
          <w:szCs w:val="18"/>
          <w:color w:val="auto"/>
        </w:rPr>
        <w:t>CSLLF was required to pay an unused facility fee of 1.25% on any amount of unused facility under the minimum facility amount of $70.0 million as outlined in the TRS Agreement. Such unused facility fees were not applied during the first 4 months and last 60 days of the term of the TRS. CSLLF also agreed to pay Bank of America customary fees and expenses in connection with the establishment and maintenance of the TRS.</w:t>
      </w:r>
    </w:p>
    <w:p>
      <w:pPr>
        <w:spacing w:after="0" w:line="79" w:lineRule="exact"/>
        <w:rPr>
          <w:sz w:val="20"/>
          <w:szCs w:val="20"/>
          <w:color w:val="auto"/>
        </w:rPr>
      </w:pPr>
    </w:p>
    <w:p>
      <w:pPr>
        <w:ind w:left="40" w:right="739" w:firstLine="270"/>
        <w:spacing w:after="0" w:line="276" w:lineRule="auto"/>
        <w:rPr>
          <w:sz w:val="20"/>
          <w:szCs w:val="20"/>
          <w:color w:val="auto"/>
        </w:rPr>
      </w:pPr>
      <w:r>
        <w:rPr>
          <w:rFonts w:ascii="Arial" w:cs="Arial" w:eastAsia="Arial" w:hAnsi="Arial"/>
          <w:sz w:val="17"/>
          <w:szCs w:val="17"/>
          <w:color w:val="auto"/>
        </w:rPr>
        <w:t>CSLLF was required to initially cash collateralize a specified percentage of each loan (generally 20% to 35% of the market value of senior secured loans) included under the TRS in accordance with margin requirements described in the TRS Agreement. As of December 31, 2016, CSLLF had posted $0.0 million in collateral to Bank of America in relation to the TRS, which was recorded on CSLLF’s statements of assets and liabilities as cash held as collateral on total return swap. The cash collateral represented CSLLF’s maximum credit exposure as of December 31, 2016.</w:t>
      </w:r>
    </w:p>
    <w:p>
      <w:pPr>
        <w:spacing w:after="0" w:line="64" w:lineRule="exact"/>
        <w:rPr>
          <w:sz w:val="20"/>
          <w:szCs w:val="20"/>
          <w:color w:val="auto"/>
        </w:rPr>
      </w:pPr>
    </w:p>
    <w:p>
      <w:pPr>
        <w:ind w:left="40" w:right="699" w:firstLine="270"/>
        <w:spacing w:after="0" w:line="264" w:lineRule="auto"/>
        <w:rPr>
          <w:sz w:val="20"/>
          <w:szCs w:val="20"/>
          <w:color w:val="auto"/>
        </w:rPr>
      </w:pPr>
      <w:r>
        <w:rPr>
          <w:rFonts w:ascii="Arial" w:cs="Arial" w:eastAsia="Arial" w:hAnsi="Arial"/>
          <w:sz w:val="18"/>
          <w:szCs w:val="18"/>
          <w:color w:val="auto"/>
        </w:rPr>
        <w:t>In connection with the TRS, CSLLF made customary representations and warranties and was required to comply with various covenants, reporting requirements and other customary requirements for similar transactions governed by an ISDA 2002 Master Agreement.</w:t>
      </w:r>
    </w:p>
    <w:p>
      <w:pPr>
        <w:spacing w:after="0" w:line="73"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CSLLF’s receivable due on the TRS represents realized amounts from payments on underlying loans in the total return swap portfolio. At December 31, 2016, the receivable due on TRS was $0.1 million and is recorded on CSLLF’s statement of assets and liabilities below. CSLLF does not offset collateral posted in relation to the TRS with any unrealized appreciation or depreciation outstanding in the statement of assets and liabilities as of December 31, 2016.</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2" w:name="page133"/>
    <w:bookmarkEnd w:id="132"/>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180" w:right="539" w:firstLine="270"/>
        <w:spacing w:after="0" w:line="312" w:lineRule="auto"/>
        <w:rPr>
          <w:sz w:val="20"/>
          <w:szCs w:val="20"/>
          <w:color w:val="auto"/>
        </w:rPr>
      </w:pPr>
      <w:r>
        <w:rPr>
          <w:rFonts w:ascii="Arial" w:cs="Arial" w:eastAsia="Arial" w:hAnsi="Arial"/>
          <w:sz w:val="16"/>
          <w:szCs w:val="16"/>
          <w:color w:val="auto"/>
        </w:rPr>
        <w:t>Transactions in TRS contracts during the year ended December 31, 2016 resulted in $2.3 million in realized gains and $2.8 million in unrealized appreciation. Transactions in TRS contracts during the year ended December 31, 2015 resulted in $1.4 million in realized gains and $(2.8) million in unrealized depreciation, which is recorded on CSLLF’s statements of operations below.</w:t>
      </w:r>
    </w:p>
    <w:p>
      <w:pPr>
        <w:spacing w:after="0" w:line="39" w:lineRule="exact"/>
        <w:rPr>
          <w:sz w:val="20"/>
          <w:szCs w:val="20"/>
          <w:color w:val="auto"/>
        </w:rPr>
      </w:pPr>
    </w:p>
    <w:p>
      <w:pPr>
        <w:ind w:left="180" w:right="979" w:firstLine="270"/>
        <w:spacing w:after="0" w:line="277" w:lineRule="auto"/>
        <w:rPr>
          <w:sz w:val="20"/>
          <w:szCs w:val="20"/>
          <w:color w:val="auto"/>
        </w:rPr>
      </w:pPr>
      <w:r>
        <w:rPr>
          <w:rFonts w:ascii="Arial" w:cs="Arial" w:eastAsia="Arial" w:hAnsi="Arial"/>
          <w:sz w:val="18"/>
          <w:szCs w:val="18"/>
          <w:color w:val="auto"/>
        </w:rPr>
        <w:t>The following represents the volume of the CSLLF’s derivative transactions during the year December 31, 2016 and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For the year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For the year ended</w:t>
            </w: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5"/>
              </w:rPr>
              <w:t>December 31, 2016</w:t>
            </w:r>
          </w:p>
        </w:tc>
        <w:tc>
          <w:tcPr>
            <w:tcW w:w="160" w:type="dxa"/>
            <w:vAlign w:val="bottom"/>
          </w:tcPr>
          <w:p>
            <w:pPr>
              <w:spacing w:after="0"/>
              <w:rPr>
                <w:sz w:val="15"/>
                <w:szCs w:val="15"/>
                <w:color w:val="auto"/>
              </w:rPr>
            </w:pPr>
          </w:p>
        </w:tc>
        <w:tc>
          <w:tcPr>
            <w:tcW w:w="142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97"/>
              </w:rPr>
              <w:t>December 31, 2015</w:t>
            </w:r>
            <w:r>
              <w:rPr>
                <w:rFonts w:ascii="Arial" w:cs="Arial" w:eastAsia="Arial" w:hAnsi="Arial"/>
                <w:sz w:val="20"/>
                <w:szCs w:val="20"/>
                <w:b w:val="1"/>
                <w:bCs w:val="1"/>
                <w:color w:val="auto"/>
                <w:w w:val="97"/>
                <w:vertAlign w:val="superscript"/>
              </w:rPr>
              <w:t>(1)</w:t>
            </w:r>
          </w:p>
        </w:tc>
      </w:tr>
      <w:tr>
        <w:trPr>
          <w:trHeight w:val="210"/>
        </w:trPr>
        <w:tc>
          <w:tcPr>
            <w:tcW w:w="4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Average notional par amount of contract</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61,306</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5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Average calculated from period of TRS inception, March 27, 2015 to December 31, 2015.</w:t>
      </w:r>
    </w:p>
    <w:p>
      <w:pPr>
        <w:spacing w:after="0" w:line="117" w:lineRule="exact"/>
        <w:rPr>
          <w:sz w:val="20"/>
          <w:szCs w:val="20"/>
          <w:color w:val="auto"/>
        </w:rPr>
      </w:pPr>
    </w:p>
    <w:p>
      <w:pPr>
        <w:ind w:left="180" w:right="619" w:firstLine="270"/>
        <w:spacing w:after="0" w:line="277" w:lineRule="auto"/>
        <w:rPr>
          <w:sz w:val="20"/>
          <w:szCs w:val="20"/>
          <w:color w:val="auto"/>
        </w:rPr>
      </w:pPr>
      <w:r>
        <w:rPr>
          <w:rFonts w:ascii="Arial" w:cs="Arial" w:eastAsia="Arial" w:hAnsi="Arial"/>
          <w:sz w:val="18"/>
          <w:szCs w:val="18"/>
          <w:color w:val="auto"/>
        </w:rPr>
        <w:t>Below is certain summarized financial information for CSLLF as of December 31, 2016 and for the years ended December 31, 2016, and December 31, 2015 (dollars in thousands):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Selected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510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650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4"/>
                <w:szCs w:val="14"/>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Receivable due on Total Return Swap</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r>
      <w:tr>
        <w:trPr>
          <w:trHeight w:val="20"/>
        </w:trPr>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r>
      <w:tr>
        <w:trPr>
          <w:trHeight w:val="210"/>
        </w:trPr>
        <w:tc>
          <w:tcPr>
            <w:tcW w:w="65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payable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r>
      <w:tr>
        <w:trPr>
          <w:trHeight w:val="20"/>
        </w:trPr>
        <w:tc>
          <w:tcPr>
            <w:tcW w:w="6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65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r>
      <w:tr>
        <w:trPr>
          <w:trHeight w:val="21"/>
        </w:trPr>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Pr>
          <w:p>
            <w:pPr>
              <w:ind w:left="200"/>
              <w:spacing w:after="0"/>
              <w:rPr>
                <w:sz w:val="20"/>
                <w:szCs w:val="20"/>
                <w:color w:val="auto"/>
              </w:rPr>
            </w:pPr>
            <w:r>
              <w:rPr>
                <w:rFonts w:ascii="Arial" w:cs="Arial" w:eastAsia="Arial" w:hAnsi="Arial"/>
                <w:sz w:val="18"/>
                <w:szCs w:val="18"/>
                <w:color w:val="auto"/>
              </w:rPr>
              <w:t>Total net assets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
        </w:trPr>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net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r>
      <w:tr>
        <w:trPr>
          <w:trHeight w:val="20"/>
        </w:trPr>
        <w:tc>
          <w:tcPr>
            <w:tcW w:w="6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-968375</wp:posOffset>
            </wp:positionV>
            <wp:extent cx="475107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-659765</wp:posOffset>
            </wp:positionV>
            <wp:extent cx="4751070" cy="1803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-33655</wp:posOffset>
            </wp:positionV>
            <wp:extent cx="475107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510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For the Year</w:t>
            </w:r>
          </w:p>
        </w:tc>
        <w:tc>
          <w:tcPr>
            <w:tcW w:w="1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period from</w:t>
            </w:r>
          </w:p>
        </w:tc>
        <w:tc>
          <w:tcPr>
            <w:tcW w:w="198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March 27, 2015 to</w:t>
            </w: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legal expenses</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Net operating loss</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98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on Total Return Swap</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1,366</w:t>
            </w:r>
          </w:p>
        </w:tc>
        <w:tc>
          <w:tcPr>
            <w:tcW w:w="198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4460" w:type="dxa"/>
            <w:vAlign w:val="bottom"/>
          </w:tcPr>
          <w:p>
            <w:pPr>
              <w:ind w:left="20"/>
              <w:spacing w:after="0" w:line="201" w:lineRule="exact"/>
              <w:rPr>
                <w:sz w:val="20"/>
                <w:szCs w:val="20"/>
                <w:color w:val="auto"/>
              </w:rPr>
            </w:pPr>
            <w:r>
              <w:rPr>
                <w:rFonts w:ascii="Arial" w:cs="Arial" w:eastAsia="Arial" w:hAnsi="Arial"/>
                <w:sz w:val="18"/>
                <w:szCs w:val="18"/>
                <w:color w:val="auto"/>
                <w:w w:val="90"/>
              </w:rPr>
              <w:t>Net change in unrealized appreciation (depreciation) on Total</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Return Swap</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2,828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(2,828)</w:t>
            </w:r>
          </w:p>
        </w:tc>
        <w:tc>
          <w:tcPr>
            <w:tcW w:w="198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44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 (DECREASE) IN NET ASSETS</w:t>
            </w: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r>
      <w:tr>
        <w:trPr>
          <w:trHeight w:val="251"/>
        </w:trPr>
        <w:tc>
          <w:tcPr>
            <w:tcW w:w="120" w:type="dxa"/>
            <w:vAlign w:val="bottom"/>
          </w:tcPr>
          <w:p>
            <w:pPr>
              <w:spacing w:after="0"/>
              <w:rPr>
                <w:sz w:val="21"/>
                <w:szCs w:val="21"/>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RESULTING FROM OPERATIONS</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(1,566)</w:t>
            </w:r>
          </w:p>
        </w:tc>
        <w:tc>
          <w:tcPr>
            <w:tcW w:w="198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763"/>
        </w:trPr>
        <w:tc>
          <w:tcPr>
            <w:tcW w:w="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F-35</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4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4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-1534160</wp:posOffset>
            </wp:positionV>
            <wp:extent cx="4751070" cy="1803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-659765</wp:posOffset>
            </wp:positionV>
            <wp:extent cx="475107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3" w:name="page134"/>
    <w:bookmarkEnd w:id="13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117" w:lineRule="exact"/>
        <w:rPr>
          <w:sz w:val="20"/>
          <w:szCs w:val="20"/>
          <w:color w:val="auto"/>
        </w:rPr>
      </w:pPr>
    </w:p>
    <w:p>
      <w:pPr>
        <w:ind w:left="60" w:right="539" w:firstLine="270"/>
        <w:spacing w:after="0" w:line="342" w:lineRule="auto"/>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 December 31, 2017, and the level of each financial liability within the fair value hierarchy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521398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00"/>
              <w:spacing w:after="0" w:line="202" w:lineRule="exact"/>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23"/>
                <w:szCs w:val="23"/>
                <w:b w:val="1"/>
                <w:bCs w:val="1"/>
                <w:color w:val="auto"/>
                <w:w w:val="96"/>
                <w:vertAlign w:val="superscript"/>
              </w:rPr>
              <w:t>(1)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SBA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170,700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173,373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173,373</w:t>
            </w: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2022 Notes</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75,600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75,600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2022 Convertible Notes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Credit Facility</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9,038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306,788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309,786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127,375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182,411</w:t>
            </w: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117" w:lineRule="exact"/>
        <w:rPr>
          <w:sz w:val="20"/>
          <w:szCs w:val="20"/>
          <w:color w:val="auto"/>
        </w:rPr>
      </w:pPr>
    </w:p>
    <w:p>
      <w:pPr>
        <w:ind w:left="60" w:right="539" w:firstLine="270"/>
        <w:spacing w:after="0" w:line="342" w:lineRule="auto"/>
        <w:rPr>
          <w:sz w:val="20"/>
          <w:szCs w:val="20"/>
          <w:color w:val="auto"/>
        </w:rPr>
      </w:pPr>
      <w:r>
        <w:rPr>
          <w:rFonts w:ascii="Arial" w:cs="Arial" w:eastAsia="Arial" w:hAnsi="Arial"/>
          <w:sz w:val="16"/>
          <w:szCs w:val="16"/>
          <w:color w:val="auto"/>
        </w:rPr>
        <w:t>The following table presents the carrying value and fair value of the Company’s financial liabilities disclosed, but not carried, at fair value as of December 31, 2016, and the level of each financial liability within the fair value hierarchy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521398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23"/>
                <w:szCs w:val="23"/>
                <w:b w:val="1"/>
                <w:bCs w:val="1"/>
                <w:color w:val="auto"/>
                <w:w w:val="96"/>
                <w:vertAlign w:val="superscript"/>
              </w:rPr>
              <w:t>(1)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SBA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175,581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175,581</w:t>
            </w: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2021 Notes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113,438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115,888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115,888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43,927</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04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328,138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335,396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115,888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219,508</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117" w:lineRule="exact"/>
        <w:rPr>
          <w:sz w:val="20"/>
          <w:szCs w:val="20"/>
          <w:color w:val="auto"/>
        </w:rPr>
      </w:pPr>
    </w:p>
    <w:p>
      <w:pPr>
        <w:ind w:left="60" w:right="1039" w:firstLine="270"/>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62" w:lineRule="exact"/>
        <w:rPr>
          <w:sz w:val="20"/>
          <w:szCs w:val="20"/>
          <w:color w:val="auto"/>
        </w:rPr>
      </w:pPr>
    </w:p>
    <w:p>
      <w:pPr>
        <w:ind w:left="60" w:right="579" w:firstLine="270"/>
        <w:spacing w:after="0" w:line="308" w:lineRule="auto"/>
        <w:rPr>
          <w:sz w:val="20"/>
          <w:szCs w:val="20"/>
          <w:color w:val="auto"/>
        </w:rPr>
      </w:pPr>
      <w:r>
        <w:rPr>
          <w:rFonts w:ascii="Arial" w:cs="Arial" w:eastAsia="Arial" w:hAnsi="Arial"/>
          <w:sz w:val="17"/>
          <w:szCs w:val="17"/>
          <w:color w:val="auto"/>
        </w:rPr>
        <w:t>The estimated fair value of the Company’s 7.125% fixed rate notes due 2021 (the “2021 Notes”) was based on the closing price as of the measurement date as the 2021 Notes were traded on the New York Stock Exchange under the ticker “CLA.”</w:t>
      </w:r>
    </w:p>
    <w:p>
      <w:pPr>
        <w:spacing w:after="0" w:line="38" w:lineRule="exact"/>
        <w:rPr>
          <w:sz w:val="20"/>
          <w:szCs w:val="20"/>
          <w:color w:val="auto"/>
        </w:rPr>
      </w:pPr>
    </w:p>
    <w:p>
      <w:pPr>
        <w:jc w:val="both"/>
        <w:ind w:left="60" w:right="759" w:firstLine="270"/>
        <w:spacing w:after="0" w:line="264"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73" w:lineRule="exact"/>
        <w:rPr>
          <w:sz w:val="20"/>
          <w:szCs w:val="20"/>
          <w:color w:val="auto"/>
        </w:rPr>
      </w:pPr>
    </w:p>
    <w:p>
      <w:pPr>
        <w:ind w:left="60" w:right="899" w:firstLine="270"/>
        <w:spacing w:after="0" w:line="264" w:lineRule="auto"/>
        <w:rPr>
          <w:sz w:val="20"/>
          <w:szCs w:val="20"/>
          <w:color w:val="auto"/>
        </w:rPr>
      </w:pPr>
      <w:r>
        <w:rPr>
          <w:rFonts w:ascii="Arial" w:cs="Arial" w:eastAsia="Arial" w:hAnsi="Arial"/>
          <w:sz w:val="18"/>
          <w:szCs w:val="18"/>
          <w:color w:val="auto"/>
        </w:rPr>
        <w:t>The estimated fair value of the senior secured revolving credit agreement (the “Credit Facility”) with ING Capital, LLC, as administrative agent, arranger, and bookrunner, and the lender party thereto was based on future contractual cash payments discounted at estimated market interest rates for similar debt.</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4" w:name="page135"/>
    <w:bookmarkEnd w:id="13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Transactions With Affiliated Companies</w:t>
      </w:r>
    </w:p>
    <w:p>
      <w:pPr>
        <w:spacing w:after="0" w:line="121"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During the year ended December 31, 2017, the Company had investments in portfolio companies designated as affiliates under the 1940 Act. Transactions with affiliates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611441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11441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83185</wp:posOffset>
            </wp:positionV>
            <wp:extent cx="611441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114415" cy="889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Amount of</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or Dividends</w:t>
            </w: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Credited to</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2016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Gross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Realized</w:t>
            </w:r>
          </w:p>
        </w:tc>
        <w:tc>
          <w:tcPr>
            <w:tcW w:w="40" w:type="dxa"/>
            <w:vAlign w:val="bottom"/>
          </w:tcPr>
          <w:p>
            <w:pPr>
              <w:spacing w:after="0"/>
              <w:rPr>
                <w:sz w:val="11"/>
                <w:szCs w:val="11"/>
                <w:color w:val="auto"/>
              </w:rPr>
            </w:pPr>
          </w:p>
        </w:tc>
        <w:tc>
          <w:tcPr>
            <w:tcW w:w="720" w:type="dxa"/>
            <w:vAlign w:val="bottom"/>
            <w:gridSpan w:val="2"/>
          </w:tcPr>
          <w:p>
            <w:pPr>
              <w:jc w:val="right"/>
              <w:ind w:right="19"/>
              <w:spacing w:after="0" w:line="135" w:lineRule="exact"/>
              <w:rPr>
                <w:sz w:val="20"/>
                <w:szCs w:val="20"/>
                <w:color w:val="auto"/>
              </w:rPr>
            </w:pPr>
            <w:r>
              <w:rPr>
                <w:rFonts w:ascii="Arial" w:cs="Arial" w:eastAsia="Arial" w:hAnsi="Arial"/>
                <w:sz w:val="13"/>
                <w:szCs w:val="13"/>
                <w:b w:val="1"/>
                <w:bCs w:val="1"/>
                <w:color w:val="auto"/>
                <w:w w:val="97"/>
              </w:rPr>
              <w:t>Unrealized</w:t>
            </w:r>
          </w:p>
        </w:tc>
        <w:tc>
          <w:tcPr>
            <w:tcW w:w="720" w:type="dxa"/>
            <w:vAlign w:val="bottom"/>
            <w:gridSpan w:val="2"/>
          </w:tcPr>
          <w:p>
            <w:pPr>
              <w:jc w:val="center"/>
              <w:ind w:left="69"/>
              <w:spacing w:after="0" w:line="135" w:lineRule="exact"/>
              <w:rPr>
                <w:sz w:val="20"/>
                <w:szCs w:val="20"/>
                <w:color w:val="auto"/>
              </w:rPr>
            </w:pPr>
            <w:r>
              <w:rPr>
                <w:rFonts w:ascii="Arial" w:cs="Arial" w:eastAsia="Arial" w:hAnsi="Arial"/>
                <w:sz w:val="13"/>
                <w:szCs w:val="13"/>
                <w:b w:val="1"/>
                <w:bCs w:val="1"/>
                <w:color w:val="auto"/>
                <w:w w:val="89"/>
              </w:rPr>
              <w:t>2017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ind w:left="42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w w:val="91"/>
              </w:rPr>
              <w:t>Income</w:t>
            </w:r>
            <w:r>
              <w:rPr>
                <w:rFonts w:ascii="Arial" w:cs="Arial" w:eastAsia="Arial" w:hAnsi="Arial"/>
                <w:sz w:val="18"/>
                <w:szCs w:val="18"/>
                <w:b w:val="1"/>
                <w:bCs w:val="1"/>
                <w:color w:val="auto"/>
                <w:w w:val="91"/>
                <w:vertAlign w:val="superscript"/>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Fair Value</w:t>
            </w:r>
          </w:p>
        </w:tc>
        <w:tc>
          <w:tcPr>
            <w:tcW w:w="40" w:type="dxa"/>
            <w:vAlign w:val="bottom"/>
          </w:tcPr>
          <w:p>
            <w:pPr>
              <w:spacing w:after="0"/>
              <w:rPr>
                <w:sz w:val="14"/>
                <w:szCs w:val="14"/>
                <w:color w:val="auto"/>
              </w:rPr>
            </w:pPr>
          </w:p>
        </w:tc>
        <w:tc>
          <w:tcPr>
            <w:tcW w:w="720" w:type="dxa"/>
            <w:vAlign w:val="bottom"/>
            <w:gridSpan w:val="2"/>
          </w:tcPr>
          <w:p>
            <w:pPr>
              <w:jc w:val="center"/>
              <w:spacing w:after="0" w:line="162" w:lineRule="exact"/>
              <w:rPr>
                <w:sz w:val="20"/>
                <w:szCs w:val="20"/>
                <w:color w:val="auto"/>
              </w:rPr>
            </w:pPr>
            <w:r>
              <w:rPr>
                <w:rFonts w:ascii="Arial" w:cs="Arial" w:eastAsia="Arial" w:hAnsi="Arial"/>
                <w:sz w:val="12"/>
                <w:szCs w:val="12"/>
                <w:b w:val="1"/>
                <w:bCs w:val="1"/>
                <w:color w:val="auto"/>
                <w:w w:val="91"/>
              </w:rPr>
              <w:t>Additions</w:t>
            </w:r>
            <w:r>
              <w:rPr>
                <w:rFonts w:ascii="Arial" w:cs="Arial" w:eastAsia="Arial" w:hAnsi="Arial"/>
                <w:sz w:val="18"/>
                <w:szCs w:val="18"/>
                <w:b w:val="1"/>
                <w:bCs w:val="1"/>
                <w:color w:val="auto"/>
                <w:w w:val="91"/>
                <w:vertAlign w:val="superscript"/>
              </w:rPr>
              <w:t>(2)</w:t>
            </w:r>
          </w:p>
        </w:tc>
        <w:tc>
          <w:tcPr>
            <w:tcW w:w="40" w:type="dxa"/>
            <w:vAlign w:val="bottom"/>
          </w:tcPr>
          <w:p>
            <w:pPr>
              <w:spacing w:after="0"/>
              <w:rPr>
                <w:sz w:val="14"/>
                <w:szCs w:val="14"/>
                <w:color w:val="auto"/>
              </w:rPr>
            </w:pPr>
          </w:p>
        </w:tc>
        <w:tc>
          <w:tcPr>
            <w:tcW w:w="760" w:type="dxa"/>
            <w:vAlign w:val="bottom"/>
            <w:gridSpan w:val="4"/>
          </w:tcPr>
          <w:p>
            <w:pPr>
              <w:spacing w:after="0" w:line="162" w:lineRule="exact"/>
              <w:rPr>
                <w:sz w:val="20"/>
                <w:szCs w:val="20"/>
                <w:color w:val="auto"/>
              </w:rPr>
            </w:pPr>
            <w:r>
              <w:rPr>
                <w:rFonts w:ascii="Arial" w:cs="Arial" w:eastAsia="Arial" w:hAnsi="Arial"/>
                <w:sz w:val="12"/>
                <w:szCs w:val="12"/>
                <w:b w:val="1"/>
                <w:bCs w:val="1"/>
                <w:color w:val="auto"/>
                <w:w w:val="92"/>
              </w:rPr>
              <w:t>Reductions</w:t>
            </w:r>
            <w:r>
              <w:rPr>
                <w:rFonts w:ascii="Arial" w:cs="Arial" w:eastAsia="Arial" w:hAnsi="Arial"/>
                <w:sz w:val="18"/>
                <w:szCs w:val="18"/>
                <w:b w:val="1"/>
                <w:bCs w:val="1"/>
                <w:color w:val="auto"/>
                <w:w w:val="92"/>
                <w:vertAlign w:val="superscript"/>
              </w:rPr>
              <w:t>(3)</w:t>
            </w: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Gain/(Loss)</w:t>
            </w:r>
          </w:p>
        </w:tc>
        <w:tc>
          <w:tcPr>
            <w:tcW w:w="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Gain/(Loss)</w:t>
            </w:r>
          </w:p>
        </w:tc>
        <w:tc>
          <w:tcPr>
            <w:tcW w:w="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i w:val="1"/>
                <w:iCs w:val="1"/>
                <w:color w:val="auto"/>
                <w:w w:val="87"/>
              </w:rPr>
              <w:t>Affiliate investments</w:t>
            </w:r>
          </w:p>
        </w:tc>
        <w:tc>
          <w:tcPr>
            <w:tcW w:w="2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tcBorders>
              <w:top w:val="single" w:sz="8" w:color="auto"/>
              <w:bottom w:val="single" w:sz="8" w:color="auto"/>
            </w:tcBorders>
            <w:vMerge w:val="restart"/>
          </w:tcPr>
          <w:p>
            <w:pPr>
              <w:ind w:left="100"/>
              <w:spacing w:after="0"/>
              <w:rPr>
                <w:sz w:val="20"/>
                <w:szCs w:val="20"/>
                <w:color w:val="auto"/>
              </w:rPr>
            </w:pPr>
            <w:r>
              <w:rPr>
                <w:rFonts w:ascii="Arial" w:cs="Arial" w:eastAsia="Arial" w:hAnsi="Arial"/>
                <w:sz w:val="14"/>
                <w:szCs w:val="14"/>
                <w:color w:val="auto"/>
                <w:w w:val="97"/>
              </w:rPr>
              <w:t>Second Lien Debt (8% Cash,</w:t>
            </w: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40" w:type="dxa"/>
            <w:vAlign w:val="bottom"/>
            <w:gridSpan w:val="2"/>
          </w:tcPr>
          <w:p>
            <w:pPr>
              <w:spacing w:after="0" w:line="123"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4% PIK, Due 8/24/19)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15,846</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757</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   15,846</w:t>
            </w: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   (243)</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15,603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 (2.19%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fully diluted)</w:t>
            </w: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Warrants (37.78% fully</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diluted)</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color w:val="auto"/>
              </w:rPr>
              <w:t>Burgaflex Holdings,</w:t>
            </w:r>
          </w:p>
        </w:tc>
        <w:tc>
          <w:tcPr>
            <w:tcW w:w="40" w:type="dxa"/>
            <w:vAlign w:val="bottom"/>
          </w:tcPr>
          <w:p>
            <w:pPr>
              <w:spacing w:after="0"/>
              <w:rPr>
                <w:sz w:val="12"/>
                <w:szCs w:val="12"/>
                <w:color w:val="auto"/>
              </w:rPr>
            </w:pPr>
          </w:p>
        </w:tc>
        <w:tc>
          <w:tcPr>
            <w:tcW w:w="18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(14%</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15,862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Cash, Due 8/9/19)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3,000</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Burgaflex Holdings,</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(12%</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Cash, Due 8/9/19)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5,828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886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5,828</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Burgaflex Holdings,</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Common Stock (1,253,198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1,248</w:t>
            </w:r>
          </w:p>
        </w:tc>
        <w:tc>
          <w:tcPr>
            <w:tcW w:w="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59"/>
              <w:spacing w:after="0"/>
              <w:rPr>
                <w:sz w:val="20"/>
                <w:szCs w:val="20"/>
                <w:color w:val="auto"/>
              </w:rPr>
            </w:pPr>
            <w:r>
              <w:rPr>
                <w:rFonts w:ascii="Arial" w:cs="Arial" w:eastAsia="Arial" w:hAnsi="Arial"/>
                <w:sz w:val="14"/>
                <w:szCs w:val="14"/>
                <w:color w:val="auto"/>
              </w:rPr>
              <w:t>(791)</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18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(13%</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10,076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color w:val="auto"/>
              </w:rPr>
              <w:t>City Gear, LLC</w:t>
            </w:r>
            <w:r>
              <w:rPr>
                <w:rFonts w:ascii="Arial" w:cs="Arial" w:eastAsia="Arial" w:hAnsi="Arial"/>
                <w:sz w:val="23"/>
                <w:szCs w:val="23"/>
                <w:color w:val="auto"/>
                <w:vertAlign w:val="superscript"/>
              </w:rPr>
              <w:t>(5)</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Cash, Due 10/20/19)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1,085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8,231</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8,231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tcPr>
          <w:p>
            <w:pPr>
              <w:ind w:left="100"/>
              <w:spacing w:after="0" w:line="137" w:lineRule="exact"/>
              <w:rPr>
                <w:sz w:val="20"/>
                <w:szCs w:val="20"/>
                <w:color w:val="auto"/>
              </w:rPr>
            </w:pPr>
            <w:r>
              <w:rPr>
                <w:rFonts w:ascii="Arial" w:cs="Arial" w:eastAsia="Arial" w:hAnsi="Arial"/>
                <w:sz w:val="14"/>
                <w:szCs w:val="14"/>
                <w:color w:val="auto"/>
              </w:rPr>
              <w:t>(2.78% fully diluted, 9%</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Cash Dividend)</w:t>
            </w: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1,269</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(11.38% fully diluted)</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9,736</w:t>
            </w:r>
          </w:p>
        </w:tc>
        <w:tc>
          <w:tcPr>
            <w:tcW w:w="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59"/>
              <w:spacing w:after="0"/>
              <w:rPr>
                <w:sz w:val="20"/>
                <w:szCs w:val="20"/>
                <w:color w:val="auto"/>
              </w:rPr>
            </w:pPr>
            <w:r>
              <w:rPr>
                <w:rFonts w:ascii="Arial" w:cs="Arial" w:eastAsia="Arial" w:hAnsi="Arial"/>
                <w:sz w:val="14"/>
                <w:szCs w:val="14"/>
                <w:color w:val="auto"/>
              </w:rPr>
              <w:t>(1,488)</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8,248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color w:val="auto"/>
              </w:rPr>
              <w:t>GA Communications,</w:t>
            </w:r>
          </w:p>
        </w:tc>
        <w:tc>
          <w:tcPr>
            <w:tcW w:w="40" w:type="dxa"/>
            <w:vAlign w:val="bottom"/>
          </w:tcPr>
          <w:p>
            <w:pPr>
              <w:spacing w:after="0"/>
              <w:rPr>
                <w:sz w:val="12"/>
                <w:szCs w:val="12"/>
                <w:color w:val="auto"/>
              </w:rPr>
            </w:pPr>
          </w:p>
        </w:tc>
        <w:tc>
          <w:tcPr>
            <w:tcW w:w="1880" w:type="dxa"/>
            <w:vAlign w:val="bottom"/>
            <w:vMerge w:val="restart"/>
          </w:tcPr>
          <w:p>
            <w:pPr>
              <w:ind w:left="100"/>
              <w:spacing w:after="0"/>
              <w:rPr>
                <w:sz w:val="20"/>
                <w:szCs w:val="20"/>
                <w:color w:val="auto"/>
              </w:rPr>
            </w:pPr>
            <w:r>
              <w:rPr>
                <w:rFonts w:ascii="Arial" w:cs="Arial" w:eastAsia="Arial" w:hAnsi="Arial"/>
                <w:sz w:val="14"/>
                <w:szCs w:val="14"/>
                <w:color w:val="auto"/>
              </w:rPr>
              <w:t>Series A-1 Preferred Stock</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19,236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(1,488</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40" w:type="dxa"/>
            <w:vAlign w:val="bottom"/>
            <w:gridSpan w:val="2"/>
          </w:tcPr>
          <w:p>
            <w:pPr>
              <w:ind w:left="180"/>
              <w:spacing w:after="0" w:line="181" w:lineRule="exact"/>
              <w:rPr>
                <w:sz w:val="20"/>
                <w:szCs w:val="20"/>
                <w:color w:val="auto"/>
              </w:rPr>
            </w:pPr>
            <w:r>
              <w:rPr>
                <w:rFonts w:ascii="Arial" w:cs="Arial" w:eastAsia="Arial" w:hAnsi="Arial"/>
                <w:sz w:val="13"/>
                <w:szCs w:val="13"/>
                <w:color w:val="auto"/>
              </w:rPr>
              <w:t>Inc.</w:t>
            </w:r>
            <w:r>
              <w:rPr>
                <w:rFonts w:ascii="Arial" w:cs="Arial" w:eastAsia="Arial" w:hAnsi="Arial"/>
                <w:sz w:val="20"/>
                <w:szCs w:val="20"/>
                <w:color w:val="auto"/>
                <w:vertAlign w:val="superscript"/>
              </w:rPr>
              <w:t>(5)</w:t>
            </w:r>
          </w:p>
        </w:tc>
        <w:tc>
          <w:tcPr>
            <w:tcW w:w="40" w:type="dxa"/>
            <w:vAlign w:val="bottom"/>
          </w:tcPr>
          <w:p>
            <w:pPr>
              <w:spacing w:after="0"/>
              <w:rPr>
                <w:sz w:val="15"/>
                <w:szCs w:val="15"/>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(1,998 shares, 8% PIK</w:t>
            </w:r>
          </w:p>
        </w:tc>
        <w:tc>
          <w:tcPr>
            <w:tcW w:w="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2,864</w:t>
            </w: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255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3"/>
            <w:vMerge w:val="restart"/>
          </w:tcPr>
          <w:p>
            <w:pPr>
              <w:jc w:val="right"/>
              <w:ind w:right="99"/>
              <w:spacing w:after="0"/>
              <w:rPr>
                <w:sz w:val="20"/>
                <w:szCs w:val="20"/>
                <w:color w:val="auto"/>
              </w:rPr>
            </w:pPr>
            <w:r>
              <w:rPr>
                <w:rFonts w:ascii="Arial" w:cs="Arial" w:eastAsia="Arial" w:hAnsi="Arial"/>
                <w:sz w:val="14"/>
                <w:szCs w:val="14"/>
                <w:color w:val="auto"/>
              </w:rPr>
              <w:t>106</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3,225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tcPr>
          <w:p>
            <w:pPr>
              <w:ind w:left="100"/>
              <w:spacing w:after="0" w:line="116" w:lineRule="exact"/>
              <w:rPr>
                <w:sz w:val="20"/>
                <w:szCs w:val="20"/>
                <w:color w:val="auto"/>
              </w:rPr>
            </w:pPr>
            <w:r>
              <w:rPr>
                <w:rFonts w:ascii="Arial" w:cs="Arial" w:eastAsia="Arial" w:hAnsi="Arial"/>
                <w:sz w:val="13"/>
                <w:szCs w:val="13"/>
                <w:color w:val="auto"/>
              </w:rPr>
              <w:t>Dividend)</w:t>
            </w:r>
          </w:p>
        </w:tc>
        <w:tc>
          <w:tcPr>
            <w:tcW w:w="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GA Communications,</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Series B-1 Common Stock</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(200,000 shares)</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1,046</w:t>
            </w:r>
          </w:p>
        </w:tc>
        <w:tc>
          <w:tcPr>
            <w:tcW w:w="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99"/>
              <w:spacing w:after="0"/>
              <w:rPr>
                <w:sz w:val="20"/>
                <w:szCs w:val="20"/>
                <w:color w:val="auto"/>
              </w:rPr>
            </w:pPr>
            <w:r>
              <w:rPr>
                <w:rFonts w:ascii="Arial" w:cs="Arial" w:eastAsia="Arial" w:hAnsi="Arial"/>
                <w:sz w:val="14"/>
                <w:szCs w:val="14"/>
                <w:color w:val="auto"/>
              </w:rPr>
              <w:t>886</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color w:val="auto"/>
              </w:rPr>
              <w:t>J&amp;J Produce Holdings,</w:t>
            </w:r>
          </w:p>
        </w:tc>
        <w:tc>
          <w:tcPr>
            <w:tcW w:w="40" w:type="dxa"/>
            <w:vAlign w:val="bottom"/>
          </w:tcPr>
          <w:p>
            <w:pPr>
              <w:spacing w:after="0"/>
              <w:rPr>
                <w:sz w:val="12"/>
                <w:szCs w:val="12"/>
                <w:color w:val="auto"/>
              </w:rPr>
            </w:pPr>
          </w:p>
        </w:tc>
        <w:tc>
          <w:tcPr>
            <w:tcW w:w="1880" w:type="dxa"/>
            <w:vAlign w:val="bottom"/>
            <w:vMerge w:val="restart"/>
          </w:tcPr>
          <w:p>
            <w:pPr>
              <w:ind w:left="100"/>
              <w:spacing w:after="0"/>
              <w:rPr>
                <w:sz w:val="20"/>
                <w:szCs w:val="20"/>
                <w:color w:val="auto"/>
              </w:rPr>
            </w:pPr>
            <w:r>
              <w:rPr>
                <w:rFonts w:ascii="Arial" w:cs="Arial" w:eastAsia="Arial" w:hAnsi="Arial"/>
                <w:sz w:val="14"/>
                <w:szCs w:val="14"/>
                <w:color w:val="auto"/>
                <w:w w:val="94"/>
              </w:rPr>
              <w:t>Subordinated Debt (6% Cash,</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3,910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7% PIK, Due 6/16/19)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6,368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6,182</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(198)</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J&amp;J Produce Holdings,</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Common Stock (8,182</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J&amp;J Produce Holdings,</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(6,369 shares)</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color w:val="auto"/>
              </w:rPr>
              <w:t>LJS Partners, LLC</w:t>
            </w:r>
          </w:p>
        </w:tc>
        <w:tc>
          <w:tcPr>
            <w:tcW w:w="40" w:type="dxa"/>
            <w:vAlign w:val="bottom"/>
          </w:tcPr>
          <w:p>
            <w:pPr>
              <w:spacing w:after="0"/>
              <w:rPr>
                <w:sz w:val="12"/>
                <w:szCs w:val="12"/>
                <w:color w:val="auto"/>
              </w:rPr>
            </w:pPr>
          </w:p>
        </w:tc>
        <w:tc>
          <w:tcPr>
            <w:tcW w:w="1880" w:type="dxa"/>
            <w:vAlign w:val="bottom"/>
            <w:vMerge w:val="restart"/>
          </w:tcPr>
          <w:p>
            <w:pPr>
              <w:ind w:left="100"/>
              <w:spacing w:after="0"/>
              <w:rPr>
                <w:sz w:val="20"/>
                <w:szCs w:val="20"/>
                <w:color w:val="auto"/>
              </w:rPr>
            </w:pPr>
            <w:r>
              <w:rPr>
                <w:rFonts w:ascii="Arial" w:cs="Arial" w:eastAsia="Arial" w:hAnsi="Arial"/>
                <w:sz w:val="14"/>
                <w:szCs w:val="14"/>
                <w:color w:val="auto"/>
              </w:rPr>
              <w:t>Common Stock (1,500,000</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8,497</w:t>
            </w:r>
          </w:p>
        </w:tc>
        <w:tc>
          <w:tcPr>
            <w:tcW w:w="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4"/>
                <w:szCs w:val="14"/>
                <w:color w:val="auto"/>
              </w:rPr>
              <w:t>(630)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59"/>
              <w:spacing w:after="0"/>
              <w:rPr>
                <w:sz w:val="20"/>
                <w:szCs w:val="20"/>
                <w:color w:val="auto"/>
              </w:rPr>
            </w:pPr>
            <w:r>
              <w:rPr>
                <w:rFonts w:ascii="Arial" w:cs="Arial" w:eastAsia="Arial" w:hAnsi="Arial"/>
                <w:sz w:val="14"/>
                <w:szCs w:val="14"/>
                <w:color w:val="auto"/>
              </w:rPr>
              <w:t>(217)</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7,650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color w:val="auto"/>
              </w:rPr>
              <w:t>MJC Holdings, LLC</w:t>
            </w:r>
          </w:p>
        </w:tc>
        <w:tc>
          <w:tcPr>
            <w:tcW w:w="40" w:type="dxa"/>
            <w:vAlign w:val="bottom"/>
          </w:tcPr>
          <w:p>
            <w:pPr>
              <w:spacing w:after="0"/>
              <w:rPr>
                <w:sz w:val="12"/>
                <w:szCs w:val="12"/>
                <w:color w:val="auto"/>
              </w:rPr>
            </w:pPr>
          </w:p>
        </w:tc>
        <w:tc>
          <w:tcPr>
            <w:tcW w:w="1880" w:type="dxa"/>
            <w:vAlign w:val="bottom"/>
            <w:vMerge w:val="restart"/>
          </w:tcPr>
          <w:p>
            <w:pPr>
              <w:ind w:left="100"/>
              <w:spacing w:after="0"/>
              <w:rPr>
                <w:sz w:val="20"/>
                <w:szCs w:val="20"/>
                <w:color w:val="auto"/>
              </w:rPr>
            </w:pPr>
            <w:r>
              <w:rPr>
                <w:rFonts w:ascii="Arial" w:cs="Arial" w:eastAsia="Arial" w:hAnsi="Arial"/>
                <w:sz w:val="14"/>
                <w:szCs w:val="14"/>
                <w:color w:val="auto"/>
              </w:rPr>
              <w:t>Series A Preferred Units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8,497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(2,000,000 units)</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5,011</w:t>
            </w:r>
          </w:p>
        </w:tc>
        <w:tc>
          <w:tcPr>
            <w:tcW w:w="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4"/>
                <w:szCs w:val="14"/>
                <w:color w:val="auto"/>
              </w:rPr>
              <w:t>(5,473)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4,473</w:t>
            </w:r>
          </w:p>
        </w:tc>
        <w:tc>
          <w:tcPr>
            <w:tcW w:w="760" w:type="dxa"/>
            <w:vAlign w:val="bottom"/>
            <w:gridSpan w:val="3"/>
          </w:tcPr>
          <w:p>
            <w:pPr>
              <w:jc w:val="right"/>
              <w:ind w:right="59"/>
              <w:spacing w:after="0"/>
              <w:rPr>
                <w:sz w:val="20"/>
                <w:szCs w:val="20"/>
                <w:color w:val="auto"/>
              </w:rPr>
            </w:pPr>
            <w:r>
              <w:rPr>
                <w:rFonts w:ascii="Arial" w:cs="Arial" w:eastAsia="Arial" w:hAnsi="Arial"/>
                <w:sz w:val="14"/>
                <w:szCs w:val="14"/>
                <w:color w:val="auto"/>
              </w:rPr>
              <w:t>(4,011)</w:t>
            </w:r>
          </w:p>
        </w:tc>
        <w:tc>
          <w:tcPr>
            <w:tcW w:w="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1880" w:type="dxa"/>
            <w:vAlign w:val="bottom"/>
            <w:vMerge w:val="restart"/>
          </w:tcPr>
          <w:p>
            <w:pPr>
              <w:ind w:left="100"/>
              <w:spacing w:after="0"/>
              <w:rPr>
                <w:sz w:val="20"/>
                <w:szCs w:val="20"/>
                <w:color w:val="auto"/>
              </w:rPr>
            </w:pPr>
            <w:r>
              <w:rPr>
                <w:rFonts w:ascii="Arial" w:cs="Arial" w:eastAsia="Arial" w:hAnsi="Arial"/>
                <w:sz w:val="14"/>
                <w:szCs w:val="14"/>
                <w:color w:val="auto"/>
              </w:rPr>
              <w:t>First Lien Debt (12% Cash,</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5,011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(5,473</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4,473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(4,011</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Due 1/31/19)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2,600</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w w:val="94"/>
              </w:rPr>
              <w:t>Subordinated Debt (6% Cash,</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Due 1/31/19)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520"/>
              <w:spacing w:after="0" w:line="149" w:lineRule="exact"/>
              <w:rPr>
                <w:sz w:val="20"/>
                <w:szCs w:val="20"/>
                <w:color w:val="auto"/>
              </w:rPr>
            </w:pPr>
            <w:r>
              <w:rPr>
                <w:rFonts w:ascii="Arial" w:cs="Arial" w:eastAsia="Arial" w:hAnsi="Arial"/>
                <w:sz w:val="14"/>
                <w:szCs w:val="14"/>
                <w:color w:val="auto"/>
                <w:w w:val="76"/>
              </w:rPr>
              <w:t>24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40" w:type="dxa"/>
            <w:vAlign w:val="bottom"/>
            <w:gridSpan w:val="2"/>
          </w:tcPr>
          <w:p>
            <w:pPr>
              <w:spacing w:after="0" w:line="181" w:lineRule="exact"/>
              <w:rPr>
                <w:sz w:val="20"/>
                <w:szCs w:val="20"/>
                <w:color w:val="auto"/>
              </w:rPr>
            </w:pPr>
            <w:r>
              <w:rPr>
                <w:rFonts w:ascii="Arial" w:cs="Arial" w:eastAsia="Arial" w:hAnsi="Arial"/>
                <w:sz w:val="13"/>
                <w:szCs w:val="13"/>
                <w:color w:val="auto"/>
              </w:rPr>
              <w:t>MMI Holdings, LLC</w:t>
            </w:r>
            <w:r>
              <w:rPr>
                <w:rFonts w:ascii="Arial" w:cs="Arial" w:eastAsia="Arial" w:hAnsi="Arial"/>
                <w:sz w:val="20"/>
                <w:szCs w:val="20"/>
                <w:color w:val="auto"/>
                <w:vertAlign w:val="superscript"/>
              </w:rPr>
              <w:t>(5)</w:t>
            </w:r>
          </w:p>
        </w:tc>
        <w:tc>
          <w:tcPr>
            <w:tcW w:w="40" w:type="dxa"/>
            <w:vAlign w:val="bottom"/>
          </w:tcPr>
          <w:p>
            <w:pPr>
              <w:spacing w:after="0"/>
              <w:rPr>
                <w:sz w:val="15"/>
                <w:szCs w:val="15"/>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Preferred Units (1,000 units,</w:t>
            </w:r>
          </w:p>
        </w:tc>
        <w:tc>
          <w:tcPr>
            <w:tcW w:w="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1,433</w:t>
            </w: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85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3"/>
            <w:vMerge w:val="restart"/>
          </w:tcPr>
          <w:p>
            <w:pPr>
              <w:jc w:val="right"/>
              <w:ind w:right="99"/>
              <w:spacing w:after="0"/>
              <w:rPr>
                <w:sz w:val="20"/>
                <w:szCs w:val="20"/>
                <w:color w:val="auto"/>
              </w:rPr>
            </w:pPr>
            <w:r>
              <w:rPr>
                <w:rFonts w:ascii="Arial" w:cs="Arial" w:eastAsia="Arial" w:hAnsi="Arial"/>
                <w:sz w:val="14"/>
                <w:szCs w:val="14"/>
                <w:color w:val="auto"/>
              </w:rPr>
              <w:t>2</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tcPr>
          <w:p>
            <w:pPr>
              <w:ind w:left="100"/>
              <w:spacing w:after="0" w:line="116" w:lineRule="exact"/>
              <w:rPr>
                <w:sz w:val="20"/>
                <w:szCs w:val="20"/>
                <w:color w:val="auto"/>
              </w:rPr>
            </w:pPr>
            <w:r>
              <w:rPr>
                <w:rFonts w:ascii="Arial" w:cs="Arial" w:eastAsia="Arial" w:hAnsi="Arial"/>
                <w:sz w:val="13"/>
                <w:szCs w:val="13"/>
                <w:color w:val="auto"/>
              </w:rPr>
              <w:t>6% PIK Dividend)</w:t>
            </w:r>
          </w:p>
        </w:tc>
        <w:tc>
          <w:tcPr>
            <w:tcW w:w="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1880" w:type="dxa"/>
            <w:vAlign w:val="bottom"/>
          </w:tcPr>
          <w:p>
            <w:pPr>
              <w:ind w:left="100"/>
              <w:spacing w:after="0" w:line="149" w:lineRule="exact"/>
              <w:rPr>
                <w:sz w:val="20"/>
                <w:szCs w:val="20"/>
                <w:color w:val="auto"/>
              </w:rPr>
            </w:pPr>
            <w:r>
              <w:rPr>
                <w:rFonts w:ascii="Arial" w:cs="Arial" w:eastAsia="Arial" w:hAnsi="Arial"/>
                <w:sz w:val="14"/>
                <w:szCs w:val="14"/>
                <w:color w:val="auto"/>
              </w:rPr>
              <w:t>Common Membership Units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(45 units)</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228</w:t>
            </w:r>
          </w:p>
        </w:tc>
        <w:tc>
          <w:tcPr>
            <w:tcW w:w="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59"/>
              <w:spacing w:after="0"/>
              <w:rPr>
                <w:sz w:val="20"/>
                <w:szCs w:val="20"/>
                <w:color w:val="auto"/>
              </w:rPr>
            </w:pPr>
            <w:r>
              <w:rPr>
                <w:rFonts w:ascii="Arial" w:cs="Arial" w:eastAsia="Arial" w:hAnsi="Arial"/>
                <w:sz w:val="14"/>
                <w:szCs w:val="14"/>
                <w:color w:val="auto"/>
              </w:rPr>
              <w:t>(35)</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2"/>
                <w:szCs w:val="12"/>
                <w:color w:val="auto"/>
              </w:rPr>
            </w:pPr>
          </w:p>
        </w:tc>
        <w:tc>
          <w:tcPr>
            <w:tcW w:w="1880" w:type="dxa"/>
            <w:vAlign w:val="bottom"/>
            <w:vMerge w:val="restart"/>
          </w:tcPr>
          <w:p>
            <w:pPr>
              <w:ind w:left="100"/>
              <w:spacing w:after="0"/>
              <w:rPr>
                <w:sz w:val="20"/>
                <w:szCs w:val="20"/>
                <w:color w:val="auto"/>
              </w:rPr>
            </w:pPr>
            <w:r>
              <w:rPr>
                <w:rFonts w:ascii="Arial" w:cs="Arial" w:eastAsia="Arial" w:hAnsi="Arial"/>
                <w:sz w:val="14"/>
                <w:szCs w:val="14"/>
                <w:color w:val="auto"/>
                <w:w w:val="95"/>
              </w:rPr>
              <w:t>Membership Units (2,000,000</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4,661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537</w:t>
            </w:r>
          </w:p>
        </w:tc>
        <w:tc>
          <w:tcPr>
            <w:tcW w:w="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4"/>
                <w:szCs w:val="14"/>
                <w:color w:val="auto"/>
              </w:rPr>
              <w:t>(437)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437</w:t>
            </w:r>
          </w:p>
        </w:tc>
        <w:tc>
          <w:tcPr>
            <w:tcW w:w="760" w:type="dxa"/>
            <w:vAlign w:val="bottom"/>
            <w:gridSpan w:val="3"/>
          </w:tcPr>
          <w:p>
            <w:pPr>
              <w:jc w:val="right"/>
              <w:ind w:right="59"/>
              <w:spacing w:after="0"/>
              <w:rPr>
                <w:sz w:val="20"/>
                <w:szCs w:val="20"/>
                <w:color w:val="auto"/>
              </w:rPr>
            </w:pPr>
            <w:r>
              <w:rPr>
                <w:rFonts w:ascii="Arial" w:cs="Arial" w:eastAsia="Arial" w:hAnsi="Arial"/>
                <w:sz w:val="14"/>
                <w:szCs w:val="14"/>
                <w:color w:val="auto"/>
              </w:rPr>
              <w:t>(437)</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5" w:name="page136"/>
    <w:bookmarkEnd w:id="13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Transactions With Affiliated Companies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1441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1441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52070</wp:posOffset>
            </wp:positionV>
            <wp:extent cx="611441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11441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Amount of</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or Dividends</w:t>
            </w: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35"/>
        </w:trPr>
        <w:tc>
          <w:tcPr>
            <w:tcW w:w="14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Principal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Credited to</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2016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Gross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Realized</w:t>
            </w:r>
          </w:p>
        </w:tc>
        <w:tc>
          <w:tcPr>
            <w:tcW w:w="40" w:type="dxa"/>
            <w:vAlign w:val="bottom"/>
          </w:tcPr>
          <w:p>
            <w:pPr>
              <w:spacing w:after="0"/>
              <w:rPr>
                <w:sz w:val="11"/>
                <w:szCs w:val="11"/>
                <w:color w:val="auto"/>
              </w:rPr>
            </w:pPr>
          </w:p>
        </w:tc>
        <w:tc>
          <w:tcPr>
            <w:tcW w:w="72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w w:val="97"/>
              </w:rPr>
              <w:t>Unrealized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09"/>
              <w:spacing w:after="0" w:line="135" w:lineRule="exact"/>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w w:val="91"/>
              </w:rPr>
              <w:t>Income</w:t>
            </w:r>
            <w:r>
              <w:rPr>
                <w:rFonts w:ascii="Arial" w:cs="Arial" w:eastAsia="Arial" w:hAnsi="Arial"/>
                <w:sz w:val="18"/>
                <w:szCs w:val="18"/>
                <w:b w:val="1"/>
                <w:bCs w:val="1"/>
                <w:color w:val="auto"/>
                <w:w w:val="91"/>
                <w:vertAlign w:val="superscript"/>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Fair Value</w:t>
            </w:r>
          </w:p>
        </w:tc>
        <w:tc>
          <w:tcPr>
            <w:tcW w:w="40" w:type="dxa"/>
            <w:vAlign w:val="bottom"/>
          </w:tcPr>
          <w:p>
            <w:pPr>
              <w:spacing w:after="0"/>
              <w:rPr>
                <w:sz w:val="14"/>
                <w:szCs w:val="14"/>
                <w:color w:val="auto"/>
              </w:rPr>
            </w:pPr>
          </w:p>
        </w:tc>
        <w:tc>
          <w:tcPr>
            <w:tcW w:w="720" w:type="dxa"/>
            <w:vAlign w:val="bottom"/>
            <w:gridSpan w:val="3"/>
          </w:tcPr>
          <w:p>
            <w:pPr>
              <w:jc w:val="center"/>
              <w:spacing w:after="0" w:line="162" w:lineRule="exact"/>
              <w:rPr>
                <w:sz w:val="20"/>
                <w:szCs w:val="20"/>
                <w:color w:val="auto"/>
              </w:rPr>
            </w:pPr>
            <w:r>
              <w:rPr>
                <w:rFonts w:ascii="Arial" w:cs="Arial" w:eastAsia="Arial" w:hAnsi="Arial"/>
                <w:sz w:val="12"/>
                <w:szCs w:val="12"/>
                <w:b w:val="1"/>
                <w:bCs w:val="1"/>
                <w:color w:val="auto"/>
                <w:w w:val="91"/>
              </w:rPr>
              <w:t>Additions</w:t>
            </w:r>
            <w:r>
              <w:rPr>
                <w:rFonts w:ascii="Arial" w:cs="Arial" w:eastAsia="Arial" w:hAnsi="Arial"/>
                <w:sz w:val="18"/>
                <w:szCs w:val="18"/>
                <w:b w:val="1"/>
                <w:bCs w:val="1"/>
                <w:color w:val="auto"/>
                <w:w w:val="91"/>
                <w:vertAlign w:val="superscript"/>
              </w:rPr>
              <w:t>(2)</w:t>
            </w:r>
          </w:p>
        </w:tc>
        <w:tc>
          <w:tcPr>
            <w:tcW w:w="40" w:type="dxa"/>
            <w:vAlign w:val="bottom"/>
          </w:tcPr>
          <w:p>
            <w:pPr>
              <w:spacing w:after="0"/>
              <w:rPr>
                <w:sz w:val="14"/>
                <w:szCs w:val="14"/>
                <w:color w:val="auto"/>
              </w:rPr>
            </w:pPr>
          </w:p>
        </w:tc>
        <w:tc>
          <w:tcPr>
            <w:tcW w:w="760" w:type="dxa"/>
            <w:vAlign w:val="bottom"/>
            <w:gridSpan w:val="4"/>
          </w:tcPr>
          <w:p>
            <w:pPr>
              <w:spacing w:after="0" w:line="162" w:lineRule="exact"/>
              <w:rPr>
                <w:sz w:val="20"/>
                <w:szCs w:val="20"/>
                <w:color w:val="auto"/>
              </w:rPr>
            </w:pPr>
            <w:r>
              <w:rPr>
                <w:rFonts w:ascii="Arial" w:cs="Arial" w:eastAsia="Arial" w:hAnsi="Arial"/>
                <w:sz w:val="12"/>
                <w:szCs w:val="12"/>
                <w:b w:val="1"/>
                <w:bCs w:val="1"/>
                <w:color w:val="auto"/>
                <w:w w:val="92"/>
              </w:rPr>
              <w:t>Reductions</w:t>
            </w:r>
            <w:r>
              <w:rPr>
                <w:rFonts w:ascii="Arial" w:cs="Arial" w:eastAsia="Arial" w:hAnsi="Arial"/>
                <w:sz w:val="18"/>
                <w:szCs w:val="18"/>
                <w:b w:val="1"/>
                <w:bCs w:val="1"/>
                <w:color w:val="auto"/>
                <w:w w:val="92"/>
                <w:vertAlign w:val="superscript"/>
              </w:rPr>
              <w:t>(3)</w:t>
            </w: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Gain/(Loss)</w:t>
            </w:r>
          </w:p>
        </w:tc>
        <w:tc>
          <w:tcPr>
            <w:tcW w:w="4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b w:val="1"/>
                <w:bCs w:val="1"/>
                <w:color w:val="auto"/>
                <w:w w:val="92"/>
              </w:rPr>
              <w:t>Gain/(Loss)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3"/>
        </w:trPr>
        <w:tc>
          <w:tcPr>
            <w:tcW w:w="146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Sierra Hamilton</w:t>
            </w:r>
          </w:p>
        </w:tc>
        <w:tc>
          <w:tcPr>
            <w:tcW w:w="40" w:type="dxa"/>
            <w:vAlign w:val="bottom"/>
          </w:tcPr>
          <w:p>
            <w:pPr>
              <w:spacing w:after="0"/>
              <w:rPr>
                <w:sz w:val="10"/>
                <w:szCs w:val="10"/>
                <w:color w:val="auto"/>
              </w:rPr>
            </w:pPr>
          </w:p>
        </w:tc>
        <w:tc>
          <w:tcPr>
            <w:tcW w:w="1880" w:type="dxa"/>
            <w:vAlign w:val="bottom"/>
            <w:tcBorders>
              <w:top w:val="single" w:sz="8" w:color="auto"/>
            </w:tcBorders>
            <w:gridSpan w:val="2"/>
          </w:tcPr>
          <w:p>
            <w:pPr>
              <w:ind w:left="100"/>
              <w:spacing w:after="0" w:line="123" w:lineRule="exact"/>
              <w:rPr>
                <w:sz w:val="20"/>
                <w:szCs w:val="20"/>
                <w:color w:val="auto"/>
              </w:rPr>
            </w:pPr>
            <w:r>
              <w:rPr>
                <w:rFonts w:ascii="Arial" w:cs="Arial" w:eastAsia="Arial" w:hAnsi="Arial"/>
                <w:sz w:val="14"/>
                <w:szCs w:val="14"/>
                <w:color w:val="auto"/>
              </w:rPr>
              <w:t>Common Stock (15,068,000</w:t>
            </w: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w w:val="94"/>
              </w:rPr>
              <w:t>Holdings Corporation</w:t>
            </w: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6,958</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1,570</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w w:val="98"/>
              </w:rPr>
              <w:t>Source Capital Penray,</w:t>
            </w:r>
          </w:p>
        </w:tc>
        <w:tc>
          <w:tcPr>
            <w:tcW w:w="4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Subordinated Debt (13%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 Due 4/8/19)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(1,425)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Source Capital Penray,</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Membership Units (11.3%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ownership)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805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4"/>
                <w:szCs w:val="14"/>
                <w:color w:val="auto"/>
              </w:rPr>
              <w:t>(750)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46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STX Healthcare</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2,230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(2,175</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Management</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 (1,200,000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Services, Inc.</w:t>
            </w: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109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8"/>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w w:val="95"/>
              </w:rPr>
              <w:t>U.S. Well Services, LLC</w:t>
            </w:r>
          </w:p>
        </w:tc>
        <w:tc>
          <w:tcPr>
            <w:tcW w:w="4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First Lien Debt (7.35%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 month LIBOR + 6%,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floor), Due 2/2/22)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2,299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2,299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U.S. Well Services,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First Lien Debt (12.35%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 month LIBOR + 11%,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floor), Due 2/2/22)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9,516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9,516</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U.S. Well Services,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Class A Units (5,680,688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6,260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8,744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15,004</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U.S. Well Services,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Class B Units (2,076,298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441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514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9,258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27,774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80" w:type="dxa"/>
            <w:vAlign w:val="bottom"/>
            <w:gridSpan w:val="6"/>
          </w:tcPr>
          <w:p>
            <w:pPr>
              <w:ind w:left="20"/>
              <w:spacing w:after="0" w:line="129" w:lineRule="exact"/>
              <w:rPr>
                <w:sz w:val="20"/>
                <w:szCs w:val="20"/>
                <w:color w:val="auto"/>
              </w:rPr>
            </w:pPr>
            <w:r>
              <w:rPr>
                <w:rFonts w:ascii="Arial" w:cs="Arial" w:eastAsia="Arial" w:hAnsi="Arial"/>
                <w:sz w:val="14"/>
                <w:szCs w:val="14"/>
                <w:b w:val="1"/>
                <w:bCs w:val="1"/>
                <w:i w:val="1"/>
                <w:iCs w:val="1"/>
                <w:color w:val="auto"/>
              </w:rPr>
              <w:t>Sub Total Affiliate investments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5,150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61,464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41,862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29" w:lineRule="exact"/>
              <w:rPr>
                <w:sz w:val="20"/>
                <w:szCs w:val="20"/>
                <w:color w:val="auto"/>
              </w:rPr>
            </w:pPr>
            <w:r>
              <w:rPr>
                <w:rFonts w:ascii="Arial" w:cs="Arial" w:eastAsia="Arial" w:hAnsi="Arial"/>
                <w:sz w:val="14"/>
                <w:szCs w:val="14"/>
                <w:color w:val="auto"/>
              </w:rPr>
              <w:t>(8,731</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4,926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29" w:lineRule="exact"/>
              <w:rPr>
                <w:sz w:val="20"/>
                <w:szCs w:val="20"/>
                <w:color w:val="auto"/>
              </w:rPr>
            </w:pPr>
            <w:r>
              <w:rPr>
                <w:rFonts w:ascii="Arial" w:cs="Arial" w:eastAsia="Arial" w:hAnsi="Arial"/>
                <w:sz w:val="14"/>
                <w:szCs w:val="14"/>
                <w:color w:val="auto"/>
              </w:rPr>
              <w:t>4,436</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103,957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Control investments</w:t>
            </w:r>
          </w:p>
        </w:tc>
        <w:tc>
          <w:tcPr>
            <w:tcW w:w="40" w:type="dxa"/>
            <w:vAlign w:val="bottom"/>
          </w:tcPr>
          <w:p>
            <w:pPr>
              <w:spacing w:after="0" w:line="20" w:lineRule="exact"/>
              <w:rPr>
                <w:sz w:val="1"/>
                <w:szCs w:val="1"/>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First Lien Debt (12% Cash,</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1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CableOrganizer</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Acquisition,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 PIK, Due 5/24/18)</w:t>
            </w: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12,373</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1,473</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11,882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491</w:t>
            </w: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12,373</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CableOrganizer</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 (21.3% fully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Acquisition,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diluted)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(82)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CableOrganizer</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Acquisition, LLC</w:t>
            </w: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(10%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8"/>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Capitala Senior Liquid</w:t>
            </w:r>
          </w:p>
        </w:tc>
        <w:tc>
          <w:tcPr>
            <w:tcW w:w="4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Common Stock (80%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12,183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Loan Fund I, LLC</w:t>
            </w: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Ownership)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w w:val="98"/>
              </w:rPr>
              <w:t>Eastport Holdings, LLC</w:t>
            </w:r>
          </w:p>
        </w:tc>
        <w:tc>
          <w:tcPr>
            <w:tcW w:w="4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Subordinated Debt (14.49%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 (3 month LIBOR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13%, 0.5% Floor),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4/29/20)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16,500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3,138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(757)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Eastport Holdings,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Membership Units (33.3%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ownership)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13,395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13,054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26,449</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Kelle’s Transport</w:t>
            </w:r>
          </w:p>
        </w:tc>
        <w:tc>
          <w:tcPr>
            <w:tcW w:w="4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First Lien Debt (4%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3,138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29,895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12,297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42,949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Service,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Due 2/15/20)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Kelle’s Transport</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First Lien Debt (1.46%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Service,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Due 2/15/20)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13,674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13,669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(4,109)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9,560</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Kelle’s Transport</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Membership Units (27.5%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Service, LLC</w:t>
            </w: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Subordinated Debt (10%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(4,109</w:t>
            </w:r>
          </w:p>
        </w:tc>
        <w:tc>
          <w:tcPr>
            <w:tcW w:w="140" w:type="dxa"/>
            <w:vAlign w:val="bottom"/>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 Due 9/15/18)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Subordinated Debt (14%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Cash, 4% PIK, Due 9/15/18)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4,154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3,989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165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6" w:name="page137"/>
    <w:bookmarkEnd w:id="13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Transactions With Affiliated Companies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1441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11441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61144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11441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Amount of</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or Dividends</w:t>
            </w: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35"/>
        </w:trPr>
        <w:tc>
          <w:tcPr>
            <w:tcW w:w="14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Principal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Credited to</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2016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Gross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1"/>
                <w:szCs w:val="11"/>
                <w:color w:val="auto"/>
              </w:rPr>
            </w:pPr>
          </w:p>
        </w:tc>
        <w:tc>
          <w:tcPr>
            <w:tcW w:w="600" w:type="dxa"/>
            <w:vAlign w:val="bottom"/>
            <w:gridSpan w:val="2"/>
          </w:tcPr>
          <w:p>
            <w:pPr>
              <w:jc w:val="right"/>
              <w:ind w:right="79"/>
              <w:spacing w:after="0" w:line="135" w:lineRule="exact"/>
              <w:rPr>
                <w:sz w:val="20"/>
                <w:szCs w:val="20"/>
                <w:color w:val="auto"/>
              </w:rPr>
            </w:pPr>
            <w:r>
              <w:rPr>
                <w:rFonts w:ascii="Arial" w:cs="Arial" w:eastAsia="Arial" w:hAnsi="Arial"/>
                <w:sz w:val="13"/>
                <w:szCs w:val="13"/>
                <w:b w:val="1"/>
                <w:bCs w:val="1"/>
                <w:color w:val="auto"/>
                <w:w w:val="87"/>
              </w:rPr>
              <w:t>Realized</w:t>
            </w:r>
          </w:p>
        </w:tc>
        <w:tc>
          <w:tcPr>
            <w:tcW w:w="40" w:type="dxa"/>
            <w:vAlign w:val="bottom"/>
          </w:tcPr>
          <w:p>
            <w:pPr>
              <w:spacing w:after="0"/>
              <w:rPr>
                <w:sz w:val="11"/>
                <w:szCs w:val="11"/>
                <w:color w:val="auto"/>
              </w:rPr>
            </w:pPr>
          </w:p>
        </w:tc>
        <w:tc>
          <w:tcPr>
            <w:tcW w:w="720" w:type="dxa"/>
            <w:vAlign w:val="bottom"/>
            <w:gridSpan w:val="3"/>
          </w:tcPr>
          <w:p>
            <w:pPr>
              <w:jc w:val="right"/>
              <w:ind w:right="60"/>
              <w:spacing w:after="0" w:line="135" w:lineRule="exact"/>
              <w:rPr>
                <w:sz w:val="20"/>
                <w:szCs w:val="20"/>
                <w:color w:val="auto"/>
              </w:rPr>
            </w:pPr>
            <w:r>
              <w:rPr>
                <w:rFonts w:ascii="Arial" w:cs="Arial" w:eastAsia="Arial" w:hAnsi="Arial"/>
                <w:sz w:val="13"/>
                <w:szCs w:val="13"/>
                <w:b w:val="1"/>
                <w:bCs w:val="1"/>
                <w:color w:val="auto"/>
                <w:w w:val="97"/>
              </w:rPr>
              <w:t>Unrealized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09"/>
              <w:spacing w:after="0" w:line="135" w:lineRule="exact"/>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w w:val="91"/>
              </w:rPr>
              <w:t>Income</w:t>
            </w:r>
            <w:r>
              <w:rPr>
                <w:rFonts w:ascii="Arial" w:cs="Arial" w:eastAsia="Arial" w:hAnsi="Arial"/>
                <w:sz w:val="18"/>
                <w:szCs w:val="18"/>
                <w:b w:val="1"/>
                <w:bCs w:val="1"/>
                <w:color w:val="auto"/>
                <w:w w:val="91"/>
                <w:vertAlign w:val="superscript"/>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Fair Value</w:t>
            </w:r>
          </w:p>
        </w:tc>
        <w:tc>
          <w:tcPr>
            <w:tcW w:w="40" w:type="dxa"/>
            <w:vAlign w:val="bottom"/>
          </w:tcPr>
          <w:p>
            <w:pPr>
              <w:spacing w:after="0"/>
              <w:rPr>
                <w:sz w:val="14"/>
                <w:szCs w:val="14"/>
                <w:color w:val="auto"/>
              </w:rPr>
            </w:pPr>
          </w:p>
        </w:tc>
        <w:tc>
          <w:tcPr>
            <w:tcW w:w="720" w:type="dxa"/>
            <w:vAlign w:val="bottom"/>
            <w:gridSpan w:val="3"/>
          </w:tcPr>
          <w:p>
            <w:pPr>
              <w:jc w:val="center"/>
              <w:spacing w:after="0" w:line="162" w:lineRule="exact"/>
              <w:rPr>
                <w:sz w:val="20"/>
                <w:szCs w:val="20"/>
                <w:color w:val="auto"/>
              </w:rPr>
            </w:pPr>
            <w:r>
              <w:rPr>
                <w:rFonts w:ascii="Arial" w:cs="Arial" w:eastAsia="Arial" w:hAnsi="Arial"/>
                <w:sz w:val="12"/>
                <w:szCs w:val="12"/>
                <w:b w:val="1"/>
                <w:bCs w:val="1"/>
                <w:color w:val="auto"/>
                <w:w w:val="91"/>
              </w:rPr>
              <w:t>Additions</w:t>
            </w:r>
            <w:r>
              <w:rPr>
                <w:rFonts w:ascii="Arial" w:cs="Arial" w:eastAsia="Arial" w:hAnsi="Arial"/>
                <w:sz w:val="18"/>
                <w:szCs w:val="18"/>
                <w:b w:val="1"/>
                <w:bCs w:val="1"/>
                <w:color w:val="auto"/>
                <w:w w:val="91"/>
                <w:vertAlign w:val="superscript"/>
              </w:rPr>
              <w:t>(2)</w:t>
            </w:r>
          </w:p>
        </w:tc>
        <w:tc>
          <w:tcPr>
            <w:tcW w:w="40" w:type="dxa"/>
            <w:vAlign w:val="bottom"/>
          </w:tcPr>
          <w:p>
            <w:pPr>
              <w:spacing w:after="0"/>
              <w:rPr>
                <w:sz w:val="14"/>
                <w:szCs w:val="14"/>
                <w:color w:val="auto"/>
              </w:rPr>
            </w:pPr>
          </w:p>
        </w:tc>
        <w:tc>
          <w:tcPr>
            <w:tcW w:w="760" w:type="dxa"/>
            <w:vAlign w:val="bottom"/>
            <w:gridSpan w:val="4"/>
          </w:tcPr>
          <w:p>
            <w:pPr>
              <w:spacing w:after="0" w:line="162" w:lineRule="exact"/>
              <w:rPr>
                <w:sz w:val="20"/>
                <w:szCs w:val="20"/>
                <w:color w:val="auto"/>
              </w:rPr>
            </w:pPr>
            <w:r>
              <w:rPr>
                <w:rFonts w:ascii="Arial" w:cs="Arial" w:eastAsia="Arial" w:hAnsi="Arial"/>
                <w:sz w:val="12"/>
                <w:szCs w:val="12"/>
                <w:b w:val="1"/>
                <w:bCs w:val="1"/>
                <w:color w:val="auto"/>
                <w:w w:val="92"/>
              </w:rPr>
              <w:t>Reductions</w:t>
            </w:r>
            <w:r>
              <w:rPr>
                <w:rFonts w:ascii="Arial" w:cs="Arial" w:eastAsia="Arial" w:hAnsi="Arial"/>
                <w:sz w:val="18"/>
                <w:szCs w:val="18"/>
                <w:b w:val="1"/>
                <w:bCs w:val="1"/>
                <w:color w:val="auto"/>
                <w:w w:val="92"/>
                <w:vertAlign w:val="superscript"/>
              </w:rPr>
              <w:t>(3)</w:t>
            </w:r>
          </w:p>
        </w:tc>
        <w:tc>
          <w:tcPr>
            <w:tcW w:w="720" w:type="dxa"/>
            <w:vAlign w:val="bottom"/>
            <w:gridSpan w:val="3"/>
          </w:tcPr>
          <w:p>
            <w:pPr>
              <w:jc w:val="right"/>
              <w:spacing w:after="0"/>
              <w:rPr>
                <w:sz w:val="20"/>
                <w:szCs w:val="20"/>
                <w:color w:val="auto"/>
              </w:rPr>
            </w:pPr>
            <w:r>
              <w:rPr>
                <w:rFonts w:ascii="Arial" w:cs="Arial" w:eastAsia="Arial" w:hAnsi="Arial"/>
                <w:sz w:val="13"/>
                <w:szCs w:val="13"/>
                <w:b w:val="1"/>
                <w:bCs w:val="1"/>
                <w:color w:val="auto"/>
                <w:w w:val="92"/>
              </w:rPr>
              <w:t>Gain/(Loss)</w:t>
            </w:r>
          </w:p>
        </w:tc>
        <w:tc>
          <w:tcPr>
            <w:tcW w:w="4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2"/>
              </w:rPr>
              <w:t>Gain/(Loss)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3"/>
        </w:trPr>
        <w:tc>
          <w:tcPr>
            <w:tcW w:w="146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0"/>
                <w:szCs w:val="10"/>
                <w:color w:val="auto"/>
              </w:rPr>
            </w:pPr>
          </w:p>
        </w:tc>
        <w:tc>
          <w:tcPr>
            <w:tcW w:w="1880" w:type="dxa"/>
            <w:vAlign w:val="bottom"/>
            <w:tcBorders>
              <w:top w:val="single" w:sz="8" w:color="auto"/>
            </w:tcBorders>
            <w:gridSpan w:val="2"/>
          </w:tcPr>
          <w:p>
            <w:pPr>
              <w:ind w:left="100"/>
              <w:spacing w:after="0" w:line="123" w:lineRule="exact"/>
              <w:rPr>
                <w:sz w:val="20"/>
                <w:szCs w:val="20"/>
                <w:color w:val="auto"/>
              </w:rPr>
            </w:pPr>
            <w:r>
              <w:rPr>
                <w:rFonts w:ascii="Arial" w:cs="Arial" w:eastAsia="Arial" w:hAnsi="Arial"/>
                <w:sz w:val="14"/>
                <w:szCs w:val="14"/>
                <w:color w:val="auto"/>
              </w:rPr>
              <w:t>Series A Preferred Units (47</w:t>
            </w: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units)</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2,523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(894)</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First Lien Debt (15%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8,374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Due 10/30/20)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6,500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181"/>
        </w:trPr>
        <w:tc>
          <w:tcPr>
            <w:tcW w:w="1460" w:type="dxa"/>
            <w:vAlign w:val="bottom"/>
            <w:gridSpan w:val="3"/>
          </w:tcPr>
          <w:p>
            <w:pPr>
              <w:ind w:left="20"/>
              <w:spacing w:after="0" w:line="181" w:lineRule="exact"/>
              <w:rPr>
                <w:sz w:val="20"/>
                <w:szCs w:val="20"/>
                <w:color w:val="auto"/>
              </w:rPr>
            </w:pPr>
            <w:r>
              <w:rPr>
                <w:rFonts w:ascii="Arial" w:cs="Arial" w:eastAsia="Arial" w:hAnsi="Arial"/>
                <w:sz w:val="13"/>
                <w:szCs w:val="13"/>
                <w:color w:val="auto"/>
              </w:rPr>
              <w:t>Navis Holdings, Inc.</w:t>
            </w:r>
            <w:r>
              <w:rPr>
                <w:rFonts w:ascii="Arial" w:cs="Arial" w:eastAsia="Arial" w:hAnsi="Arial"/>
                <w:sz w:val="20"/>
                <w:szCs w:val="20"/>
                <w:color w:val="auto"/>
                <w:vertAlign w:val="superscript"/>
              </w:rPr>
              <w:t>(5)</w:t>
            </w:r>
          </w:p>
        </w:tc>
        <w:tc>
          <w:tcPr>
            <w:tcW w:w="40" w:type="dxa"/>
            <w:vAlign w:val="bottom"/>
          </w:tcPr>
          <w:p>
            <w:pPr>
              <w:spacing w:after="0"/>
              <w:rPr>
                <w:sz w:val="15"/>
                <w:szCs w:val="15"/>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Class A Preferred Stock</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tcPr>
          <w:p>
            <w:pPr>
              <w:ind w:left="100"/>
              <w:spacing w:after="0" w:line="116" w:lineRule="exact"/>
              <w:rPr>
                <w:sz w:val="20"/>
                <w:szCs w:val="20"/>
                <w:color w:val="auto"/>
              </w:rPr>
            </w:pPr>
            <w:r>
              <w:rPr>
                <w:rFonts w:ascii="Arial" w:cs="Arial" w:eastAsia="Arial" w:hAnsi="Arial"/>
                <w:sz w:val="13"/>
                <w:szCs w:val="13"/>
                <w:color w:val="auto"/>
              </w:rPr>
              <w:t>(1,000 shares, 10% Cash</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Dividend)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 (300,000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5,634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(629)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On-Site Fuel Services,</w:t>
            </w:r>
          </w:p>
        </w:tc>
        <w:tc>
          <w:tcPr>
            <w:tcW w:w="4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Subordinated Debt (18%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13,134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 Due 12/19/18)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14,072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11,588</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Series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(32,782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Series B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(23,648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 (33,058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Portrait Studio, LLC</w:t>
            </w:r>
          </w:p>
        </w:tc>
        <w:tc>
          <w:tcPr>
            <w:tcW w:w="4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First Lien Debt (8.56%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10,303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 month LIBOR + 7%, 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ceiling), Due 12/31/22)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1,860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Portrait Studio,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First Lien Debt (8.56%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 month LIBOR + 7%, 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ceiling), Due 12/31/22)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Portrait Studio,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Preferred Units (4,350,000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2,450</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Portrait Studio, LLC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Membership Units (150,000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60" w:type="dxa"/>
            <w:vAlign w:val="bottom"/>
            <w:gridSpan w:val="3"/>
            <w:vMerge w:val="restart"/>
          </w:tcPr>
          <w:p>
            <w:pPr>
              <w:ind w:left="20"/>
              <w:spacing w:after="0"/>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1880" w:type="dxa"/>
            <w:vAlign w:val="bottom"/>
            <w:gridSpan w:val="2"/>
            <w:vMerge w:val="restart"/>
          </w:tcPr>
          <w:p>
            <w:pPr>
              <w:ind w:left="100"/>
              <w:spacing w:after="0"/>
              <w:rPr>
                <w:sz w:val="20"/>
                <w:szCs w:val="20"/>
                <w:color w:val="auto"/>
              </w:rPr>
            </w:pPr>
            <w:r>
              <w:rPr>
                <w:rFonts w:ascii="Arial" w:cs="Arial" w:eastAsia="Arial" w:hAnsi="Arial"/>
                <w:sz w:val="14"/>
                <w:szCs w:val="14"/>
                <w:color w:val="auto"/>
              </w:rPr>
              <w:t>First Lien Debt (10%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 PIK, due 2/24/19)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12,761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2,087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w w:val="95"/>
              </w:rPr>
              <w:t>(19,403)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4,555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 (18,543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(3,030)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1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color w:val="auto"/>
              </w:rPr>
              <w:t>(820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ind w:lef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12,761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(22,433</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7,545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6"/>
          </w:tcPr>
          <w:p>
            <w:pPr>
              <w:ind w:left="20"/>
              <w:spacing w:after="0" w:line="129" w:lineRule="exact"/>
              <w:rPr>
                <w:sz w:val="20"/>
                <w:szCs w:val="20"/>
                <w:color w:val="auto"/>
              </w:rPr>
            </w:pPr>
            <w:r>
              <w:rPr>
                <w:rFonts w:ascii="Arial" w:cs="Arial" w:eastAsia="Arial" w:hAnsi="Arial"/>
                <w:sz w:val="14"/>
                <w:szCs w:val="14"/>
                <w:b w:val="1"/>
                <w:bCs w:val="1"/>
                <w:i w:val="1"/>
                <w:iCs w:val="1"/>
                <w:color w:val="auto"/>
              </w:rPr>
              <w:t>Sub Total Control investments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7,251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86,650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29,201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440" w:type="dxa"/>
            <w:vAlign w:val="bottom"/>
          </w:tcPr>
          <w:p>
            <w:pPr>
              <w:ind w:left="300"/>
              <w:spacing w:after="0" w:line="129" w:lineRule="exact"/>
              <w:rPr>
                <w:sz w:val="20"/>
                <w:szCs w:val="20"/>
                <w:color w:val="auto"/>
              </w:rPr>
            </w:pPr>
            <w:r>
              <w:rPr>
                <w:rFonts w:ascii="Arial" w:cs="Arial" w:eastAsia="Arial" w:hAnsi="Arial"/>
                <w:sz w:val="14"/>
                <w:szCs w:val="14"/>
                <w:color w:val="auto"/>
                <w:w w:val="85"/>
              </w:rPr>
              <w:t>—</w:t>
            </w:r>
          </w:p>
        </w:tc>
        <w:tc>
          <w:tcPr>
            <w:tcW w:w="180" w:type="dxa"/>
            <w:vAlign w:val="bottom"/>
            <w:gridSpan w:val="2"/>
          </w:tcPr>
          <w:p>
            <w:pPr>
              <w:spacing w:after="0"/>
              <w:rPr>
                <w:sz w:val="12"/>
                <w:szCs w:val="12"/>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29" w:lineRule="exact"/>
              <w:rPr>
                <w:sz w:val="20"/>
                <w:szCs w:val="20"/>
                <w:color w:val="auto"/>
              </w:rPr>
            </w:pPr>
            <w:r>
              <w:rPr>
                <w:rFonts w:ascii="Arial" w:cs="Arial" w:eastAsia="Arial" w:hAnsi="Arial"/>
                <w:sz w:val="14"/>
                <w:szCs w:val="14"/>
                <w:color w:val="auto"/>
                <w:w w:val="96"/>
              </w:rPr>
              <w:t>(22,433</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29" w:lineRule="exact"/>
              <w:rPr>
                <w:sz w:val="20"/>
                <w:szCs w:val="20"/>
                <w:color w:val="auto"/>
              </w:rPr>
            </w:pPr>
            <w:r>
              <w:rPr>
                <w:rFonts w:ascii="Arial" w:cs="Arial" w:eastAsia="Arial" w:hAnsi="Arial"/>
                <w:sz w:val="14"/>
                <w:szCs w:val="14"/>
                <w:color w:val="auto"/>
                <w:w w:val="97"/>
              </w:rPr>
              <w:t>14,190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107,608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1039" w:hanging="272"/>
        <w:spacing w:after="0" w:line="277"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the total amount of interest, fees or dividends credited to income for the portion of the year an investment was included in Control or Affiliate categories, respectively.</w:t>
      </w:r>
    </w:p>
    <w:p>
      <w:pPr>
        <w:spacing w:after="0" w:line="62" w:lineRule="exact"/>
        <w:rPr>
          <w:rFonts w:ascii="Arial" w:cs="Arial" w:eastAsia="Arial" w:hAnsi="Arial"/>
          <w:sz w:val="18"/>
          <w:szCs w:val="18"/>
          <w:color w:val="auto"/>
        </w:rPr>
      </w:pPr>
    </w:p>
    <w:p>
      <w:pPr>
        <w:ind w:left="300" w:right="1319" w:hanging="272"/>
        <w:spacing w:after="0" w:line="342" w:lineRule="auto"/>
        <w:tabs>
          <w:tab w:leader="none" w:pos="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new portfolio investments, follow-on investments and accrued PIK interest. Gross additions also include transfers into an affiliate or control classification.</w:t>
      </w:r>
    </w:p>
    <w:p>
      <w:pPr>
        <w:spacing w:after="0" w:line="15" w:lineRule="exact"/>
        <w:rPr>
          <w:rFonts w:ascii="Arial" w:cs="Arial" w:eastAsia="Arial" w:hAnsi="Arial"/>
          <w:sz w:val="16"/>
          <w:szCs w:val="16"/>
          <w:color w:val="auto"/>
        </w:rPr>
      </w:pPr>
    </w:p>
    <w:p>
      <w:pPr>
        <w:ind w:left="300" w:hanging="272"/>
        <w:spacing w:after="0"/>
        <w:tabs>
          <w:tab w:leader="none" w:pos="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Gross reductions include decreases in the total cost basis of investments resulting from principal or PIK repayments and sales.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debt investments are income producing. Equity and warrant investments are non-income producing, unless otherwise noted.</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Agreements</w:t>
      </w:r>
    </w:p>
    <w:p>
      <w:pPr>
        <w:spacing w:after="0" w:line="121"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by a majority of our non-interested directors, at an in-person meeting on August 3, 2017.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84" w:lineRule="exact"/>
        <w:rPr>
          <w:sz w:val="20"/>
          <w:szCs w:val="20"/>
          <w:color w:val="auto"/>
        </w:rPr>
      </w:pPr>
    </w:p>
    <w:p>
      <w:pPr>
        <w:ind w:left="600" w:right="1139" w:hanging="322"/>
        <w:spacing w:after="0" w:line="277"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600" w:right="819" w:hanging="322"/>
        <w:spacing w:after="0" w:line="277"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62"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70" w:lineRule="exact"/>
        <w:rPr>
          <w:sz w:val="20"/>
          <w:szCs w:val="20"/>
          <w:color w:val="auto"/>
        </w:rPr>
      </w:pPr>
    </w:p>
    <w:p>
      <w:pPr>
        <w:ind w:left="40" w:right="699" w:firstLine="270"/>
        <w:spacing w:after="0" w:line="342" w:lineRule="auto"/>
        <w:rPr>
          <w:sz w:val="20"/>
          <w:szCs w:val="20"/>
          <w:color w:val="auto"/>
        </w:rPr>
      </w:pPr>
      <w:r>
        <w:rPr>
          <w:rFonts w:ascii="Arial" w:cs="Arial" w:eastAsia="Arial" w:hAnsi="Arial"/>
          <w:sz w:val="16"/>
          <w:szCs w:val="16"/>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6"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was initially calculated based on the value of the gross assets at the end of the first calendar quarter subsequent to the IPO, and thereafter based on the average value of the gross assets at the end of the two most recently completed calendar quarters, and appropriately adjusted for any share issuances or repurchases during the current calendar quarter.</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incentive fee consists of the following two parts:</w:t>
      </w:r>
    </w:p>
    <w:p>
      <w:pPr>
        <w:spacing w:after="0" w:line="117"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Agreements – (continued)</w:t>
      </w:r>
    </w:p>
    <w:p>
      <w:pPr>
        <w:spacing w:after="0" w:line="121" w:lineRule="exact"/>
        <w:rPr>
          <w:sz w:val="20"/>
          <w:szCs w:val="20"/>
          <w:color w:val="auto"/>
        </w:rPr>
      </w:pPr>
    </w:p>
    <w:p>
      <w:pPr>
        <w:ind w:left="40" w:right="619"/>
        <w:spacing w:after="0" w:line="269" w:lineRule="auto"/>
        <w:rPr>
          <w:sz w:val="20"/>
          <w:szCs w:val="20"/>
          <w:color w:val="auto"/>
        </w:rPr>
      </w:pPr>
      <w:r>
        <w:rPr>
          <w:rFonts w:ascii="Arial" w:cs="Arial" w:eastAsia="Arial" w:hAnsi="Arial"/>
          <w:sz w:val="17"/>
          <w:szCs w:val="17"/>
          <w:color w:val="auto"/>
        </w:rPr>
        <w:t>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75" w:lineRule="exact"/>
        <w:rPr>
          <w:sz w:val="20"/>
          <w:szCs w:val="20"/>
          <w:color w:val="auto"/>
        </w:rPr>
      </w:pPr>
    </w:p>
    <w:p>
      <w:pPr>
        <w:ind w:left="600" w:right="599" w:hanging="322"/>
        <w:spacing w:after="0" w:line="277"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62" w:lineRule="exact"/>
        <w:rPr>
          <w:rFonts w:ascii="Arial" w:cs="Arial" w:eastAsia="Arial" w:hAnsi="Arial"/>
          <w:sz w:val="18"/>
          <w:szCs w:val="18"/>
          <w:color w:val="auto"/>
        </w:rPr>
      </w:pPr>
    </w:p>
    <w:p>
      <w:pPr>
        <w:ind w:left="600" w:right="639" w:hanging="322"/>
        <w:spacing w:after="0" w:line="297" w:lineRule="auto"/>
        <w:tabs>
          <w:tab w:leader="none" w:pos="6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50" w:lineRule="exact"/>
        <w:rPr>
          <w:rFonts w:ascii="Arial" w:cs="Arial" w:eastAsia="Arial" w:hAnsi="Arial"/>
          <w:sz w:val="16"/>
          <w:szCs w:val="16"/>
          <w:color w:val="auto"/>
        </w:rPr>
      </w:pPr>
    </w:p>
    <w:p>
      <w:pPr>
        <w:ind w:left="600" w:right="559" w:hanging="322"/>
        <w:spacing w:after="0" w:line="264"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73" w:lineRule="exact"/>
        <w:rPr>
          <w:sz w:val="20"/>
          <w:szCs w:val="20"/>
          <w:color w:val="auto"/>
        </w:rPr>
      </w:pPr>
    </w:p>
    <w:p>
      <w:pPr>
        <w:ind w:left="40" w:right="679" w:firstLine="270"/>
        <w:spacing w:after="0" w:line="293" w:lineRule="auto"/>
        <w:rPr>
          <w:sz w:val="20"/>
          <w:szCs w:val="20"/>
          <w:color w:val="auto"/>
        </w:rPr>
      </w:pPr>
      <w:r>
        <w:rPr>
          <w:rFonts w:ascii="Arial" w:cs="Arial" w:eastAsia="Arial" w:hAnsi="Arial"/>
          <w:sz w:val="16"/>
          <w:szCs w:val="16"/>
          <w:color w:val="auto"/>
        </w:rPr>
        <w:t>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57"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80" w:lineRule="exact"/>
        <w:rPr>
          <w:sz w:val="20"/>
          <w:szCs w:val="20"/>
          <w:color w:val="auto"/>
        </w:rPr>
      </w:pPr>
    </w:p>
    <w:p>
      <w:pPr>
        <w:ind w:left="40" w:right="879" w:firstLine="270"/>
        <w:spacing w:after="0" w:line="293" w:lineRule="auto"/>
        <w:rPr>
          <w:sz w:val="20"/>
          <w:szCs w:val="20"/>
          <w:color w:val="auto"/>
        </w:rPr>
      </w:pPr>
      <w:r>
        <w:rPr>
          <w:rFonts w:ascii="Arial" w:cs="Arial" w:eastAsia="Arial" w:hAnsi="Arial"/>
          <w:sz w:val="16"/>
          <w:szCs w:val="16"/>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Agreements – (continued)</w:t>
      </w:r>
    </w:p>
    <w:p>
      <w:pPr>
        <w:spacing w:after="0" w:line="121"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color w:val="auto"/>
        </w:rPr>
        <w:t>December 31, 2017 and December 31, 2016, the Company had incentive fees payable to the Investment Advisor of $2.2 million and $6.4 million, respectively.</w:t>
      </w:r>
    </w:p>
    <w:p>
      <w:pPr>
        <w:spacing w:after="0" w:line="62"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For the years ended December 31, 2017, 2016 and 2015, the Company incurred $9.8 million, $10.6 million and $10.6 million in base management fees, respectively. The Company incurred $1.3 million, $6.8 million, and $6.0 million in incentive fees related to pre-incentive fee net investment income for the years ended December 31, 2017, 2016, and 2015, respectively. For the years ended December 31, 2017, 2016 and 2015, our Investment Advisor waived incentive fees of $1.0 million, $1.7 million and $1.1 million, respectively.</w:t>
      </w:r>
    </w:p>
    <w:p>
      <w:pPr>
        <w:spacing w:after="0" w:line="80" w:lineRule="exact"/>
        <w:rPr>
          <w:sz w:val="20"/>
          <w:szCs w:val="20"/>
          <w:color w:val="auto"/>
        </w:rPr>
      </w:pPr>
    </w:p>
    <w:p>
      <w:pPr>
        <w:ind w:left="40" w:right="659" w:firstLine="270"/>
        <w:spacing w:after="0" w:line="291" w:lineRule="auto"/>
        <w:rPr>
          <w:sz w:val="20"/>
          <w:szCs w:val="20"/>
          <w:color w:val="auto"/>
        </w:rPr>
      </w:pPr>
      <w:r>
        <w:rPr>
          <w:rFonts w:ascii="Arial" w:cs="Arial" w:eastAsia="Arial" w:hAnsi="Arial"/>
          <w:sz w:val="16"/>
          <w:szCs w:val="16"/>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NAV,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59" w:lineRule="exact"/>
        <w:rPr>
          <w:sz w:val="20"/>
          <w:szCs w:val="20"/>
          <w:color w:val="auto"/>
        </w:rPr>
      </w:pPr>
    </w:p>
    <w:p>
      <w:pPr>
        <w:ind w:left="40" w:right="599" w:firstLine="270"/>
        <w:spacing w:after="0" w:line="289" w:lineRule="auto"/>
        <w:rPr>
          <w:sz w:val="20"/>
          <w:szCs w:val="20"/>
          <w:color w:val="auto"/>
        </w:rPr>
      </w:pPr>
      <w:r>
        <w:rPr>
          <w:rFonts w:ascii="Arial" w:cs="Arial" w:eastAsia="Arial" w:hAnsi="Arial"/>
          <w:sz w:val="16"/>
          <w:szCs w:val="16"/>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and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August 3, 2017.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59"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For the years ended December 31, 2017, 2016, and 2015, the Company paid the Administrator $1.1 million for the Company’s allocable portion of the Administrator’s overhead.</w:t>
      </w:r>
    </w:p>
    <w:p>
      <w:pPr>
        <w:spacing w:after="0" w:line="62"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200" w:lineRule="exact"/>
        <w:rPr>
          <w:sz w:val="20"/>
          <w:szCs w:val="20"/>
          <w:color w:val="auto"/>
        </w:rPr>
      </w:pPr>
    </w:p>
    <w:p>
      <w:pPr>
        <w:spacing w:after="0" w:line="34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0" w:name="page141"/>
    <w:bookmarkEnd w:id="14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8. Related Party Transactions</w:t>
      </w:r>
    </w:p>
    <w:p>
      <w:pPr>
        <w:spacing w:after="0" w:line="121" w:lineRule="exact"/>
        <w:rPr>
          <w:sz w:val="20"/>
          <w:szCs w:val="20"/>
          <w:color w:val="auto"/>
        </w:rPr>
      </w:pPr>
    </w:p>
    <w:p>
      <w:pPr>
        <w:jc w:val="both"/>
        <w:ind w:left="180" w:right="699" w:firstLine="270"/>
        <w:spacing w:after="0" w:line="264" w:lineRule="auto"/>
        <w:rPr>
          <w:sz w:val="20"/>
          <w:szCs w:val="20"/>
          <w:color w:val="auto"/>
        </w:rPr>
      </w:pPr>
      <w:r>
        <w:rPr>
          <w:rFonts w:ascii="Arial" w:cs="Arial" w:eastAsia="Arial" w:hAnsi="Arial"/>
          <w:sz w:val="18"/>
          <w:szCs w:val="18"/>
          <w:color w:val="auto"/>
        </w:rPr>
        <w:t>At December 31, 2017 and December 31, 2016, the Company had the following receivables from (payables to) related parties relating to certain management fees, incentive fees, reimbursable expenses, and other payments owed to related parties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47510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CapitalSouth Corporation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CapitalSouth Partners Florida Sidecar Fund II, L.P.</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Capitala Investment Advisors, LLC</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(6,426)</w:t>
            </w:r>
          </w:p>
        </w:tc>
      </w:tr>
      <w:tr>
        <w:trPr>
          <w:trHeight w:val="20"/>
        </w:trPr>
        <w:tc>
          <w:tcPr>
            <w:tcW w:w="54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(2,077)</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(6,279)</w:t>
            </w:r>
          </w:p>
        </w:tc>
      </w:tr>
      <w:tr>
        <w:trPr>
          <w:trHeight w:val="21"/>
        </w:trPr>
        <w:tc>
          <w:tcPr>
            <w:tcW w:w="5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-179705</wp:posOffset>
            </wp:positionV>
            <wp:extent cx="4751070" cy="1803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180" w:right="519" w:firstLine="270"/>
        <w:spacing w:after="0" w:line="277" w:lineRule="auto"/>
        <w:rPr>
          <w:sz w:val="20"/>
          <w:szCs w:val="20"/>
          <w:color w:val="auto"/>
        </w:rPr>
      </w:pPr>
      <w:r>
        <w:rPr>
          <w:rFonts w:ascii="Arial" w:cs="Arial" w:eastAsia="Arial" w:hAnsi="Arial"/>
          <w:sz w:val="18"/>
          <w:szCs w:val="18"/>
          <w:color w:val="auto"/>
        </w:rPr>
        <w:t>These amounts are reflected in the accompanying consolidated statements of assets and liabilities under the captions, “Due from related parties”, “Management and incentive fee payable” and “Due to related parties.”</w:t>
      </w:r>
    </w:p>
    <w:p>
      <w:pPr>
        <w:spacing w:after="0" w:line="62" w:lineRule="exact"/>
        <w:rPr>
          <w:sz w:val="20"/>
          <w:szCs w:val="20"/>
          <w:color w:val="auto"/>
        </w:rPr>
      </w:pPr>
    </w:p>
    <w:p>
      <w:pPr>
        <w:ind w:left="180" w:right="879" w:firstLine="270"/>
        <w:spacing w:after="0" w:line="276" w:lineRule="auto"/>
        <w:rPr>
          <w:sz w:val="20"/>
          <w:szCs w:val="20"/>
          <w:color w:val="auto"/>
        </w:rPr>
      </w:pPr>
      <w:r>
        <w:rPr>
          <w:rFonts w:ascii="Arial" w:cs="Arial" w:eastAsia="Arial" w:hAnsi="Arial"/>
          <w:sz w:val="17"/>
          <w:szCs w:val="17"/>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 See Note 4 for a further description of this transaction.</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9. Borrowings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left="180" w:right="559" w:firstLine="270"/>
        <w:spacing w:after="0" w:line="288" w:lineRule="auto"/>
        <w:rPr>
          <w:sz w:val="20"/>
          <w:szCs w:val="20"/>
          <w:color w:val="auto"/>
        </w:rPr>
      </w:pPr>
      <w:r>
        <w:rPr>
          <w:rFonts w:ascii="Arial" w:cs="Arial" w:eastAsia="Arial" w:hAnsi="Arial"/>
          <w:sz w:val="16"/>
          <w:szCs w:val="16"/>
          <w:color w:val="auto"/>
        </w:rPr>
        <w:t>The Company, through its two wholly owned subsidiaries, uses debenture leverage provided through the SBA to fund a portion of its investment portfolio. As of December 31, 2017 and December 31, 2016 the Company has $170.7 million of SBA-guaranteed debentures outstanding.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December 31, 2017 and December 31, 2016, Fund II and Fund III had total assets of approximately $341.5 million and $349.4 million, respectively.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(the “1934 Act”), with respect to Fund II and Fund III. The Company intends to comply with the conditions of the order.</w:t>
      </w:r>
    </w:p>
    <w:p>
      <w:pPr>
        <w:spacing w:after="0" w:line="61" w:lineRule="exact"/>
        <w:rPr>
          <w:sz w:val="20"/>
          <w:szCs w:val="20"/>
          <w:color w:val="auto"/>
        </w:rPr>
      </w:pPr>
    </w:p>
    <w:p>
      <w:pPr>
        <w:ind w:left="180" w:right="559" w:firstLine="270"/>
        <w:spacing w:after="0" w:line="264" w:lineRule="auto"/>
        <w:rPr>
          <w:sz w:val="20"/>
          <w:szCs w:val="20"/>
          <w:color w:val="auto"/>
        </w:rPr>
      </w:pPr>
      <w:r>
        <w:rPr>
          <w:rFonts w:ascii="Arial" w:cs="Arial" w:eastAsia="Arial" w:hAnsi="Arial"/>
          <w:sz w:val="18"/>
          <w:szCs w:val="18"/>
          <w:color w:val="auto"/>
        </w:rPr>
        <w:t>The following table summarizes the interest expense and annual charges, deferred financing costs, average balance outstanding, and average stated interest and annual charge rate on the SBA-guaranteed debentures for the years ended December 31, 2017, December 31, 2016 and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47339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29"/>
              <w:spacing w:after="0"/>
              <w:rPr>
                <w:sz w:val="20"/>
                <w:szCs w:val="20"/>
                <w:color w:val="auto"/>
              </w:rPr>
            </w:pPr>
            <w:r>
              <w:rPr>
                <w:rFonts w:ascii="Arial" w:cs="Arial" w:eastAsia="Arial" w:hAnsi="Arial"/>
                <w:sz w:val="14"/>
                <w:szCs w:val="14"/>
                <w:b w:val="1"/>
                <w:bCs w:val="1"/>
                <w:color w:val="auto"/>
                <w:w w:val="98"/>
              </w:rPr>
              <w:t>For the year ended</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880" w:type="dxa"/>
            <w:vAlign w:val="bottom"/>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10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80" w:type="dxa"/>
            <w:vAlign w:val="bottom"/>
            <w:vMerge w:val="restart"/>
          </w:tcPr>
          <w:p>
            <w:pPr>
              <w:ind w:left="20"/>
              <w:spacing w:after="0"/>
              <w:rPr>
                <w:sz w:val="20"/>
                <w:szCs w:val="20"/>
                <w:color w:val="auto"/>
              </w:rPr>
            </w:pPr>
            <w:r>
              <w:rPr>
                <w:rFonts w:ascii="Arial" w:cs="Arial" w:eastAsia="Arial" w:hAnsi="Arial"/>
                <w:sz w:val="18"/>
                <w:szCs w:val="18"/>
                <w:color w:val="auto"/>
              </w:rPr>
              <w:t>Interest expense and annual charges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6,336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6,873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7,519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Total interest and financing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6,947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8,174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outstanding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170,700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178,695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189,526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Average stated interest and annual charge rate</w:t>
            </w: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F-43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-1080135</wp:posOffset>
            </wp:positionV>
            <wp:extent cx="4751070" cy="1803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1" w:name="page142"/>
    <w:bookmarkEnd w:id="14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Borrowings – (continued)</w:t>
      </w:r>
    </w:p>
    <w:p>
      <w:pPr>
        <w:spacing w:after="0" w:line="121" w:lineRule="exact"/>
        <w:rPr>
          <w:sz w:val="20"/>
          <w:szCs w:val="20"/>
          <w:color w:val="auto"/>
        </w:rPr>
      </w:pPr>
    </w:p>
    <w:p>
      <w:pPr>
        <w:ind w:left="60" w:right="659" w:firstLine="270"/>
        <w:spacing w:after="0" w:line="277" w:lineRule="auto"/>
        <w:rPr>
          <w:sz w:val="20"/>
          <w:szCs w:val="20"/>
          <w:color w:val="auto"/>
        </w:rPr>
      </w:pPr>
      <w:r>
        <w:rPr>
          <w:rFonts w:ascii="Arial" w:cs="Arial" w:eastAsia="Arial" w:hAnsi="Arial"/>
          <w:sz w:val="18"/>
          <w:szCs w:val="18"/>
          <w:color w:val="auto"/>
        </w:rPr>
        <w:t>As of December 31, 2017 and December 31, 2016, the Company’s issued and outstanding SBA-guaranteed debentures mature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9684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Fixed Maturity Date</w:t>
            </w:r>
          </w:p>
        </w:tc>
        <w:tc>
          <w:tcPr>
            <w:tcW w:w="1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SBA Annual</w:t>
            </w:r>
          </w:p>
        </w:tc>
        <w:tc>
          <w:tcPr>
            <w:tcW w:w="16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Charge</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2019</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4.620%</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0.941%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September 1, 2020</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3.215%</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0.285%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4.084%</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0.515%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March 1, 2021</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4.084%</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0.285%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2022</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2.766%</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0.285%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March 1, 2022</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2.766%</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0.515%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2023</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2.351%</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0.515%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170,700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170,700</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Notes</w:t>
      </w:r>
    </w:p>
    <w:p>
      <w:pPr>
        <w:spacing w:after="0" w:line="117" w:lineRule="exact"/>
        <w:rPr>
          <w:sz w:val="20"/>
          <w:szCs w:val="20"/>
          <w:color w:val="auto"/>
        </w:rPr>
      </w:pPr>
    </w:p>
    <w:p>
      <w:pPr>
        <w:ind w:left="60" w:right="579" w:firstLine="270"/>
        <w:spacing w:after="0" w:line="272" w:lineRule="auto"/>
        <w:rPr>
          <w:sz w:val="20"/>
          <w:szCs w:val="20"/>
          <w:color w:val="auto"/>
        </w:rPr>
      </w:pPr>
      <w:r>
        <w:rPr>
          <w:rFonts w:ascii="Arial" w:cs="Arial" w:eastAsia="Arial" w:hAnsi="Arial"/>
          <w:sz w:val="17"/>
          <w:szCs w:val="17"/>
          <w:color w:val="auto"/>
        </w:rPr>
        <w:t>On June 16, 2014, the Company issued $113.4 million in aggregate principal amount of the 2021 Notes. On May 26, 2017, the Company caused notices to be issued to the holders of its 2021 Notes regarding the Company’s exercise of its option to redeem all of the issued and outstanding 2021 Notes. The Company redeemed all $113.4 million in aggregate principal amount of the 2021 Notes on June 25, 2017. The Notes were redeemed at 100% of their principal amount ($25 per Note), plus the accrued and unpaid interest thereon from June 16, 2017, through, but excluding, June 25, 2017. As a result of the redemption, the Company recognized a loss on the extinguishment of debt of $2.7 million for the year ended December 31, 2017 due to the amortization of the deferred financing costs remaining on the 2021 Notes.</w:t>
      </w:r>
    </w:p>
    <w:p>
      <w:pPr>
        <w:spacing w:after="0" w:line="70" w:lineRule="exact"/>
        <w:rPr>
          <w:sz w:val="20"/>
          <w:szCs w:val="20"/>
          <w:color w:val="auto"/>
        </w:rPr>
      </w:pPr>
    </w:p>
    <w:p>
      <w:pPr>
        <w:ind w:left="60" w:right="659" w:firstLine="270"/>
        <w:spacing w:after="0" w:line="342" w:lineRule="auto"/>
        <w:rPr>
          <w:sz w:val="20"/>
          <w:szCs w:val="20"/>
          <w:color w:val="auto"/>
        </w:rPr>
      </w:pPr>
      <w:r>
        <w:rPr>
          <w:rFonts w:ascii="Arial" w:cs="Arial" w:eastAsia="Arial" w:hAnsi="Arial"/>
          <w:sz w:val="16"/>
          <w:szCs w:val="16"/>
          <w:color w:val="auto"/>
        </w:rPr>
        <w:t>The following table summarizes the interest expense, deferred financing costs, average outstanding balance and average stated interest rate on the 2021 Notes for the years ended December 31, 2017, 2016, and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47250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22"/>
              <w:spacing w:after="0"/>
              <w:rPr>
                <w:sz w:val="20"/>
                <w:szCs w:val="20"/>
                <w:color w:val="auto"/>
              </w:rPr>
            </w:pPr>
            <w:r>
              <w:rPr>
                <w:rFonts w:ascii="Arial" w:cs="Arial" w:eastAsia="Arial" w:hAnsi="Arial"/>
                <w:sz w:val="14"/>
                <w:szCs w:val="14"/>
                <w:b w:val="1"/>
                <w:bCs w:val="1"/>
                <w:color w:val="auto"/>
                <w:w w:val="98"/>
              </w:rPr>
              <w:t>For the year ended</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8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00" w:type="dxa"/>
            <w:vAlign w:val="bottom"/>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10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1"/>
        </w:trPr>
        <w:tc>
          <w:tcPr>
            <w:tcW w:w="4380" w:type="dxa"/>
            <w:vAlign w:val="bottom"/>
            <w:vMerge w:val="restart"/>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3,908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8,082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8,082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8"/>
                <w:szCs w:val="18"/>
                <w:color w:val="auto"/>
              </w:rPr>
              <w:t>Total interest and financing expenses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4,201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8,639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8,601</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outstanding balance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53,766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113,438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113,438</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Average stated interest rate</w:t>
            </w: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-462915</wp:posOffset>
            </wp:positionV>
            <wp:extent cx="4751070" cy="1803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2022 Notes</w:t>
      </w:r>
    </w:p>
    <w:p>
      <w:pPr>
        <w:spacing w:after="0" w:line="117" w:lineRule="exact"/>
        <w:rPr>
          <w:sz w:val="20"/>
          <w:szCs w:val="20"/>
          <w:color w:val="auto"/>
        </w:rPr>
      </w:pPr>
    </w:p>
    <w:p>
      <w:pPr>
        <w:ind w:left="60" w:right="579" w:firstLine="270"/>
        <w:spacing w:after="0" w:line="255" w:lineRule="auto"/>
        <w:rPr>
          <w:sz w:val="20"/>
          <w:szCs w:val="20"/>
          <w:color w:val="auto"/>
        </w:rPr>
      </w:pPr>
      <w:r>
        <w:rPr>
          <w:rFonts w:ascii="Arial" w:cs="Arial" w:eastAsia="Arial" w:hAnsi="Arial"/>
          <w:sz w:val="18"/>
          <w:szCs w:val="18"/>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Interest is payable quarterly beginning August 31, 2017.</w:t>
      </w:r>
    </w:p>
    <w:p>
      <w:pPr>
        <w:spacing w:after="0" w:line="200" w:lineRule="exact"/>
        <w:rPr>
          <w:sz w:val="20"/>
          <w:szCs w:val="20"/>
          <w:color w:val="auto"/>
        </w:rPr>
      </w:pPr>
    </w:p>
    <w:p>
      <w:pPr>
        <w:spacing w:after="0" w:line="3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2" w:name="page143"/>
    <w:bookmarkEnd w:id="142"/>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9. Borrowings – (continued)</w:t>
      </w:r>
    </w:p>
    <w:p>
      <w:pPr>
        <w:spacing w:after="0" w:line="121" w:lineRule="exact"/>
        <w:rPr>
          <w:sz w:val="20"/>
          <w:szCs w:val="20"/>
          <w:color w:val="auto"/>
        </w:rPr>
      </w:pPr>
    </w:p>
    <w:p>
      <w:pPr>
        <w:ind w:left="180" w:right="599" w:firstLine="270"/>
        <w:spacing w:after="0" w:line="342" w:lineRule="auto"/>
        <w:rPr>
          <w:sz w:val="20"/>
          <w:szCs w:val="20"/>
          <w:color w:val="auto"/>
        </w:rPr>
      </w:pPr>
      <w:r>
        <w:rPr>
          <w:rFonts w:ascii="Arial" w:cs="Arial" w:eastAsia="Arial" w:hAnsi="Arial"/>
          <w:sz w:val="16"/>
          <w:szCs w:val="16"/>
          <w:color w:val="auto"/>
        </w:rPr>
        <w:t>The following table summarizes the interest expense, deferred financing costs, average outstanding balance, and average stated interest rate on the 2022 Notes for the years ended December 31, 2017, 2016, and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-22860</wp:posOffset>
            </wp:positionV>
            <wp:extent cx="475107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108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98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4300" w:type="dxa"/>
            <w:vAlign w:val="bottom"/>
            <w:vMerge w:val="restart"/>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2,812</w:t>
            </w:r>
          </w:p>
        </w:tc>
        <w:tc>
          <w:tcPr>
            <w:tcW w:w="16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8"/>
                <w:szCs w:val="18"/>
                <w:color w:val="auto"/>
              </w:rPr>
              <w:t>Total interest and financing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3,115</w:t>
            </w: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outstanding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47,137</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Average stated interest rate</w:t>
            </w: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-462915</wp:posOffset>
            </wp:positionV>
            <wp:extent cx="4751070" cy="1803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17" w:lineRule="exact"/>
        <w:rPr>
          <w:sz w:val="20"/>
          <w:szCs w:val="20"/>
          <w:color w:val="auto"/>
        </w:rPr>
      </w:pPr>
    </w:p>
    <w:p>
      <w:pPr>
        <w:ind w:left="180" w:right="639" w:firstLine="270"/>
        <w:spacing w:after="0" w:line="259" w:lineRule="auto"/>
        <w:rPr>
          <w:sz w:val="20"/>
          <w:szCs w:val="20"/>
          <w:color w:val="auto"/>
        </w:rPr>
      </w:pPr>
      <w:r>
        <w:rPr>
          <w:rFonts w:ascii="Arial" w:cs="Arial" w:eastAsia="Arial" w:hAnsi="Arial"/>
          <w:sz w:val="18"/>
          <w:szCs w:val="18"/>
          <w:color w:val="auto"/>
        </w:rPr>
        <w:t>On May 26, 2017, the Company issued $50.0 million in aggregate principal amount of 5.75% fixed-rate convertible notes due on May 31, 2022 (the “2022 Convertible Notes”). On June 26, 2017, the Company issued an additional $2.1 million in aggregate principal amount of the 2022 Convertible Notes pursuant to a partial exercise of the underwriters’ overallotment option. Interest is payable quarterly beginning August 31, 2017.</w:t>
      </w:r>
    </w:p>
    <w:p>
      <w:pPr>
        <w:spacing w:after="0" w:line="79" w:lineRule="exact"/>
        <w:rPr>
          <w:sz w:val="20"/>
          <w:szCs w:val="20"/>
          <w:color w:val="auto"/>
        </w:rPr>
      </w:pPr>
    </w:p>
    <w:p>
      <w:pPr>
        <w:ind w:left="180" w:right="619" w:firstLine="270"/>
        <w:spacing w:after="0" w:line="271" w:lineRule="auto"/>
        <w:rPr>
          <w:sz w:val="20"/>
          <w:szCs w:val="20"/>
          <w:color w:val="auto"/>
        </w:rPr>
      </w:pPr>
      <w:r>
        <w:rPr>
          <w:rFonts w:ascii="Arial" w:cs="Arial" w:eastAsia="Arial" w:hAnsi="Arial"/>
          <w:sz w:val="17"/>
          <w:szCs w:val="17"/>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is initially 1.5913 shares per $25.00 principal amount of 2022 Convertible Notes (equivalent to an initial conversion price of approximately $15.71 per share of common stock). The initial conversion premium is approximately 14.0%.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GAAP.</w:t>
      </w:r>
    </w:p>
    <w:p>
      <w:pPr>
        <w:spacing w:after="0" w:line="71" w:lineRule="exact"/>
        <w:rPr>
          <w:sz w:val="20"/>
          <w:szCs w:val="20"/>
          <w:color w:val="auto"/>
        </w:rPr>
      </w:pPr>
    </w:p>
    <w:p>
      <w:pPr>
        <w:ind w:left="180" w:right="599" w:firstLine="270"/>
        <w:spacing w:after="0" w:line="276"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64" w:lineRule="exact"/>
        <w:rPr>
          <w:sz w:val="20"/>
          <w:szCs w:val="20"/>
          <w:color w:val="auto"/>
        </w:rPr>
      </w:pPr>
    </w:p>
    <w:p>
      <w:pPr>
        <w:ind w:left="180" w:right="599" w:firstLine="270"/>
        <w:spacing w:after="0" w:line="342" w:lineRule="auto"/>
        <w:rPr>
          <w:sz w:val="20"/>
          <w:szCs w:val="20"/>
          <w:color w:val="auto"/>
        </w:rPr>
      </w:pPr>
      <w:r>
        <w:rPr>
          <w:rFonts w:ascii="Arial" w:cs="Arial" w:eastAsia="Arial" w:hAnsi="Arial"/>
          <w:sz w:val="16"/>
          <w:szCs w:val="16"/>
          <w:color w:val="auto"/>
        </w:rPr>
        <w:t>The following table summarizes the interest expense, deferred financing costs, average outstanding balance, and average stated interest rate on the 2022 Convertible Notes for the years ended December 31, 2017, 2016, and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-22860</wp:posOffset>
            </wp:positionV>
            <wp:extent cx="47510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98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108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98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00" w:type="dxa"/>
            <w:vAlign w:val="bottom"/>
            <w:vMerge w:val="restart"/>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Total interest and financing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1,969</w:t>
            </w: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outstanding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31,218</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Average stated interest rate</w:t>
            </w: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1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F-45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-1080135</wp:posOffset>
            </wp:positionV>
            <wp:extent cx="4751070" cy="1803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3" w:name="page144"/>
    <w:bookmarkEnd w:id="14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Borrowings – (continued)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On October 17, 2014, the Company entered into the Credit Facility. On June 16, 2017, the Company entered into an amendment to its Credit Facility with ING Capital, LLC (the “Amendment”). Pursuant to the Amendment, the Credit Facility currently provides for borrowings up to $114.5 million and may be increased up to $200.0 million pursuant to its “accordion” feature. The Credit Facility matures on June 16, 2021.</w:t>
      </w:r>
    </w:p>
    <w:p>
      <w:pPr>
        <w:spacing w:after="0" w:line="79" w:lineRule="exact"/>
        <w:rPr>
          <w:sz w:val="20"/>
          <w:szCs w:val="20"/>
          <w:color w:val="auto"/>
        </w:rPr>
      </w:pPr>
    </w:p>
    <w:p>
      <w:pPr>
        <w:ind w:left="60" w:right="519" w:firstLine="270"/>
        <w:spacing w:after="0" w:line="286" w:lineRule="auto"/>
        <w:rPr>
          <w:sz w:val="20"/>
          <w:szCs w:val="20"/>
          <w:color w:val="auto"/>
        </w:rPr>
      </w:pPr>
      <w:r>
        <w:rPr>
          <w:rFonts w:ascii="Arial" w:cs="Arial" w:eastAsia="Arial" w:hAnsi="Arial"/>
          <w:sz w:val="16"/>
          <w:szCs w:val="16"/>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Amendment provides for the ability to step-down the pricing of the Credit Facility from LIBOR plus 3.00% to LIBOR plus 2.75% when certain conditions are met.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64" w:lineRule="exact"/>
        <w:rPr>
          <w:sz w:val="20"/>
          <w:szCs w:val="20"/>
          <w:color w:val="auto"/>
        </w:rPr>
      </w:pPr>
    </w:p>
    <w:p>
      <w:pPr>
        <w:jc w:val="both"/>
        <w:ind w:left="60" w:right="719" w:firstLine="270"/>
        <w:spacing w:after="0" w:line="264" w:lineRule="auto"/>
        <w:rPr>
          <w:sz w:val="20"/>
          <w:szCs w:val="20"/>
          <w:color w:val="auto"/>
        </w:rPr>
      </w:pPr>
      <w:r>
        <w:rPr>
          <w:rFonts w:ascii="Arial" w:cs="Arial" w:eastAsia="Arial" w:hAnsi="Arial"/>
          <w:sz w:val="18"/>
          <w:szCs w:val="18"/>
          <w:color w:val="auto"/>
        </w:rPr>
        <w:t>The following table summarizes the interest expense, deferred financing costs, unused commitment fees, average outstanding balance, and average stated interest rate on the Credit Facility for the years ended December 31, 2017, 2016, and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339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w w:val="97"/>
              </w:rPr>
              <w:t>For the year ended</w:t>
            </w: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8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8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10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4420" w:type="dxa"/>
            <w:vAlign w:val="bottom"/>
            <w:vMerge w:val="restart"/>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2,303</w:t>
            </w:r>
          </w:p>
        </w:tc>
        <w:tc>
          <w:tcPr>
            <w:tcW w:w="16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Unused commitment fees</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and financing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3,572</w:t>
            </w:r>
          </w:p>
        </w:tc>
        <w:tc>
          <w:tcPr>
            <w:tcW w:w="3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color w:val="auto"/>
              </w:rPr>
              <w:t>Average outstanding balance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22,493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64,625</w:t>
            </w:r>
          </w:p>
        </w:tc>
        <w:tc>
          <w:tcPr>
            <w:tcW w:w="3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21,860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stated interest rate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-307975</wp:posOffset>
            </wp:positionV>
            <wp:extent cx="4751070"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72" w:lineRule="auto"/>
        <w:rPr>
          <w:sz w:val="20"/>
          <w:szCs w:val="20"/>
          <w:color w:val="auto"/>
        </w:rPr>
      </w:pPr>
      <w:r>
        <w:rPr>
          <w:rFonts w:ascii="Arial" w:cs="Arial" w:eastAsia="Arial" w:hAnsi="Arial"/>
          <w:sz w:val="17"/>
          <w:szCs w:val="17"/>
          <w:color w:val="auto"/>
        </w:rPr>
        <w:t>As of December 31, 2017 and 2016, the Company had $9.0 million and $44.0 million, respectively, outstanding under the Credit Facility. The Credit Facility is secured by investments and cash held by Capitala Finance Corp., exclusive of assets held at our two SBIC subsidiaries. Assets pledged to secure the Credit Facility had a carrying value of $192.4 million at December 31, 2017.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200" w:lineRule="exact"/>
        <w:rPr>
          <w:sz w:val="20"/>
          <w:szCs w:val="20"/>
          <w:color w:val="auto"/>
        </w:rPr>
      </w:pPr>
    </w:p>
    <w:p>
      <w:pPr>
        <w:spacing w:after="0" w:line="3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4" w:name="page145"/>
    <w:bookmarkEnd w:id="14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The Company has elected to be treated as a RIC under subchapter M of the Code. As a RIC, the Company is not taxed on any investment company taxable income or capital gains which it distributes to stockholders. The Company intends to make the requisite distributions to its stockholders which will relieve the Company from U.S. federal income taxes. The Company’s tax year-end is August 31.</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Dividends from net investment income and distributions from net realized capital gains are determined in accordance with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federal tax regulations, which may differ from amounts in accordance with U.S. GAAP and those differences could be material.</w:t>
      </w:r>
    </w:p>
    <w:p>
      <w:pPr>
        <w:spacing w:after="0" w:line="126" w:lineRule="exact"/>
        <w:rPr>
          <w:sz w:val="20"/>
          <w:szCs w:val="20"/>
          <w:color w:val="auto"/>
        </w:rPr>
      </w:pPr>
    </w:p>
    <w:p>
      <w:pPr>
        <w:ind w:left="60" w:right="599" w:firstLine="270"/>
        <w:spacing w:after="0" w:line="293" w:lineRule="auto"/>
        <w:rPr>
          <w:sz w:val="20"/>
          <w:szCs w:val="20"/>
          <w:color w:val="auto"/>
        </w:rPr>
      </w:pPr>
      <w:r>
        <w:rPr>
          <w:rFonts w:ascii="Arial" w:cs="Arial" w:eastAsia="Arial" w:hAnsi="Arial"/>
          <w:sz w:val="16"/>
          <w:szCs w:val="16"/>
          <w:color w:val="auto"/>
        </w:rPr>
        <w:t>Permanent differences between taxable income and net investment income for financial reporting purposes are reclassified among the capital accounts in the financial statements to reflect their tax character. During the years ended December 31, 2017, 2016, and 2015, the Company reclassified for book purposes amounts arising from permanent differences in the book and tax basis of partnership investments sold, sales relating to defaulted bond accruals, and book and tax character of distributions paid. Such reclassifications are reported in “Tax reclassifications of stockholders’ equity in accordance with generally accepted accounting principles” in the statements of changes in net assets for years ended December 31, 2017, 2016, and 2015, respectively.</w:t>
      </w:r>
    </w:p>
    <w:p>
      <w:pPr>
        <w:spacing w:after="0" w:line="57" w:lineRule="exact"/>
        <w:rPr>
          <w:sz w:val="20"/>
          <w:szCs w:val="20"/>
          <w:color w:val="auto"/>
        </w:rPr>
      </w:pPr>
    </w:p>
    <w:p>
      <w:pPr>
        <w:ind w:left="60" w:right="599" w:firstLine="270"/>
        <w:spacing w:after="0" w:line="286" w:lineRule="auto"/>
        <w:rPr>
          <w:sz w:val="20"/>
          <w:szCs w:val="20"/>
          <w:color w:val="auto"/>
        </w:rPr>
      </w:pPr>
      <w:r>
        <w:rPr>
          <w:rFonts w:ascii="Arial" w:cs="Arial" w:eastAsia="Arial" w:hAnsi="Arial"/>
          <w:sz w:val="17"/>
          <w:szCs w:val="17"/>
          <w:color w:val="auto"/>
        </w:rPr>
        <w:t>The following permanent differences due to adjustments for the realized gains (losses) upon disposition of partnership interests and for the transfer of distributions between accumulated capital gains and accumulated net investment income were reclassified for tax purposes for the tax years ended August 31, 2017, 2016, and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475107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Tax year</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Tax year</w:t>
            </w:r>
          </w:p>
        </w:tc>
      </w:tr>
      <w:tr>
        <w:trPr>
          <w:trHeight w:val="149"/>
        </w:trPr>
        <w:tc>
          <w:tcPr>
            <w:tcW w:w="48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48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August 31,</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48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accumulated net investment income</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  (67)</w:t>
            </w:r>
          </w:p>
        </w:tc>
        <w:tc>
          <w:tcPr>
            <w:tcW w:w="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$ 13,838</w:t>
            </w:r>
          </w:p>
        </w:tc>
        <w:tc>
          <w:tcPr>
            <w:tcW w:w="10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  (3,398)</w:t>
            </w:r>
          </w:p>
        </w:tc>
      </w:tr>
      <w:tr>
        <w:trPr>
          <w:trHeight w:val="202"/>
        </w:trPr>
        <w:tc>
          <w:tcPr>
            <w:tcW w:w="4840" w:type="dxa"/>
            <w:vAlign w:val="bottom"/>
          </w:tcPr>
          <w:p>
            <w:pPr>
              <w:ind w:left="20"/>
              <w:spacing w:after="0" w:line="201" w:lineRule="exact"/>
              <w:rPr>
                <w:sz w:val="20"/>
                <w:szCs w:val="20"/>
                <w:color w:val="auto"/>
              </w:rPr>
            </w:pPr>
            <w:r>
              <w:rPr>
                <w:rFonts w:ascii="Arial" w:cs="Arial" w:eastAsia="Arial" w:hAnsi="Arial"/>
                <w:sz w:val="18"/>
                <w:szCs w:val="18"/>
                <w:color w:val="auto"/>
              </w:rPr>
              <w:t>Increase (decrease) in accumulated net realized gains on</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48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720" w:type="dxa"/>
            <w:vAlign w:val="bottom"/>
          </w:tcPr>
          <w:p>
            <w:pPr>
              <w:jc w:val="right"/>
              <w:ind w:right="120"/>
              <w:spacing w:after="0"/>
              <w:rPr>
                <w:sz w:val="20"/>
                <w:szCs w:val="20"/>
                <w:color w:val="auto"/>
              </w:rPr>
            </w:pPr>
            <w:r>
              <w:rPr>
                <w:rFonts w:ascii="Arial" w:cs="Arial" w:eastAsia="Arial" w:hAnsi="Arial"/>
                <w:sz w:val="18"/>
                <w:szCs w:val="18"/>
                <w:color w:val="auto"/>
              </w:rPr>
              <w:t>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(13,816)</w:t>
            </w:r>
          </w:p>
        </w:tc>
        <w:tc>
          <w:tcPr>
            <w:tcW w:w="1000" w:type="dxa"/>
            <w:vAlign w:val="bottom"/>
            <w:gridSpan w:val="2"/>
          </w:tcPr>
          <w:p>
            <w:pPr>
              <w:jc w:val="right"/>
              <w:ind w:right="84"/>
              <w:spacing w:after="0"/>
              <w:rPr>
                <w:sz w:val="20"/>
                <w:szCs w:val="20"/>
                <w:color w:val="auto"/>
              </w:rPr>
            </w:pPr>
            <w:r>
              <w:rPr>
                <w:rFonts w:ascii="Arial" w:cs="Arial" w:eastAsia="Arial" w:hAnsi="Arial"/>
                <w:sz w:val="18"/>
                <w:szCs w:val="18"/>
                <w:color w:val="auto"/>
              </w:rPr>
              <w:t>3,398</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capital in excess of par value</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60" w:right="779" w:firstLine="270"/>
        <w:spacing w:after="0" w:line="277" w:lineRule="auto"/>
        <w:rPr>
          <w:sz w:val="20"/>
          <w:szCs w:val="20"/>
          <w:color w:val="auto"/>
        </w:rPr>
      </w:pPr>
      <w:r>
        <w:rPr>
          <w:rFonts w:ascii="Arial" w:cs="Arial" w:eastAsia="Arial" w:hAnsi="Arial"/>
          <w:sz w:val="18"/>
          <w:szCs w:val="18"/>
          <w:color w:val="auto"/>
        </w:rPr>
        <w:t>For the tax years ended August 31, 2017, 2016, and 2015, the tax basis components of distributable earnings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421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476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auto"/>
            </w:tcBorders>
          </w:tcPr>
          <w:p>
            <w:pPr>
              <w:spacing w:after="0"/>
              <w:rPr>
                <w:sz w:val="14"/>
                <w:szCs w:val="14"/>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ordinary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Accumulated capital gains (losses)</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(43,618)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(44,296)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8,378</w:t>
            </w: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25,994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25,269</w:t>
            </w: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Other temporary differences</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(8,276)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(8,196)</w:t>
            </w: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(16,901)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25,451</w:t>
            </w: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719" w:firstLine="270"/>
        <w:spacing w:after="0" w:line="279" w:lineRule="auto"/>
        <w:rPr>
          <w:sz w:val="20"/>
          <w:szCs w:val="20"/>
          <w:color w:val="auto"/>
        </w:rPr>
      </w:pPr>
      <w:r>
        <w:rPr>
          <w:rFonts w:ascii="Arial" w:cs="Arial" w:eastAsia="Arial" w:hAnsi="Arial"/>
          <w:sz w:val="17"/>
          <w:szCs w:val="17"/>
          <w:color w:val="auto"/>
        </w:rPr>
        <w:t>Capital losses in excess of capital gains earned in a tax year may generally be carried forward and used to offset capital gains, subject to certain limitations. Under the Regulated Investment Company Modernization Act of 2010, capital losses incurred after September 30, 2011 will not be subject to expiration. As of August 31, 2017, the Company has a short-term capital loss carry forward of $3.2 million and a long-term capital loss carry forward of $40.4 million.</w:t>
      </w:r>
    </w:p>
    <w:p>
      <w:pPr>
        <w:spacing w:after="0" w:line="63" w:lineRule="exact"/>
        <w:rPr>
          <w:sz w:val="20"/>
          <w:szCs w:val="20"/>
          <w:color w:val="auto"/>
        </w:rPr>
      </w:pPr>
    </w:p>
    <w:p>
      <w:pPr>
        <w:ind w:left="60" w:right="899" w:firstLine="270"/>
        <w:spacing w:after="0" w:line="277" w:lineRule="auto"/>
        <w:rPr>
          <w:sz w:val="20"/>
          <w:szCs w:val="20"/>
          <w:color w:val="auto"/>
        </w:rPr>
      </w:pPr>
      <w:r>
        <w:rPr>
          <w:rFonts w:ascii="Arial" w:cs="Arial" w:eastAsia="Arial" w:hAnsi="Arial"/>
          <w:sz w:val="18"/>
          <w:szCs w:val="18"/>
          <w:color w:val="auto"/>
        </w:rPr>
        <w:t>Taxable income generally differs from net increase (decrease) in net assets resulting from operations for financial reporting purposes due to temporary and permanent differences in the recognition of income and</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5" w:name="page146"/>
    <w:bookmarkEnd w:id="14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Income Taxes – (continued)</w:t>
      </w:r>
    </w:p>
    <w:p>
      <w:pPr>
        <w:spacing w:after="0" w:line="121" w:lineRule="exact"/>
        <w:rPr>
          <w:sz w:val="20"/>
          <w:szCs w:val="20"/>
          <w:color w:val="auto"/>
        </w:rPr>
      </w:pPr>
    </w:p>
    <w:p>
      <w:pPr>
        <w:ind w:left="60" w:right="999"/>
        <w:spacing w:after="0" w:line="277" w:lineRule="auto"/>
        <w:rPr>
          <w:sz w:val="20"/>
          <w:szCs w:val="20"/>
          <w:color w:val="auto"/>
        </w:rPr>
      </w:pPr>
      <w:r>
        <w:rPr>
          <w:rFonts w:ascii="Arial" w:cs="Arial" w:eastAsia="Arial" w:hAnsi="Arial"/>
          <w:sz w:val="18"/>
          <w:szCs w:val="18"/>
          <w:color w:val="auto"/>
        </w:rPr>
        <w:t>expenses and generally excludes unrealized appreciation (depreciation) on investments as investment gains and losses are not included in taxable income until they are realized.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net increase in net assets resulting from operations to taxable income for the tax years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31, 2017, 2016 and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475107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Tax year</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Tax year</w:t>
            </w:r>
          </w:p>
        </w:tc>
      </w:tr>
      <w:tr>
        <w:trPr>
          <w:trHeight w:val="149"/>
        </w:trPr>
        <w:tc>
          <w:tcPr>
            <w:tcW w:w="4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484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August 31,</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4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$ 10,291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10,983</w:t>
            </w:r>
          </w:p>
        </w:tc>
      </w:tr>
      <w:tr>
        <w:trPr>
          <w:trHeight w:val="202"/>
        </w:trPr>
        <w:tc>
          <w:tcPr>
            <w:tcW w:w="4840" w:type="dxa"/>
            <w:vAlign w:val="bottom"/>
          </w:tcPr>
          <w:p>
            <w:pPr>
              <w:ind w:left="20"/>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840" w:type="dxa"/>
            <w:vAlign w:val="bottom"/>
          </w:tcPr>
          <w:p>
            <w:pPr>
              <w:ind w:left="200"/>
              <w:spacing w:after="0"/>
              <w:rPr>
                <w:sz w:val="20"/>
                <w:szCs w:val="20"/>
                <w:color w:val="auto"/>
              </w:rPr>
            </w:pPr>
            <w:r>
              <w:rPr>
                <w:rFonts w:ascii="Arial" w:cs="Arial" w:eastAsia="Arial" w:hAnsi="Arial"/>
                <w:sz w:val="18"/>
                <w:szCs w:val="18"/>
                <w:color w:val="auto"/>
              </w:rPr>
              <w:t>investments and written call option</w:t>
            </w:r>
          </w:p>
        </w:tc>
        <w:tc>
          <w:tcPr>
            <w:tcW w:w="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18,518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(20,809)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35,557</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loss carryforward (utilization)</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44,296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(7,565)</w:t>
            </w: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Other deductions for book in excess of deductions for tax</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9,053</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(3,654)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4,488</w:t>
            </w:r>
          </w:p>
        </w:tc>
      </w:tr>
      <w:tr>
        <w:trPr>
          <w:trHeight w:val="20"/>
        </w:trPr>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taxable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28,539</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$ 30,124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43,463</w:t>
            </w:r>
          </w:p>
        </w:tc>
      </w:tr>
      <w:tr>
        <w:trPr>
          <w:trHeight w:val="20"/>
        </w:trPr>
        <w:tc>
          <w:tcPr>
            <w:tcW w:w="4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For income tax purposes, distributions paid to stockholders are reported as ordinary income, return of capital, long term capital gains or a combination thereof. The tax character of distributions paid for the tax years ended August 31, 2017, 2016, and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339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Tax year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Tax year</w:t>
            </w:r>
          </w:p>
        </w:tc>
      </w:tr>
      <w:tr>
        <w:trPr>
          <w:trHeight w:val="149"/>
        </w:trPr>
        <w:tc>
          <w:tcPr>
            <w:tcW w:w="48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48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August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48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4"/>
                <w:szCs w:val="14"/>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$ 25,187</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$ 24,478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25,063</w:t>
            </w: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Long-term capital gains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8,378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10,705</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$ 25,187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$ 32,856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35,768</w:t>
            </w:r>
          </w:p>
        </w:tc>
      </w:tr>
      <w:tr>
        <w:trPr>
          <w:trHeight w:val="21"/>
        </w:trPr>
        <w:tc>
          <w:tcPr>
            <w:tcW w:w="4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For U.S. federal income tax purposes, as of August 31, 2017, the aggregate net unrealized appreciation for all securities was</w:t>
      </w:r>
    </w:p>
    <w:p>
      <w:pPr>
        <w:spacing w:after="0" w:line="35" w:lineRule="exact"/>
        <w:rPr>
          <w:sz w:val="20"/>
          <w:szCs w:val="20"/>
          <w:color w:val="auto"/>
        </w:rPr>
      </w:pPr>
    </w:p>
    <w:p>
      <w:pPr>
        <w:ind w:left="60" w:right="559"/>
        <w:spacing w:after="0" w:line="290" w:lineRule="auto"/>
        <w:rPr>
          <w:sz w:val="20"/>
          <w:szCs w:val="20"/>
          <w:color w:val="auto"/>
        </w:rPr>
      </w:pPr>
      <w:r>
        <w:rPr>
          <w:rFonts w:ascii="Arial" w:cs="Arial" w:eastAsia="Arial" w:hAnsi="Arial"/>
          <w:sz w:val="17"/>
          <w:szCs w:val="17"/>
          <w:color w:val="auto"/>
        </w:rPr>
        <w:t>$26.0 million. As of August 31, 2017, gross unrealized appreciation was $72.6 million and gross unrealized depreciation was $46.6 million. The aggregate cost of securities for U.S. federal income tax purposes was $450.1 million.</w:t>
      </w:r>
    </w:p>
    <w:p>
      <w:pPr>
        <w:spacing w:after="0" w:line="53"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The Company has formed and expects to continue to form certain Taxable Subsidiaries, which are taxed as corporations for income tax purposes. These Taxable Subsidiaries allow the Company to make equity investments in companies organized as pass-through entities while continuing to satisfy the requirements of a RIC under the Code. The Taxable Subsidiaries are wholly owned consolidated subsidiaries of the Company.</w:t>
      </w:r>
    </w:p>
    <w:p>
      <w:pPr>
        <w:spacing w:after="0" w:line="79" w:lineRule="exact"/>
        <w:rPr>
          <w:sz w:val="20"/>
          <w:szCs w:val="20"/>
          <w:color w:val="auto"/>
        </w:rPr>
      </w:pPr>
    </w:p>
    <w:p>
      <w:pPr>
        <w:ind w:left="60" w:right="599" w:firstLine="270"/>
        <w:spacing w:after="0" w:line="276" w:lineRule="auto"/>
        <w:rPr>
          <w:sz w:val="20"/>
          <w:szCs w:val="20"/>
          <w:color w:val="auto"/>
        </w:rPr>
      </w:pPr>
      <w:r>
        <w:rPr>
          <w:rFonts w:ascii="Arial" w:cs="Arial" w:eastAsia="Arial" w:hAnsi="Arial"/>
          <w:sz w:val="17"/>
          <w:szCs w:val="17"/>
          <w:color w:val="auto"/>
        </w:rPr>
        <w:t>The Company acquired the non-controlling interest in Print Direction, Inc. on December 1, 2017 and converted the entity to CPTA Master Blocker, Inc. (Georgia), retaining its net operating losses in the transaction pursuant to Section 382 of the Code. As of December 31, 2017, the Taxable Subsidiaries had net operating losses for federal income tax purposes of approximately $8.9 million. If not utilized, $6.5 million of these net operating losses will expire in the year ended December 31, 2037 and $2.4 million of these net operating losses will expire in the year ended December 31, 2036.</w:t>
      </w:r>
    </w:p>
    <w:p>
      <w:pPr>
        <w:spacing w:after="0" w:line="64" w:lineRule="exact"/>
        <w:rPr>
          <w:sz w:val="20"/>
          <w:szCs w:val="20"/>
          <w:color w:val="auto"/>
        </w:rPr>
      </w:pPr>
    </w:p>
    <w:p>
      <w:pPr>
        <w:ind w:left="60" w:right="559" w:firstLine="270"/>
        <w:spacing w:after="0" w:line="273" w:lineRule="auto"/>
        <w:rPr>
          <w:sz w:val="20"/>
          <w:szCs w:val="20"/>
          <w:color w:val="auto"/>
        </w:rPr>
      </w:pPr>
      <w:r>
        <w:rPr>
          <w:rFonts w:ascii="Arial" w:cs="Arial" w:eastAsia="Arial" w:hAnsi="Arial"/>
          <w:sz w:val="17"/>
          <w:szCs w:val="17"/>
          <w:color w:val="auto"/>
        </w:rPr>
        <w:t>On December 22, 2017, the United States enacted tax reform legislation through the Tax Cuts and Jobs Act, which significantly changes the existing U.S. tax laws, including a reduction in the corporate tax rate from 35% to 21%, a move from a worldwide tax system to a territorial system, as well as other changes. The Taxable Subsidiaries’ provisional tax is based on the new lower blended federal and state corporate tax rate of 25%. This estimate incorporates assumptions made based on the Taxable Subsidiaries’ current interpretation of the Tax Act and may change, possibly materially, as we complete our analysis and receive additional clarification and implementation guidance.</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6" w:name="page147"/>
    <w:bookmarkEnd w:id="14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10. Income Taxes – (continued)</w:t>
      </w:r>
    </w:p>
    <w:p>
      <w:pPr>
        <w:spacing w:after="0" w:line="121" w:lineRule="exact"/>
        <w:rPr>
          <w:sz w:val="20"/>
          <w:szCs w:val="20"/>
          <w:color w:val="auto"/>
        </w:rPr>
      </w:pPr>
    </w:p>
    <w:p>
      <w:pPr>
        <w:jc w:val="both"/>
        <w:ind w:left="180" w:right="739" w:firstLine="270"/>
        <w:spacing w:after="0" w:line="264"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 of assets and liabilities for financial reporting and tax purposes. Components of deferred tax assets (liabilities) as of December 31, 2017 and 2016 are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47510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2,216</w:t>
            </w:r>
          </w:p>
        </w:tc>
        <w:tc>
          <w:tcPr>
            <w:tcW w:w="38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valuation allowance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ind w:left="200"/>
              <w:spacing w:after="0"/>
              <w:rPr>
                <w:sz w:val="20"/>
                <w:szCs w:val="20"/>
                <w:color w:val="auto"/>
              </w:rPr>
            </w:pPr>
            <w:r>
              <w:rPr>
                <w:rFonts w:ascii="Arial" w:cs="Arial" w:eastAsia="Arial" w:hAnsi="Arial"/>
                <w:sz w:val="18"/>
                <w:szCs w:val="18"/>
                <w:color w:val="auto"/>
              </w:rPr>
              <w:t>Net unrealized appreciation on investments</w:t>
            </w: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Basis reduction in partnership investments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-882650</wp:posOffset>
            </wp:positionV>
            <wp:extent cx="4751070" cy="1460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-325120</wp:posOffset>
            </wp:positionV>
            <wp:extent cx="4751070" cy="154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-33655</wp:posOffset>
            </wp:positionV>
            <wp:extent cx="475107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180" w:right="659" w:firstLine="270"/>
        <w:spacing w:after="0" w:line="257" w:lineRule="auto"/>
        <w:rPr>
          <w:sz w:val="20"/>
          <w:szCs w:val="20"/>
          <w:color w:val="auto"/>
        </w:rPr>
      </w:pPr>
      <w:r>
        <w:rPr>
          <w:rFonts w:ascii="Arial" w:cs="Arial" w:eastAsia="Arial" w:hAnsi="Arial"/>
          <w:sz w:val="18"/>
          <w:szCs w:val="18"/>
          <w:color w:val="auto"/>
        </w:rPr>
        <w:t>At December 31, 2017, the valuation allowance on deferred tax assets was $0.4 million which represents the state tax effect of net operating losses that we do not believe we will realize through future taxable income. The Company believes it is more likely than not that there is an ability to realize its remaining deferred tax assets through future table income. Any adjustments to the Company’s valuation allowance will depend on estimates of future taxable income and will be made in the period such determination is made.</w:t>
      </w:r>
    </w:p>
    <w:p>
      <w:pPr>
        <w:spacing w:after="0" w:line="80" w:lineRule="exact"/>
        <w:rPr>
          <w:sz w:val="20"/>
          <w:szCs w:val="20"/>
          <w:color w:val="auto"/>
        </w:rPr>
      </w:pPr>
    </w:p>
    <w:p>
      <w:pPr>
        <w:jc w:val="both"/>
        <w:ind w:left="180" w:right="639" w:firstLine="270"/>
        <w:spacing w:after="0" w:line="264" w:lineRule="auto"/>
        <w:rPr>
          <w:sz w:val="20"/>
          <w:szCs w:val="20"/>
          <w:color w:val="auto"/>
        </w:rPr>
      </w:pPr>
      <w:r>
        <w:rPr>
          <w:rFonts w:ascii="Arial" w:cs="Arial" w:eastAsia="Arial" w:hAnsi="Arial"/>
          <w:sz w:val="18"/>
          <w:szCs w:val="18"/>
          <w:color w:val="auto"/>
        </w:rPr>
        <w:t>Total income tax expense (benefit) differs from the amount computed by applying the federal statutory income tax rate of 35% to net investment loss and net realized and unrealized appreciation (depreciation) on investments for the year ended December 31, 2017, 2016, and 2015,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47510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at statutory rates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State income tax expense (net of federal benefit)</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on net operating losses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Tax expense on permanent items</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Revaluation for federal rate change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tax provision, net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475107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income taxes are computed by applying the federal statutory rate of 35% plus an estimated blended state rate of 4%.</w:t>
      </w:r>
    </w:p>
    <w:p>
      <w:pPr>
        <w:spacing w:after="0" w:line="140" w:lineRule="exact"/>
        <w:rPr>
          <w:sz w:val="20"/>
          <w:szCs w:val="20"/>
          <w:color w:val="auto"/>
        </w:rPr>
      </w:pPr>
    </w:p>
    <w:p>
      <w:pPr>
        <w:ind w:left="180" w:right="599" w:firstLine="270"/>
        <w:spacing w:after="0" w:line="277" w:lineRule="auto"/>
        <w:rPr>
          <w:sz w:val="20"/>
          <w:szCs w:val="20"/>
          <w:color w:val="auto"/>
        </w:rPr>
      </w:pPr>
      <w:r>
        <w:rPr>
          <w:rFonts w:ascii="Arial" w:cs="Arial" w:eastAsia="Arial" w:hAnsi="Arial"/>
          <w:sz w:val="18"/>
          <w:szCs w:val="18"/>
          <w:color w:val="auto"/>
        </w:rPr>
        <w:t>For the years ended December 31, 2017, 2016 and 2015, the components of the Company’s tax provision include the following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expense</w:t>
            </w: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778</w:t>
            </w:r>
          </w:p>
        </w:tc>
        <w:tc>
          <w:tcPr>
            <w:tcW w:w="34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Federal</w:t>
            </w:r>
          </w:p>
        </w:tc>
        <w:tc>
          <w:tcPr>
            <w:tcW w:w="20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Less valuation allowance</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tax provision, net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4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F-49</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4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4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-668020</wp:posOffset>
            </wp:positionV>
            <wp:extent cx="475107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Directors Fees</w:t>
      </w:r>
    </w:p>
    <w:p>
      <w:pPr>
        <w:spacing w:after="0" w:line="12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years ended December 31, 2017, 2016 and 2015, the Company recognized directors fees expense of $0.4 million. No compensation is expected to be paid to directors who are “interested persons” of the Company, as such term is defined in Section 2(a)(19) of the 1940 Act.</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Stockholders’ Equity</w:t>
      </w:r>
    </w:p>
    <w:p>
      <w:pPr>
        <w:spacing w:after="0" w:line="121"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On September 24, 2013, we issued 8,974,420 shares of common stock to the limited partners of the Legacy Funds, in exchange for 100% of their membership interests or certain investment assets of such Legacy Funds, as the case may be. On September 30, 2013, we issued 4,000,000 shares of common stock in connection with the closing of our IPO. The shares issued in the IPO were priced at $20.00 per share. We received proceeds of $74.25 million in the IPO, net of underwriters’ discounts and commissions of $5.75 million.</w:t>
      </w:r>
    </w:p>
    <w:p>
      <w:pPr>
        <w:spacing w:after="0" w:line="80" w:lineRule="exact"/>
        <w:rPr>
          <w:sz w:val="20"/>
          <w:szCs w:val="20"/>
          <w:color w:val="auto"/>
        </w:rPr>
      </w:pPr>
    </w:p>
    <w:p>
      <w:pPr>
        <w:ind w:left="40" w:right="579" w:firstLine="270"/>
        <w:spacing w:after="0" w:line="312" w:lineRule="auto"/>
        <w:rPr>
          <w:sz w:val="20"/>
          <w:szCs w:val="20"/>
          <w:color w:val="auto"/>
        </w:rPr>
      </w:pPr>
      <w:r>
        <w:rPr>
          <w:rFonts w:ascii="Arial" w:cs="Arial" w:eastAsia="Arial" w:hAnsi="Arial"/>
          <w:sz w:val="16"/>
          <w:szCs w:val="16"/>
          <w:color w:val="auto"/>
        </w:rPr>
        <w:t>On April 13, 2015, the Company completed an underwritten offering of 3,500,000 shares of its common stock at a public offering price of $18.32 per share. The total proceeds received in the offering net of underwriting discounts and offering costs were approximately $61.7 million. As of December 31, 2017, the Company had 15,951,231 shares of common stock outstanding.</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w:t>
      </w:r>
    </w:p>
    <w:p>
      <w:pPr>
        <w:spacing w:after="0" w:line="121"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 Company holds a control interest, as defined by the 1940 Act, in five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December 31, 2017 and December 31, 2016, and for the three years in the period then ended.</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117"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income the Company generated from CableOrganizer Acquisition, LLC, which includes all interest, dividends, PIK interest and PIK dividends, fees, and unrealized appreciation (depreciation), was $1.8 million, $1.9 million, and $0.4 million for the years ended December 31, 2017, December 31, 2016, and December 31, 2015, respectively.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PIK dividends, fees, and unrealized appreciation (depreciation), was $11.4 million and $14.3 million for the years ended December 31, 2017 and December 31, 2016, respectively. The Company invested in the portfolio company in January 2016. As such, comparative financial information for the year ended December 31, 2015 is not presented.</w:t>
      </w:r>
    </w:p>
    <w:p>
      <w:pPr>
        <w:spacing w:after="0" w:line="200" w:lineRule="exact"/>
        <w:rPr>
          <w:sz w:val="20"/>
          <w:szCs w:val="20"/>
          <w:color w:val="auto"/>
        </w:rPr>
      </w:pPr>
    </w:p>
    <w:p>
      <w:pPr>
        <w:spacing w:after="0" w:line="3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8" w:name="page149"/>
    <w:bookmarkEnd w:id="14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 – (continued)</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Kelle’s Transport Service, LLC</w:t>
      </w:r>
    </w:p>
    <w:p>
      <w:pPr>
        <w:spacing w:after="0" w:line="117" w:lineRule="exact"/>
        <w:rPr>
          <w:sz w:val="20"/>
          <w:szCs w:val="20"/>
          <w:color w:val="auto"/>
        </w:rPr>
      </w:pPr>
    </w:p>
    <w:p>
      <w:pPr>
        <w:ind w:left="180" w:right="599" w:firstLine="270"/>
        <w:spacing w:after="0" w:line="257" w:lineRule="auto"/>
        <w:rPr>
          <w:sz w:val="20"/>
          <w:szCs w:val="20"/>
          <w:color w:val="auto"/>
        </w:rPr>
      </w:pPr>
      <w:r>
        <w:rPr>
          <w:rFonts w:ascii="Arial" w:cs="Arial" w:eastAsia="Arial" w:hAnsi="Arial"/>
          <w:sz w:val="18"/>
          <w:szCs w:val="18"/>
          <w:color w:val="auto"/>
        </w:rPr>
        <w:t>Kelle’s Transport Service, LLC, a Delaware limited liability company organized on March 28, 2014, provides temperature sensitive transportation services throughout North America. The income (loss) the Company generated from Kelle’s Transport Service, LLC, which includes all interest, dividends, PIK interest and PIK dividends, fees, realized losses, and unrealized appreciation (depreciation), was $(6.9) million, $(1.2) million, and $3.0 million for the years ended December 31, 2017, December 31, 2016, and December 31, 2015, respectively.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117" w:lineRule="exact"/>
        <w:rPr>
          <w:sz w:val="20"/>
          <w:szCs w:val="20"/>
          <w:color w:val="auto"/>
        </w:rPr>
      </w:pPr>
    </w:p>
    <w:p>
      <w:pPr>
        <w:ind w:left="180" w:right="699" w:firstLine="270"/>
        <w:spacing w:after="0" w:line="30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PIK dividends, fees, and unrealized appreciation (depreciation) was $0.7 million, $1.9 million, and $4.2 million for the years ended December 31, 2017, December 31, 2016, and December 31, 2015, respectively.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On-Site Fuel Services, Inc.</w:t>
      </w:r>
    </w:p>
    <w:p>
      <w:pPr>
        <w:spacing w:after="0" w:line="117" w:lineRule="exact"/>
        <w:rPr>
          <w:sz w:val="20"/>
          <w:szCs w:val="20"/>
          <w:color w:val="auto"/>
        </w:rPr>
      </w:pPr>
    </w:p>
    <w:p>
      <w:pPr>
        <w:ind w:left="180" w:right="559" w:firstLine="270"/>
        <w:spacing w:after="0" w:line="297" w:lineRule="auto"/>
        <w:rPr>
          <w:sz w:val="20"/>
          <w:szCs w:val="20"/>
          <w:color w:val="auto"/>
        </w:rPr>
      </w:pPr>
      <w:r>
        <w:rPr>
          <w:rFonts w:ascii="Arial" w:cs="Arial" w:eastAsia="Arial" w:hAnsi="Arial"/>
          <w:sz w:val="16"/>
          <w:szCs w:val="16"/>
          <w:color w:val="auto"/>
        </w:rPr>
        <w:t>On-Site Fuel Services, Inc. is a 100% owned subsidiary of On-Site Fuel Holdings, Inc., which was incorporated in Delaware on December 19, 2011. On-Site Fuel Services, Inc. provides fueling services for commercial and government vehicle fleets throughout the southeast U.S. The income (loss) the Company generated from On-Site Fuel Service, Inc., which includes all interest, dividends, PIK interest and PIK dividends, fees, and unrealized appreciation (depreciation), was $0.1 million, $4.5 million, and $(3.2) million for the years ended December 31, 2017, December 31, 2016, and December 31, 2015, respectively.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summarized financial information of our unconsolidated subsidiaries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CableOrganizer Acquisition, LLC</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5,286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5,589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9,664</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14,950</w:t>
            </w:r>
          </w:p>
        </w:tc>
        <w:tc>
          <w:tcPr>
            <w:tcW w:w="20" w:type="dxa"/>
            <w:vAlign w:val="bottom"/>
          </w:tcPr>
          <w:p>
            <w:pPr>
              <w:spacing w:after="0"/>
              <w:rPr>
                <w:sz w:val="18"/>
                <w:szCs w:val="18"/>
                <w:color w:val="auto"/>
              </w:rPr>
            </w:pP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15,461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5,207</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12,373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11,882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17,580</w:t>
            </w:r>
          </w:p>
        </w:tc>
        <w:tc>
          <w:tcPr>
            <w:tcW w:w="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16,101</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deficit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18"/>
                <w:szCs w:val="18"/>
                <w:color w:val="auto"/>
              </w:rPr>
            </w:pP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right"/>
              <w:ind w:right="112"/>
              <w:spacing w:after="0"/>
              <w:rPr>
                <w:sz w:val="20"/>
                <w:szCs w:val="20"/>
                <w:color w:val="auto"/>
              </w:rPr>
            </w:pPr>
            <w:r>
              <w:rPr>
                <w:rFonts w:ascii="Arial" w:cs="Arial" w:eastAsia="Arial" w:hAnsi="Arial"/>
                <w:sz w:val="14"/>
                <w:szCs w:val="14"/>
                <w:b w:val="1"/>
                <w:bCs w:val="1"/>
                <w:color w:val="auto"/>
                <w:w w:val="95"/>
              </w:rPr>
              <w:t>For the year ended</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CableOrganizer Acquisition, LLC</w:t>
            </w:r>
          </w:p>
        </w:tc>
        <w:tc>
          <w:tcPr>
            <w:tcW w:w="9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8"/>
              </w:rPr>
              <w:t>27,134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23,277</w:t>
            </w: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25,315</w:t>
            </w:r>
          </w:p>
        </w:tc>
        <w:tc>
          <w:tcPr>
            <w:tcW w:w="18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19,778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15,715</w:t>
            </w:r>
          </w:p>
        </w:tc>
        <w:tc>
          <w:tcPr>
            <w:tcW w:w="1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16,878</w:t>
            </w:r>
          </w:p>
        </w:tc>
        <w:tc>
          <w:tcPr>
            <w:tcW w:w="18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7,356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8,437</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10,344</w:t>
            </w:r>
          </w:p>
        </w:tc>
        <w:tc>
          <w:tcPr>
            <w:tcW w:w="1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18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(1,989)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(1,571)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(1,989)</w:t>
            </w: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w:t>
            </w:r>
          </w:p>
        </w:tc>
        <w:tc>
          <w:tcPr>
            <w:tcW w:w="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(1,571)</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F-51</w:t>
            </w:r>
          </w:p>
        </w:tc>
        <w:tc>
          <w:tcPr>
            <w:tcW w:w="180" w:type="dxa"/>
            <w:vAlign w:val="bottom"/>
            <w:tcBorders>
              <w:top w:val="single" w:sz="8" w:color="CCEEFF"/>
            </w:tcBorders>
            <w:gridSpan w:val="2"/>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-2760980</wp:posOffset>
            </wp:positionV>
            <wp:extent cx="4751070" cy="1803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-2160270</wp:posOffset>
            </wp:positionV>
            <wp:extent cx="4751070" cy="2057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-1242695</wp:posOffset>
            </wp:positionV>
            <wp:extent cx="4751070" cy="1543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475107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-1929130</wp:posOffset>
            </wp:positionV>
            <wp:extent cx="47339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9" w:name="page150"/>
    <w:bookmarkEnd w:id="149"/>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5107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Eastport Holdings, LLC</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94,186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96,175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185,087</w:t>
            </w: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145,802</w:t>
            </w: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279,273</w:t>
            </w:r>
          </w:p>
        </w:tc>
        <w:tc>
          <w:tcPr>
            <w:tcW w:w="80" w:type="dxa"/>
            <w:vAlign w:val="bottom"/>
          </w:tcPr>
          <w:p>
            <w:pPr>
              <w:spacing w:after="0"/>
              <w:rPr>
                <w:sz w:val="18"/>
                <w:szCs w:val="18"/>
                <w:color w:val="auto"/>
              </w:rPr>
            </w:pPr>
          </w:p>
        </w:tc>
        <w:tc>
          <w:tcPr>
            <w:tcW w:w="3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241,977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142,250</w:t>
            </w: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157,622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70,765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213,015</w:t>
            </w:r>
          </w:p>
        </w:tc>
        <w:tc>
          <w:tcPr>
            <w:tcW w:w="80" w:type="dxa"/>
            <w:vAlign w:val="bottom"/>
            <w:tcBorders>
              <w:left w:val="single" w:sz="8" w:color="CCEEFF"/>
            </w:tcBorders>
            <w:shd w:val="clear" w:color="auto" w:fill="CCEEFF"/>
          </w:tcPr>
          <w:p>
            <w:pPr>
              <w:spacing w:after="0"/>
              <w:rPr>
                <w:sz w:val="20"/>
                <w:szCs w:val="20"/>
                <w:color w:val="auto"/>
              </w:rPr>
            </w:pPr>
          </w:p>
        </w:tc>
        <w:tc>
          <w:tcPr>
            <w:tcW w:w="3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198,977</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66,258</w:t>
            </w:r>
          </w:p>
        </w:tc>
        <w:tc>
          <w:tcPr>
            <w:tcW w:w="80" w:type="dxa"/>
            <w:vAlign w:val="bottom"/>
          </w:tcPr>
          <w:p>
            <w:pPr>
              <w:spacing w:after="0"/>
              <w:rPr>
                <w:sz w:val="18"/>
                <w:szCs w:val="18"/>
                <w:color w:val="auto"/>
              </w:rPr>
            </w:pPr>
          </w:p>
        </w:tc>
        <w:tc>
          <w:tcPr>
            <w:tcW w:w="3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43,000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rPr>
              <w:t>For the year ended</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 of Operations – Eastport Holdings, LLC</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556,895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499,986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411,167</w:t>
            </w: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377,036</w:t>
            </w: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145,728</w:t>
            </w:r>
          </w:p>
        </w:tc>
        <w:tc>
          <w:tcPr>
            <w:tcW w:w="80" w:type="dxa"/>
            <w:vAlign w:val="bottom"/>
          </w:tcPr>
          <w:p>
            <w:pPr>
              <w:spacing w:after="0"/>
              <w:rPr>
                <w:sz w:val="18"/>
                <w:szCs w:val="18"/>
                <w:color w:val="auto"/>
              </w:rPr>
            </w:pPr>
          </w:p>
        </w:tc>
        <w:tc>
          <w:tcPr>
            <w:tcW w:w="3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122,950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134,231</w:t>
            </w: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111,677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11,497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11,273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10,869</w:t>
            </w:r>
          </w:p>
        </w:tc>
        <w:tc>
          <w:tcPr>
            <w:tcW w:w="80" w:type="dxa"/>
            <w:vAlign w:val="bottom"/>
          </w:tcPr>
          <w:p>
            <w:pPr>
              <w:spacing w:after="0"/>
              <w:rPr>
                <w:sz w:val="18"/>
                <w:szCs w:val="18"/>
                <w:color w:val="auto"/>
              </w:rPr>
            </w:pPr>
          </w:p>
        </w:tc>
        <w:tc>
          <w:tcPr>
            <w:tcW w:w="3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11,273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w w:val="97"/>
              </w:rPr>
              <w:t>As of</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Kelle’s Transport Service, LLC</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8,554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18,535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21,791</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14,962</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28,785</w:t>
            </w:r>
          </w:p>
        </w:tc>
        <w:tc>
          <w:tcPr>
            <w:tcW w:w="80" w:type="dxa"/>
            <w:vAlign w:val="bottom"/>
            <w:tcBorders>
              <w:lef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19,617</w:t>
            </w:r>
          </w:p>
        </w:tc>
        <w:tc>
          <w:tcPr>
            <w:tcW w:w="120" w:type="dxa"/>
            <w:vAlign w:val="bottom"/>
            <w:tcBorders>
              <w:left w:val="single" w:sz="8" w:color="CCEEFF"/>
            </w:tcBorders>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equity (deficit)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(10,250)</w:t>
            </w:r>
          </w:p>
        </w:tc>
        <w:tc>
          <w:tcPr>
            <w:tcW w:w="80" w:type="dxa"/>
            <w:vAlign w:val="bottom"/>
          </w:tcPr>
          <w:p>
            <w:pPr>
              <w:spacing w:after="0"/>
              <w:rPr>
                <w:sz w:val="18"/>
                <w:szCs w:val="18"/>
                <w:color w:val="auto"/>
              </w:rPr>
            </w:pPr>
          </w:p>
        </w:tc>
        <w:tc>
          <w:tcPr>
            <w:tcW w:w="3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right"/>
              <w:ind w:right="101"/>
              <w:spacing w:after="0"/>
              <w:rPr>
                <w:sz w:val="20"/>
                <w:szCs w:val="20"/>
                <w:color w:val="auto"/>
              </w:rPr>
            </w:pPr>
            <w:r>
              <w:rPr>
                <w:rFonts w:ascii="Arial" w:cs="Arial" w:eastAsia="Arial" w:hAnsi="Arial"/>
                <w:sz w:val="14"/>
                <w:szCs w:val="14"/>
                <w:b w:val="1"/>
                <w:bCs w:val="1"/>
                <w:color w:val="auto"/>
                <w:w w:val="95"/>
              </w:rPr>
              <w:t>For the year ended</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Kelle’s Transport Service, LLC</w:t>
            </w:r>
          </w:p>
        </w:tc>
        <w:tc>
          <w:tcPr>
            <w:tcW w:w="9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51,405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65,471</w:t>
            </w: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66,942</w:t>
            </w:r>
          </w:p>
        </w:tc>
        <w:tc>
          <w:tcPr>
            <w:tcW w:w="12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49,343</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55,859</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54,027</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2,062</w:t>
            </w:r>
          </w:p>
        </w:tc>
        <w:tc>
          <w:tcPr>
            <w:tcW w:w="2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12,915</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14,077</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(12,015)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(12,020)</w:t>
            </w:r>
          </w:p>
        </w:tc>
        <w:tc>
          <w:tcPr>
            <w:tcW w:w="2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(3,236)</w:t>
            </w:r>
          </w:p>
        </w:tc>
        <w:tc>
          <w:tcPr>
            <w:tcW w:w="80" w:type="dxa"/>
            <w:vAlign w:val="bottom"/>
          </w:tcPr>
          <w:p>
            <w:pPr>
              <w:spacing w:after="0"/>
              <w:rPr>
                <w:sz w:val="18"/>
                <w:szCs w:val="18"/>
                <w:color w:val="auto"/>
              </w:rPr>
            </w:pPr>
          </w:p>
        </w:tc>
        <w:tc>
          <w:tcPr>
            <w:tcW w:w="3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F-52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-5873750</wp:posOffset>
            </wp:positionV>
            <wp:extent cx="4751070" cy="1803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-5273675</wp:posOffset>
            </wp:positionV>
            <wp:extent cx="4751070" cy="2057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-4356100</wp:posOffset>
            </wp:positionV>
            <wp:extent cx="4751070" cy="154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-3789680</wp:posOffset>
            </wp:positionV>
            <wp:extent cx="4751070" cy="1803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-2898140</wp:posOffset>
            </wp:positionV>
            <wp:extent cx="4751070" cy="1803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-2297430</wp:posOffset>
            </wp:positionV>
            <wp:extent cx="4751070" cy="2057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-1379855</wp:posOffset>
            </wp:positionV>
            <wp:extent cx="4751070" cy="1543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4751070" cy="1803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-5041900</wp:posOffset>
            </wp:positionV>
            <wp:extent cx="475107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-3583940</wp:posOffset>
            </wp:positionV>
            <wp:extent cx="475107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-2066290</wp:posOffset>
            </wp:positionV>
            <wp:extent cx="47421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50" w:name="page151"/>
    <w:bookmarkEnd w:id="15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5107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Navis Holdings, Inc.</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4,655</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4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80" w:type="dxa"/>
            <w:vAlign w:val="bottom"/>
            <w:tcBorders>
              <w:left w:val="single" w:sz="8" w:color="CCEEFF"/>
              <w:bottom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8,101</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14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80" w:type="dxa"/>
            <w:vAlign w:val="bottom"/>
            <w:tcBorders>
              <w:left w:val="single" w:sz="8" w:color="CCEEFF"/>
            </w:tcBorders>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deficit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(1,066)</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7"/>
          </w:tcPr>
          <w:p>
            <w:pPr>
              <w:jc w:val="right"/>
              <w:ind w:right="63"/>
              <w:spacing w:after="0"/>
              <w:rPr>
                <w:sz w:val="20"/>
                <w:szCs w:val="20"/>
                <w:color w:val="auto"/>
              </w:rPr>
            </w:pPr>
            <w:r>
              <w:rPr>
                <w:rFonts w:ascii="Arial" w:cs="Arial" w:eastAsia="Arial" w:hAnsi="Arial"/>
                <w:sz w:val="14"/>
                <w:szCs w:val="14"/>
                <w:b w:val="1"/>
                <w:bCs w:val="1"/>
                <w:color w:val="auto"/>
                <w:w w:val="95"/>
              </w:rPr>
              <w:t>For the year ended</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Navis Holdings, Inc.</w:t>
            </w:r>
          </w:p>
        </w:tc>
        <w:tc>
          <w:tcPr>
            <w:tcW w:w="160" w:type="dxa"/>
            <w:vAlign w:val="bottom"/>
          </w:tcPr>
          <w:p>
            <w:pPr>
              <w:spacing w:after="0"/>
              <w:rPr>
                <w:sz w:val="10"/>
                <w:szCs w:val="10"/>
                <w:color w:val="auto"/>
              </w:rPr>
            </w:pPr>
          </w:p>
        </w:tc>
        <w:tc>
          <w:tcPr>
            <w:tcW w:w="88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13,948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17,803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17,076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10,933</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6,870</w:t>
            </w:r>
          </w:p>
        </w:tc>
        <w:tc>
          <w:tcPr>
            <w:tcW w:w="20" w:type="dxa"/>
            <w:vAlign w:val="bottom"/>
          </w:tcPr>
          <w:p>
            <w:pPr>
              <w:spacing w:after="0"/>
              <w:rPr>
                <w:sz w:val="18"/>
                <w:szCs w:val="18"/>
                <w:color w:val="auto"/>
              </w:rPr>
            </w:pP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5,989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5,070</w:t>
            </w: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1,099</w:t>
            </w:r>
          </w:p>
        </w:tc>
        <w:tc>
          <w:tcPr>
            <w:tcW w:w="20" w:type="dxa"/>
            <w:vAlign w:val="bottom"/>
          </w:tcPr>
          <w:p>
            <w:pPr>
              <w:spacing w:after="0"/>
              <w:rPr>
                <w:sz w:val="18"/>
                <w:szCs w:val="18"/>
                <w:color w:val="auto"/>
              </w:rPr>
            </w:pP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9"/>
              </w:rPr>
              <w:t>As of</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On-Site Fuel Services, Inc.</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28,064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13,079</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54,871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29,393</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16,498</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19,903</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67,141</w:t>
            </w:r>
          </w:p>
        </w:tc>
        <w:tc>
          <w:tcPr>
            <w:tcW w:w="14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36,401</w:t>
            </w:r>
          </w:p>
        </w:tc>
        <w:tc>
          <w:tcPr>
            <w:tcW w:w="180" w:type="dxa"/>
            <w:vAlign w:val="bottom"/>
            <w:tcBorders>
              <w:left w:val="single" w:sz="8" w:color="CCEEFF"/>
            </w:tcBorders>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deficit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(12,270)</w:t>
            </w:r>
          </w:p>
        </w:tc>
        <w:tc>
          <w:tcPr>
            <w:tcW w:w="20" w:type="dxa"/>
            <w:vAlign w:val="bottom"/>
          </w:tcPr>
          <w:p>
            <w:pPr>
              <w:spacing w:after="0"/>
              <w:rPr>
                <w:sz w:val="18"/>
                <w:szCs w:val="18"/>
                <w:color w:val="auto"/>
              </w:rPr>
            </w:pP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(7,008)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7"/>
          </w:tcPr>
          <w:p>
            <w:pPr>
              <w:jc w:val="right"/>
              <w:ind w:right="83"/>
              <w:spacing w:after="0"/>
              <w:rPr>
                <w:sz w:val="20"/>
                <w:szCs w:val="20"/>
                <w:color w:val="auto"/>
              </w:rPr>
            </w:pPr>
            <w:r>
              <w:rPr>
                <w:rFonts w:ascii="Arial" w:cs="Arial" w:eastAsia="Arial" w:hAnsi="Arial"/>
                <w:sz w:val="14"/>
                <w:szCs w:val="14"/>
                <w:b w:val="1"/>
                <w:bCs w:val="1"/>
                <w:color w:val="auto"/>
                <w:w w:val="94"/>
              </w:rPr>
              <w:t>For the year ended</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On-Site Fuel Service, Inc.</w:t>
            </w:r>
          </w:p>
        </w:tc>
        <w:tc>
          <w:tcPr>
            <w:tcW w:w="160" w:type="dxa"/>
            <w:vAlign w:val="bottom"/>
          </w:tcPr>
          <w:p>
            <w:pPr>
              <w:spacing w:after="0"/>
              <w:rPr>
                <w:sz w:val="10"/>
                <w:szCs w:val="10"/>
                <w:color w:val="auto"/>
              </w:rPr>
            </w:pPr>
          </w:p>
        </w:tc>
        <w:tc>
          <w:tcPr>
            <w:tcW w:w="8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84"/>
              </w:rPr>
              <w:t>$ 157,774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$ 110,412</w:t>
            </w:r>
          </w:p>
        </w:tc>
        <w:tc>
          <w:tcPr>
            <w:tcW w:w="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114,137</w:t>
            </w:r>
          </w:p>
        </w:tc>
        <w:tc>
          <w:tcPr>
            <w:tcW w:w="18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149,436</w:t>
            </w:r>
          </w:p>
        </w:tc>
        <w:tc>
          <w:tcPr>
            <w:tcW w:w="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101,714</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106,668</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8,338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7,469</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13,600</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(5,262)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(6,123)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3"/>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80" w:type="dxa"/>
            <w:vAlign w:val="bottom"/>
            <w:tcBorders>
              <w:left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(5,262)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(8,090)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5"/>
          </w:tcPr>
          <w:p>
            <w:pPr>
              <w:ind w:left="40"/>
              <w:spacing w:after="0"/>
              <w:rPr>
                <w:sz w:val="20"/>
                <w:szCs w:val="20"/>
                <w:color w:val="auto"/>
              </w:rPr>
            </w:pPr>
            <w:r>
              <w:rPr>
                <w:rFonts w:ascii="Arial" w:cs="Arial" w:eastAsia="Arial" w:hAnsi="Arial"/>
                <w:sz w:val="18"/>
                <w:szCs w:val="18"/>
                <w:color w:val="auto"/>
              </w:rPr>
              <w:t>F-53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2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2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-5873750</wp:posOffset>
            </wp:positionV>
            <wp:extent cx="4751070" cy="1803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-5273675</wp:posOffset>
            </wp:positionV>
            <wp:extent cx="4751070" cy="2057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-4356100</wp:posOffset>
            </wp:positionV>
            <wp:extent cx="4751070"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-3789680</wp:posOffset>
            </wp:positionV>
            <wp:extent cx="4751070" cy="1803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-2898140</wp:posOffset>
            </wp:positionV>
            <wp:extent cx="4751070" cy="1803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-2297430</wp:posOffset>
            </wp:positionV>
            <wp:extent cx="4751070" cy="2057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-1379855</wp:posOffset>
            </wp:positionV>
            <wp:extent cx="4751070" cy="1543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4751070" cy="1803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-5041900</wp:posOffset>
            </wp:positionV>
            <wp:extent cx="475107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-3583940</wp:posOffset>
            </wp:positionV>
            <wp:extent cx="475107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-2066290</wp:posOffset>
            </wp:positionV>
            <wp:extent cx="47339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51" w:name="page152"/>
    <w:bookmarkEnd w:id="15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Earnings Per Share</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In accordance with the provisions of ASC Topic 260, Earnings per Share (“ASC 260”), basic earnings per share is computed by dividing earnings available to common stockholders by the weighted average number of shares outstanding during the period. Other potentially dilutive common shares, and the related impact to earnings, are considered when calculating earnings per share on a diluted basis. As of December 31, 2017, all convertible shares related to the 2022 Convertible Notes, which would be approximately 3.3 million shares if converted, were considered anti-dilutive. As of December 31, 2017, 2016, and 2015, there were no dilutive shares.</w:t>
      </w:r>
    </w:p>
    <w:p>
      <w:pPr>
        <w:spacing w:after="0" w:line="85" w:lineRule="exact"/>
        <w:rPr>
          <w:sz w:val="20"/>
          <w:szCs w:val="20"/>
          <w:color w:val="auto"/>
        </w:rPr>
      </w:pPr>
    </w:p>
    <w:p>
      <w:pPr>
        <w:ind w:left="60" w:right="759" w:firstLine="270"/>
        <w:spacing w:after="0" w:line="264" w:lineRule="auto"/>
        <w:rPr>
          <w:sz w:val="20"/>
          <w:szCs w:val="20"/>
          <w:color w:val="auto"/>
        </w:rPr>
      </w:pPr>
      <w:r>
        <w:rPr>
          <w:rFonts w:ascii="Arial" w:cs="Arial" w:eastAsia="Arial" w:hAnsi="Arial"/>
          <w:sz w:val="18"/>
          <w:szCs w:val="18"/>
          <w:color w:val="auto"/>
        </w:rPr>
        <w:t>The following information sets forth the computation of the weighted average basic and diluted net increase (decrease) in net assets per share resulting from operations for the years ended December 31, 2017, 2016 and 2015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510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Basic and diluted</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112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94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5"/>
        </w:trPr>
        <w:tc>
          <w:tcPr>
            <w:tcW w:w="40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Net increase (decrease) in net assets resulting from</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9,152</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13,850</w:t>
            </w:r>
          </w:p>
        </w:tc>
        <w:tc>
          <w:tcPr>
            <w:tcW w:w="0" w:type="dxa"/>
            <w:vAlign w:val="bottom"/>
          </w:tcPr>
          <w:p>
            <w:pPr>
              <w:spacing w:after="0"/>
              <w:rPr>
                <w:sz w:val="1"/>
                <w:szCs w:val="1"/>
                <w:color w:val="auto"/>
              </w:rPr>
            </w:pPr>
          </w:p>
        </w:tc>
      </w:tr>
      <w:tr>
        <w:trPr>
          <w:trHeight w:val="202"/>
        </w:trPr>
        <w:tc>
          <w:tcPr>
            <w:tcW w:w="41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Weighted average common stock outstanding – basic</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diluted</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8"/>
              </w:rPr>
              <w:t>15,903,167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15,819,175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15,210,577</w:t>
            </w:r>
          </w:p>
        </w:tc>
        <w:tc>
          <w:tcPr>
            <w:tcW w:w="0" w:type="dxa"/>
            <w:vAlign w:val="bottom"/>
          </w:tcPr>
          <w:p>
            <w:pPr>
              <w:spacing w:after="0"/>
              <w:rPr>
                <w:sz w:val="1"/>
                <w:szCs w:val="1"/>
                <w:color w:val="auto"/>
              </w:rPr>
            </w:pPr>
          </w:p>
        </w:tc>
      </w:tr>
      <w:tr>
        <w:trPr>
          <w:trHeight w:val="202"/>
        </w:trPr>
        <w:tc>
          <w:tcPr>
            <w:tcW w:w="41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1"/>
              </w:rPr>
              <w:t>Net increase (decrease) in net assets per share resulting</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0"/>
              <w:spacing w:after="0"/>
              <w:rPr>
                <w:sz w:val="20"/>
                <w:szCs w:val="20"/>
                <w:color w:val="auto"/>
              </w:rPr>
            </w:pPr>
            <w:r>
              <w:rPr>
                <w:rFonts w:ascii="Arial" w:cs="Arial" w:eastAsia="Arial" w:hAnsi="Arial"/>
                <w:sz w:val="18"/>
                <w:szCs w:val="18"/>
                <w:color w:val="auto"/>
              </w:rPr>
              <w:t>from operations –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0.58</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Distributions</w:t>
      </w:r>
    </w:p>
    <w:p>
      <w:pPr>
        <w:spacing w:after="0" w:line="121" w:lineRule="exact"/>
        <w:rPr>
          <w:sz w:val="20"/>
          <w:szCs w:val="20"/>
          <w:color w:val="auto"/>
        </w:rPr>
      </w:pPr>
    </w:p>
    <w:p>
      <w:pPr>
        <w:ind w:left="60" w:right="659" w:firstLine="270"/>
        <w:spacing w:after="0" w:line="277" w:lineRule="auto"/>
        <w:rPr>
          <w:sz w:val="20"/>
          <w:szCs w:val="20"/>
          <w:color w:val="auto"/>
        </w:rPr>
      </w:pPr>
      <w:r>
        <w:rPr>
          <w:rFonts w:ascii="Arial" w:cs="Arial" w:eastAsia="Arial" w:hAnsi="Arial"/>
          <w:sz w:val="18"/>
          <w:szCs w:val="18"/>
          <w:color w:val="auto"/>
        </w:rPr>
        <w:t>The Company’s distributions are recorded as payable on the declaration date. Stockholders have the option to receive payment of the distribution in cash, shares of common stock, or a combination of cash and common stock.</w:t>
      </w:r>
    </w:p>
    <w:p>
      <w:pPr>
        <w:spacing w:after="0" w:line="62"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The following tables summarize the Company’s distribution declarations during the years ended December 31, 2017, 2016 and 2015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3"/>
              </w:rPr>
              <w:t>Cash</w:t>
            </w:r>
          </w:p>
        </w:tc>
        <w:tc>
          <w:tcPr>
            <w:tcW w:w="140" w:type="dxa"/>
            <w:vAlign w:val="bottom"/>
          </w:tcPr>
          <w:p>
            <w:pPr>
              <w:spacing w:after="0"/>
              <w:rPr>
                <w:sz w:val="14"/>
                <w:szCs w:val="14"/>
                <w:color w:val="auto"/>
              </w:rPr>
            </w:pPr>
          </w:p>
        </w:tc>
        <w:tc>
          <w:tcPr>
            <w:tcW w:w="620" w:type="dxa"/>
            <w:vAlign w:val="bottom"/>
          </w:tcPr>
          <w:p>
            <w:pPr>
              <w:jc w:val="center"/>
              <w:ind w:left="8"/>
              <w:spacing w:after="0"/>
              <w:rPr>
                <w:sz w:val="20"/>
                <w:szCs w:val="20"/>
                <w:color w:val="auto"/>
              </w:rPr>
            </w:pPr>
            <w:r>
              <w:rPr>
                <w:rFonts w:ascii="Arial" w:cs="Arial" w:eastAsia="Arial" w:hAnsi="Arial"/>
                <w:sz w:val="14"/>
                <w:szCs w:val="14"/>
                <w:b w:val="1"/>
                <w:bCs w:val="1"/>
                <w:color w:val="auto"/>
              </w:rPr>
              <w:t>DRIP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9"/>
        </w:trPr>
        <w:tc>
          <w:tcPr>
            <w:tcW w:w="1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60" w:type="dxa"/>
            <w:vAlign w:val="bottom"/>
          </w:tcPr>
          <w:p>
            <w:pPr>
              <w:spacing w:after="0"/>
              <w:rPr>
                <w:sz w:val="12"/>
                <w:szCs w:val="12"/>
                <w:color w:val="auto"/>
              </w:rPr>
            </w:pPr>
          </w:p>
        </w:tc>
        <w:tc>
          <w:tcPr>
            <w:tcW w:w="15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60" w:type="dxa"/>
            <w:vAlign w:val="bottom"/>
          </w:tcPr>
          <w:p>
            <w:pPr>
              <w:spacing w:after="0"/>
              <w:rPr>
                <w:sz w:val="12"/>
                <w:szCs w:val="12"/>
                <w:color w:val="auto"/>
              </w:rPr>
            </w:pPr>
          </w:p>
        </w:tc>
        <w:tc>
          <w:tcPr>
            <w:tcW w:w="15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Payment Date</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Share</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40" w:type="dxa"/>
            <w:vAlign w:val="bottom"/>
          </w:tcPr>
          <w:p>
            <w:pPr>
              <w:spacing w:after="0"/>
              <w:rPr>
                <w:sz w:val="14"/>
                <w:szCs w:val="14"/>
                <w:color w:val="auto"/>
              </w:rPr>
            </w:pPr>
          </w:p>
        </w:tc>
        <w:tc>
          <w:tcPr>
            <w:tcW w:w="6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5"/>
              </w:rPr>
              <w:t>Issued</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3, 2017</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January 20, 2017</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January 30, 2017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0.1300</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5,304</w:t>
            </w:r>
          </w:p>
        </w:tc>
        <w:tc>
          <w:tcPr>
            <w:tcW w:w="2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1640" w:type="dxa"/>
            <w:vAlign w:val="bottom"/>
          </w:tcPr>
          <w:p>
            <w:pPr>
              <w:ind w:left="20"/>
              <w:spacing w:after="0"/>
              <w:rPr>
                <w:sz w:val="20"/>
                <w:szCs w:val="20"/>
                <w:color w:val="auto"/>
              </w:rPr>
            </w:pPr>
            <w:r>
              <w:rPr>
                <w:rFonts w:ascii="Arial" w:cs="Arial" w:eastAsia="Arial" w:hAnsi="Arial"/>
                <w:sz w:val="16"/>
                <w:szCs w:val="16"/>
                <w:color w:val="auto"/>
              </w:rPr>
              <w:t>January 3, 2017</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February 20, 2017</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February 27, 2017</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1,993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5,195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3, 2017</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March 23, 2017</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March 30, 2017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4,948</w:t>
            </w: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3"/>
        </w:trPr>
        <w:tc>
          <w:tcPr>
            <w:tcW w:w="1640" w:type="dxa"/>
            <w:vAlign w:val="bottom"/>
          </w:tcPr>
          <w:p>
            <w:pPr>
              <w:ind w:left="20"/>
              <w:spacing w:after="0"/>
              <w:rPr>
                <w:sz w:val="20"/>
                <w:szCs w:val="20"/>
                <w:color w:val="auto"/>
              </w:rPr>
            </w:pPr>
            <w:r>
              <w:rPr>
                <w:rFonts w:ascii="Arial" w:cs="Arial" w:eastAsia="Arial" w:hAnsi="Arial"/>
                <w:sz w:val="16"/>
                <w:szCs w:val="16"/>
                <w:color w:val="auto"/>
              </w:rPr>
              <w:t>April 3, 2017</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April 19, 2017</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April 27, 2017</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1,996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5,164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 2017</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23, 2017</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May 29, 2017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5,880</w:t>
            </w: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3"/>
        </w:trPr>
        <w:tc>
          <w:tcPr>
            <w:tcW w:w="1640" w:type="dxa"/>
            <w:vAlign w:val="bottom"/>
          </w:tcPr>
          <w:p>
            <w:pPr>
              <w:ind w:left="20"/>
              <w:spacing w:after="0"/>
              <w:rPr>
                <w:sz w:val="20"/>
                <w:szCs w:val="20"/>
                <w:color w:val="auto"/>
              </w:rPr>
            </w:pPr>
            <w:r>
              <w:rPr>
                <w:rFonts w:ascii="Arial" w:cs="Arial" w:eastAsia="Arial" w:hAnsi="Arial"/>
                <w:sz w:val="16"/>
                <w:szCs w:val="16"/>
                <w:color w:val="auto"/>
              </w:rPr>
              <w:t>April 3, 2017</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June 21, 2017</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June 29, 2017</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1,969</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7,959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3, 2017</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July 21, 2017</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July 28, 2017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5,889</w:t>
            </w: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3"/>
        </w:trPr>
        <w:tc>
          <w:tcPr>
            <w:tcW w:w="1640" w:type="dxa"/>
            <w:vAlign w:val="bottom"/>
          </w:tcPr>
          <w:p>
            <w:pPr>
              <w:ind w:left="20"/>
              <w:spacing w:after="0"/>
              <w:rPr>
                <w:sz w:val="20"/>
                <w:szCs w:val="20"/>
                <w:color w:val="auto"/>
              </w:rPr>
            </w:pPr>
            <w:r>
              <w:rPr>
                <w:rFonts w:ascii="Arial" w:cs="Arial" w:eastAsia="Arial" w:hAnsi="Arial"/>
                <w:sz w:val="16"/>
                <w:szCs w:val="16"/>
                <w:color w:val="auto"/>
              </w:rPr>
              <w:t>July 3, 2017</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August 23, 2017</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August 30, 2017</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13,162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3, 2017</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September 20, 2017</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September 28, 2017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9,085</w:t>
            </w: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3"/>
        </w:trPr>
        <w:tc>
          <w:tcPr>
            <w:tcW w:w="1640" w:type="dxa"/>
            <w:vAlign w:val="bottom"/>
          </w:tcPr>
          <w:p>
            <w:pPr>
              <w:ind w:left="20"/>
              <w:spacing w:after="0"/>
              <w:rPr>
                <w:sz w:val="20"/>
                <w:szCs w:val="20"/>
                <w:color w:val="auto"/>
              </w:rPr>
            </w:pPr>
            <w:r>
              <w:rPr>
                <w:rFonts w:ascii="Arial" w:cs="Arial" w:eastAsia="Arial" w:hAnsi="Arial"/>
                <w:sz w:val="16"/>
                <w:szCs w:val="16"/>
                <w:color w:val="auto"/>
              </w:rPr>
              <w:t>October 2, 2017</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October 23, 2017</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October 30, 2017</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0.0833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5,876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2, 2017</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November 21, 2017</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November 29, 2017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0.0833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6,856</w:t>
            </w: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1640" w:type="dxa"/>
            <w:vAlign w:val="bottom"/>
          </w:tcPr>
          <w:p>
            <w:pPr>
              <w:ind w:left="20"/>
              <w:spacing w:after="0"/>
              <w:rPr>
                <w:sz w:val="20"/>
                <w:szCs w:val="20"/>
                <w:color w:val="auto"/>
              </w:rPr>
            </w:pPr>
            <w:r>
              <w:rPr>
                <w:rFonts w:ascii="Arial" w:cs="Arial" w:eastAsia="Arial" w:hAnsi="Arial"/>
                <w:sz w:val="16"/>
                <w:szCs w:val="16"/>
                <w:color w:val="auto"/>
              </w:rPr>
              <w:t>October 2, 2017</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December 20, 2017</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December 28, 2017</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0833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1,273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7,868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gridSpan w:val="6"/>
            <w:shd w:val="clear" w:color="auto" w:fill="CCEEFF"/>
          </w:tcPr>
          <w:p>
            <w:pPr>
              <w:ind w:left="960"/>
              <w:spacing w:after="0"/>
              <w:rPr>
                <w:sz w:val="20"/>
                <w:szCs w:val="20"/>
                <w:color w:val="auto"/>
              </w:rPr>
            </w:pPr>
            <w:r>
              <w:rPr>
                <w:rFonts w:ascii="Arial" w:cs="Arial" w:eastAsia="Arial" w:hAnsi="Arial"/>
                <w:sz w:val="16"/>
                <w:szCs w:val="16"/>
                <w:color w:val="auto"/>
                <w:w w:val="94"/>
              </w:rPr>
              <w:t>Total Distributions Declared and Distributed for Fiscal 2017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1.42</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21,711</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83,186</w:t>
            </w:r>
          </w:p>
        </w:tc>
        <w:tc>
          <w:tcPr>
            <w:tcW w:w="2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2" w:name="page153"/>
    <w:bookmarkEnd w:id="15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Distributions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DRIP</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9"/>
        </w:trPr>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60" w:type="dxa"/>
            <w:vAlign w:val="bottom"/>
          </w:tcPr>
          <w:p>
            <w:pPr>
              <w:spacing w:after="0"/>
              <w:rPr>
                <w:sz w:val="12"/>
                <w:szCs w:val="12"/>
                <w:color w:val="auto"/>
              </w:rPr>
            </w:pPr>
          </w:p>
        </w:tc>
        <w:tc>
          <w:tcPr>
            <w:tcW w:w="15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60" w:type="dxa"/>
            <w:vAlign w:val="bottom"/>
          </w:tcPr>
          <w:p>
            <w:pPr>
              <w:spacing w:after="0"/>
              <w:rPr>
                <w:sz w:val="12"/>
                <w:szCs w:val="12"/>
                <w:color w:val="auto"/>
              </w:rPr>
            </w:pPr>
          </w:p>
        </w:tc>
        <w:tc>
          <w:tcPr>
            <w:tcW w:w="15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Payment Date</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Issued</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January 4, 2016</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January 22, 2016</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January 28,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2,392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8,135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January 4, 2016</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February 19, 2016</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February 26,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2,405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7,076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January 4, 2016</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March 22, 2016</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March 30, 2016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2,397</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7,079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April 1, 2016</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April 22, 2016</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April 28,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2,392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6,625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April 1, 2016</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23, 2016</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May 30, 2016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2,372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8,147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April 1, 2016</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June 21, 2016</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June 29,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2,369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8,229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July 1, 2016</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July 22, 2016</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July 29, 2016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2,382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7,025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July 1, 2016</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August 22, 2016</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August 30,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2,391</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6,256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July 1, 2016</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September 22, 2016</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September 29, 2016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2,380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8,242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September 22, 2016</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October 21, 2016</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October 28,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1,977</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6,619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September 22, 2016</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November 21, 2016</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November 29, 2016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0.1300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1,926</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11,384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September 22, 2016</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December 21, 2016</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December 29, 2016</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1300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1,989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5,883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920" w:type="dxa"/>
            <w:vAlign w:val="bottom"/>
            <w:gridSpan w:val="7"/>
            <w:shd w:val="clear" w:color="auto" w:fill="CCEEFF"/>
          </w:tcPr>
          <w:p>
            <w:pPr>
              <w:ind w:left="940"/>
              <w:spacing w:after="0"/>
              <w:rPr>
                <w:sz w:val="20"/>
                <w:szCs w:val="20"/>
                <w:color w:val="auto"/>
              </w:rPr>
            </w:pPr>
            <w:r>
              <w:rPr>
                <w:rFonts w:ascii="Arial" w:cs="Arial" w:eastAsia="Arial" w:hAnsi="Arial"/>
                <w:sz w:val="16"/>
                <w:szCs w:val="16"/>
                <w:color w:val="auto"/>
                <w:w w:val="94"/>
              </w:rPr>
              <w:t>Total Distributions Declared and Distributed for Fiscal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1.80</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27,372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90,700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68"/>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top w:val="single" w:sz="8" w:color="CCEEFF"/>
            </w:tcBorders>
            <w:vMerge w:val="restart"/>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vMerge w:val="restart"/>
          </w:tcPr>
          <w:p>
            <w:pPr>
              <w:jc w:val="center"/>
              <w:ind w:right="19"/>
              <w:spacing w:after="0"/>
              <w:rPr>
                <w:sz w:val="20"/>
                <w:szCs w:val="20"/>
                <w:color w:val="auto"/>
              </w:rPr>
            </w:pPr>
            <w:r>
              <w:rPr>
                <w:rFonts w:ascii="Arial" w:cs="Arial" w:eastAsia="Arial" w:hAnsi="Arial"/>
                <w:sz w:val="14"/>
                <w:szCs w:val="14"/>
                <w:b w:val="1"/>
                <w:bCs w:val="1"/>
                <w:color w:val="auto"/>
                <w:w w:val="93"/>
              </w:rPr>
              <w:t>Cash</w:t>
            </w:r>
          </w:p>
        </w:tc>
        <w:tc>
          <w:tcPr>
            <w:tcW w:w="60" w:type="dxa"/>
            <w:vAlign w:val="bottom"/>
            <w:tcBorders>
              <w:top w:val="single" w:sz="8" w:color="CCEEFF"/>
            </w:tcBorders>
            <w:vMerge w:val="restart"/>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auto"/>
            </w:tcBorders>
          </w:tcPr>
          <w:p>
            <w:pPr>
              <w:jc w:val="center"/>
              <w:ind w:left="4"/>
              <w:spacing w:after="0"/>
              <w:rPr>
                <w:sz w:val="20"/>
                <w:szCs w:val="20"/>
                <w:color w:val="auto"/>
              </w:rPr>
            </w:pPr>
            <w:r>
              <w:rPr>
                <w:rFonts w:ascii="Arial" w:cs="Arial" w:eastAsia="Arial" w:hAnsi="Arial"/>
                <w:sz w:val="14"/>
                <w:szCs w:val="14"/>
                <w:b w:val="1"/>
                <w:bCs w:val="1"/>
                <w:color w:val="auto"/>
              </w:rPr>
              <w:t>DRIP</w:t>
            </w: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DRIP</w:t>
            </w:r>
          </w:p>
        </w:tc>
        <w:tc>
          <w:tcPr>
            <w:tcW w:w="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60" w:type="dxa"/>
            <w:vAlign w:val="bottom"/>
          </w:tcPr>
          <w:p>
            <w:pPr>
              <w:spacing w:after="0"/>
              <w:rPr>
                <w:sz w:val="12"/>
                <w:szCs w:val="12"/>
                <w:color w:val="auto"/>
              </w:rPr>
            </w:pPr>
          </w:p>
        </w:tc>
        <w:tc>
          <w:tcPr>
            <w:tcW w:w="15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60" w:type="dxa"/>
            <w:vAlign w:val="bottom"/>
          </w:tcPr>
          <w:p>
            <w:pPr>
              <w:spacing w:after="0"/>
              <w:rPr>
                <w:sz w:val="12"/>
                <w:szCs w:val="12"/>
                <w:color w:val="auto"/>
              </w:rPr>
            </w:pPr>
          </w:p>
        </w:tc>
        <w:tc>
          <w:tcPr>
            <w:tcW w:w="15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Payment Date</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Issued</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January 2, 2015</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January 22, 2015</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January 29,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2,033</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January 2, 2015</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February 20, 2015</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February 26,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2,033</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January 2, 2015</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March 23, 2015</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March 30,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1,994</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tcPr>
          <w:p>
            <w:pPr>
              <w:spacing w:after="0"/>
              <w:rPr>
                <w:sz w:val="21"/>
                <w:szCs w:val="21"/>
                <w:color w:val="auto"/>
              </w:rPr>
            </w:pPr>
          </w:p>
        </w:tc>
        <w:tc>
          <w:tcPr>
            <w:tcW w:w="1580" w:type="dxa"/>
            <w:vAlign w:val="bottom"/>
          </w:tcPr>
          <w:p>
            <w:pPr>
              <w:ind w:left="80"/>
              <w:spacing w:after="0" w:line="242" w:lineRule="exact"/>
              <w:rPr>
                <w:sz w:val="20"/>
                <w:szCs w:val="20"/>
                <w:color w:val="auto"/>
              </w:rPr>
            </w:pPr>
            <w:r>
              <w:rPr>
                <w:rFonts w:ascii="Arial" w:cs="Arial" w:eastAsia="Arial" w:hAnsi="Arial"/>
                <w:sz w:val="16"/>
                <w:szCs w:val="16"/>
                <w:color w:val="auto"/>
              </w:rPr>
              <w:t>March 23, 2015</w:t>
            </w:r>
            <w:r>
              <w:rPr>
                <w:rFonts w:ascii="Arial" w:cs="Arial" w:eastAsia="Arial" w:hAnsi="Arial"/>
                <w:sz w:val="27"/>
                <w:szCs w:val="27"/>
                <w:color w:val="auto"/>
                <w:vertAlign w:val="superscript"/>
              </w:rPr>
              <w:t>(1)</w:t>
            </w:r>
          </w:p>
        </w:tc>
        <w:tc>
          <w:tcPr>
            <w:tcW w:w="60" w:type="dxa"/>
            <w:vAlign w:val="bottom"/>
          </w:tcPr>
          <w:p>
            <w:pPr>
              <w:spacing w:after="0"/>
              <w:rPr>
                <w:sz w:val="21"/>
                <w:szCs w:val="21"/>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March 30,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635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line="242" w:lineRule="exact"/>
              <w:rPr>
                <w:sz w:val="20"/>
                <w:szCs w:val="20"/>
                <w:color w:val="auto"/>
              </w:rPr>
            </w:pPr>
            <w:r>
              <w:rPr>
                <w:rFonts w:ascii="Arial" w:cs="Arial" w:eastAsia="Arial" w:hAnsi="Arial"/>
                <w:sz w:val="16"/>
                <w:szCs w:val="16"/>
                <w:color w:val="auto"/>
              </w:rPr>
              <w:t>April 23, 2015</w:t>
            </w:r>
            <w:r>
              <w:rPr>
                <w:rFonts w:ascii="Arial" w:cs="Arial" w:eastAsia="Arial" w:hAnsi="Arial"/>
                <w:sz w:val="27"/>
                <w:szCs w:val="27"/>
                <w:color w:val="auto"/>
                <w:vertAlign w:val="superscript"/>
              </w:rPr>
              <w:t>(1)</w:t>
            </w:r>
          </w:p>
        </w:tc>
        <w:tc>
          <w:tcPr>
            <w:tcW w:w="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April 29,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824</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tcPr>
          <w:p>
            <w:pPr>
              <w:spacing w:after="0"/>
              <w:rPr>
                <w:sz w:val="21"/>
                <w:szCs w:val="21"/>
                <w:color w:val="auto"/>
              </w:rPr>
            </w:pPr>
          </w:p>
        </w:tc>
        <w:tc>
          <w:tcPr>
            <w:tcW w:w="1580" w:type="dxa"/>
            <w:vAlign w:val="bottom"/>
          </w:tcPr>
          <w:p>
            <w:pPr>
              <w:ind w:left="80"/>
              <w:spacing w:after="0" w:line="242" w:lineRule="exact"/>
              <w:rPr>
                <w:sz w:val="20"/>
                <w:szCs w:val="20"/>
                <w:color w:val="auto"/>
              </w:rPr>
            </w:pPr>
            <w:r>
              <w:rPr>
                <w:rFonts w:ascii="Arial" w:cs="Arial" w:eastAsia="Arial" w:hAnsi="Arial"/>
                <w:sz w:val="16"/>
                <w:szCs w:val="16"/>
                <w:color w:val="auto"/>
              </w:rPr>
              <w:t>May 21, 2015</w:t>
            </w:r>
            <w:r>
              <w:rPr>
                <w:rFonts w:ascii="Arial" w:cs="Arial" w:eastAsia="Arial" w:hAnsi="Arial"/>
                <w:sz w:val="27"/>
                <w:szCs w:val="27"/>
                <w:color w:val="auto"/>
                <w:vertAlign w:val="superscript"/>
              </w:rPr>
              <w:t>(1)</w:t>
            </w:r>
          </w:p>
        </w:tc>
        <w:tc>
          <w:tcPr>
            <w:tcW w:w="60" w:type="dxa"/>
            <w:vAlign w:val="bottom"/>
          </w:tcPr>
          <w:p>
            <w:pPr>
              <w:spacing w:after="0"/>
              <w:rPr>
                <w:sz w:val="21"/>
                <w:szCs w:val="21"/>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May 28,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808</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998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line="242" w:lineRule="exact"/>
              <w:rPr>
                <w:sz w:val="20"/>
                <w:szCs w:val="20"/>
                <w:color w:val="auto"/>
              </w:rPr>
            </w:pPr>
            <w:r>
              <w:rPr>
                <w:rFonts w:ascii="Arial" w:cs="Arial" w:eastAsia="Arial" w:hAnsi="Arial"/>
                <w:sz w:val="16"/>
                <w:szCs w:val="16"/>
                <w:color w:val="auto"/>
              </w:rPr>
              <w:t>June 22, 2015</w:t>
            </w:r>
            <w:r>
              <w:rPr>
                <w:rFonts w:ascii="Arial" w:cs="Arial" w:eastAsia="Arial" w:hAnsi="Arial"/>
                <w:sz w:val="27"/>
                <w:szCs w:val="27"/>
                <w:color w:val="auto"/>
                <w:vertAlign w:val="superscript"/>
              </w:rPr>
              <w:t>(1)</w:t>
            </w:r>
          </w:p>
        </w:tc>
        <w:tc>
          <w:tcPr>
            <w:tcW w:w="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June 29,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1,361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tcPr>
          <w:p>
            <w:pPr>
              <w:spacing w:after="0"/>
              <w:rPr>
                <w:sz w:val="21"/>
                <w:szCs w:val="21"/>
                <w:color w:val="auto"/>
              </w:rPr>
            </w:pPr>
          </w:p>
        </w:tc>
        <w:tc>
          <w:tcPr>
            <w:tcW w:w="1580" w:type="dxa"/>
            <w:vAlign w:val="bottom"/>
          </w:tcPr>
          <w:p>
            <w:pPr>
              <w:ind w:left="80"/>
              <w:spacing w:after="0" w:line="242" w:lineRule="exact"/>
              <w:rPr>
                <w:sz w:val="20"/>
                <w:szCs w:val="20"/>
                <w:color w:val="auto"/>
              </w:rPr>
            </w:pPr>
            <w:r>
              <w:rPr>
                <w:rFonts w:ascii="Arial" w:cs="Arial" w:eastAsia="Arial" w:hAnsi="Arial"/>
                <w:sz w:val="16"/>
                <w:szCs w:val="16"/>
                <w:color w:val="auto"/>
              </w:rPr>
              <w:t>July 23, 2015</w:t>
            </w:r>
            <w:r>
              <w:rPr>
                <w:rFonts w:ascii="Arial" w:cs="Arial" w:eastAsia="Arial" w:hAnsi="Arial"/>
                <w:sz w:val="27"/>
                <w:szCs w:val="27"/>
                <w:color w:val="auto"/>
                <w:vertAlign w:val="superscript"/>
              </w:rPr>
              <w:t>(1)</w:t>
            </w:r>
          </w:p>
        </w:tc>
        <w:tc>
          <w:tcPr>
            <w:tcW w:w="60" w:type="dxa"/>
            <w:vAlign w:val="bottom"/>
          </w:tcPr>
          <w:p>
            <w:pPr>
              <w:spacing w:after="0"/>
              <w:rPr>
                <w:sz w:val="21"/>
                <w:szCs w:val="21"/>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July 30,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783</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1,600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line="242" w:lineRule="exact"/>
              <w:rPr>
                <w:sz w:val="20"/>
                <w:szCs w:val="20"/>
                <w:color w:val="auto"/>
              </w:rPr>
            </w:pPr>
            <w:r>
              <w:rPr>
                <w:rFonts w:ascii="Arial" w:cs="Arial" w:eastAsia="Arial" w:hAnsi="Arial"/>
                <w:sz w:val="16"/>
                <w:szCs w:val="16"/>
                <w:color w:val="auto"/>
              </w:rPr>
              <w:t>August 21, 2015</w:t>
            </w:r>
            <w:r>
              <w:rPr>
                <w:rFonts w:ascii="Arial" w:cs="Arial" w:eastAsia="Arial" w:hAnsi="Arial"/>
                <w:sz w:val="27"/>
                <w:szCs w:val="27"/>
                <w:color w:val="auto"/>
                <w:vertAlign w:val="superscript"/>
              </w:rPr>
              <w:t>(1)</w:t>
            </w:r>
          </w:p>
        </w:tc>
        <w:tc>
          <w:tcPr>
            <w:tcW w:w="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August 28,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776</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1,819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tcPr>
          <w:p>
            <w:pPr>
              <w:spacing w:after="0"/>
              <w:rPr>
                <w:sz w:val="21"/>
                <w:szCs w:val="21"/>
                <w:color w:val="auto"/>
              </w:rPr>
            </w:pPr>
          </w:p>
        </w:tc>
        <w:tc>
          <w:tcPr>
            <w:tcW w:w="1580" w:type="dxa"/>
            <w:vAlign w:val="bottom"/>
          </w:tcPr>
          <w:p>
            <w:pPr>
              <w:ind w:left="80"/>
              <w:spacing w:after="0" w:line="242" w:lineRule="exact"/>
              <w:rPr>
                <w:sz w:val="20"/>
                <w:szCs w:val="20"/>
                <w:color w:val="auto"/>
              </w:rPr>
            </w:pPr>
            <w:r>
              <w:rPr>
                <w:rFonts w:ascii="Arial" w:cs="Arial" w:eastAsia="Arial" w:hAnsi="Arial"/>
                <w:sz w:val="16"/>
                <w:szCs w:val="16"/>
                <w:color w:val="auto"/>
                <w:w w:val="88"/>
              </w:rPr>
              <w:t>September 23, 2015</w:t>
            </w:r>
            <w:r>
              <w:rPr>
                <w:rFonts w:ascii="Arial" w:cs="Arial" w:eastAsia="Arial" w:hAnsi="Arial"/>
                <w:sz w:val="27"/>
                <w:szCs w:val="27"/>
                <w:color w:val="auto"/>
                <w:w w:val="88"/>
                <w:vertAlign w:val="superscript"/>
              </w:rPr>
              <w:t>(1)</w:t>
            </w:r>
          </w:p>
        </w:tc>
        <w:tc>
          <w:tcPr>
            <w:tcW w:w="60" w:type="dxa"/>
            <w:vAlign w:val="bottom"/>
          </w:tcPr>
          <w:p>
            <w:pPr>
              <w:spacing w:after="0"/>
              <w:rPr>
                <w:sz w:val="21"/>
                <w:szCs w:val="21"/>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September 29,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739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4,475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line="242" w:lineRule="exact"/>
              <w:rPr>
                <w:sz w:val="20"/>
                <w:szCs w:val="20"/>
                <w:color w:val="auto"/>
              </w:rPr>
            </w:pPr>
            <w:r>
              <w:rPr>
                <w:rFonts w:ascii="Arial" w:cs="Arial" w:eastAsia="Arial" w:hAnsi="Arial"/>
                <w:sz w:val="16"/>
                <w:szCs w:val="16"/>
                <w:color w:val="auto"/>
              </w:rPr>
              <w:t>October 23, 2015</w:t>
            </w:r>
            <w:r>
              <w:rPr>
                <w:rFonts w:ascii="Arial" w:cs="Arial" w:eastAsia="Arial" w:hAnsi="Arial"/>
                <w:sz w:val="27"/>
                <w:szCs w:val="27"/>
                <w:color w:val="auto"/>
                <w:vertAlign w:val="superscript"/>
              </w:rPr>
              <w:t>(1)</w:t>
            </w:r>
          </w:p>
        </w:tc>
        <w:tc>
          <w:tcPr>
            <w:tcW w:w="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October 29,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2,974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tcPr>
          <w:p>
            <w:pPr>
              <w:spacing w:after="0"/>
              <w:rPr>
                <w:sz w:val="21"/>
                <w:szCs w:val="21"/>
                <w:color w:val="auto"/>
              </w:rPr>
            </w:pPr>
          </w:p>
        </w:tc>
        <w:tc>
          <w:tcPr>
            <w:tcW w:w="1580" w:type="dxa"/>
            <w:vAlign w:val="bottom"/>
          </w:tcPr>
          <w:p>
            <w:pPr>
              <w:ind w:left="80"/>
              <w:spacing w:after="0" w:line="242" w:lineRule="exact"/>
              <w:rPr>
                <w:sz w:val="20"/>
                <w:szCs w:val="20"/>
                <w:color w:val="auto"/>
              </w:rPr>
            </w:pPr>
            <w:r>
              <w:rPr>
                <w:rFonts w:ascii="Arial" w:cs="Arial" w:eastAsia="Arial" w:hAnsi="Arial"/>
                <w:sz w:val="16"/>
                <w:szCs w:val="16"/>
                <w:color w:val="auto"/>
                <w:w w:val="91"/>
              </w:rPr>
              <w:t>November 20, 2015</w:t>
            </w:r>
            <w:r>
              <w:rPr>
                <w:rFonts w:ascii="Arial" w:cs="Arial" w:eastAsia="Arial" w:hAnsi="Arial"/>
                <w:sz w:val="27"/>
                <w:szCs w:val="27"/>
                <w:color w:val="auto"/>
                <w:w w:val="91"/>
                <w:vertAlign w:val="superscript"/>
              </w:rPr>
              <w:t>(1)</w:t>
            </w:r>
          </w:p>
        </w:tc>
        <w:tc>
          <w:tcPr>
            <w:tcW w:w="60" w:type="dxa"/>
            <w:vAlign w:val="bottom"/>
          </w:tcPr>
          <w:p>
            <w:pPr>
              <w:spacing w:after="0"/>
              <w:rPr>
                <w:sz w:val="21"/>
                <w:szCs w:val="21"/>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November 27,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753</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2,694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line="242" w:lineRule="exact"/>
              <w:rPr>
                <w:sz w:val="20"/>
                <w:szCs w:val="20"/>
                <w:color w:val="auto"/>
              </w:rPr>
            </w:pPr>
            <w:r>
              <w:rPr>
                <w:rFonts w:ascii="Arial" w:cs="Arial" w:eastAsia="Arial" w:hAnsi="Arial"/>
                <w:sz w:val="16"/>
                <w:szCs w:val="16"/>
                <w:color w:val="auto"/>
                <w:w w:val="91"/>
              </w:rPr>
              <w:t>December 22, 2015</w:t>
            </w:r>
            <w:r>
              <w:rPr>
                <w:rFonts w:ascii="Arial" w:cs="Arial" w:eastAsia="Arial" w:hAnsi="Arial"/>
                <w:sz w:val="27"/>
                <w:szCs w:val="27"/>
                <w:color w:val="auto"/>
                <w:w w:val="91"/>
                <w:vertAlign w:val="superscript"/>
              </w:rPr>
              <w:t>(1)</w:t>
            </w:r>
          </w:p>
        </w:tc>
        <w:tc>
          <w:tcPr>
            <w:tcW w:w="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December 30,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764</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April 1, 2015</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April 23, 2015</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April 29,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2,581</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April 1, 2015</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21, 2015</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May 28,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2,529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3,126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April 1, 2015</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June 22, 2015</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June 29,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2,483</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4,266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July 1, 2015</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July 23, 2015</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July 30,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2,454</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July 1, 2015</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August 21, 2015</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August, 28,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2,434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5,701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July 1, 2015</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September 23, 2015</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September 29,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2,320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14,026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October 1, 2015</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October 23, 2015</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October 29,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2,349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9,317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October 1, 2015</w:t>
            </w: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November 20, 2015</w:t>
            </w: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November 27,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2,358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8,443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October 1, 2015</w:t>
            </w:r>
          </w:p>
        </w:tc>
        <w:tc>
          <w:tcPr>
            <w:tcW w:w="6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December 22, 2015</w:t>
            </w:r>
          </w:p>
        </w:tc>
        <w:tc>
          <w:tcPr>
            <w:tcW w:w="6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color w:val="auto"/>
              </w:rPr>
              <w:t>December 30,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2,392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6,929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920" w:type="dxa"/>
            <w:vAlign w:val="bottom"/>
            <w:gridSpan w:val="7"/>
            <w:shd w:val="clear" w:color="auto" w:fill="CCEEFF"/>
          </w:tcPr>
          <w:p>
            <w:pPr>
              <w:ind w:left="940"/>
              <w:spacing w:after="0"/>
              <w:rPr>
                <w:sz w:val="20"/>
                <w:szCs w:val="20"/>
                <w:color w:val="auto"/>
              </w:rPr>
            </w:pPr>
            <w:r>
              <w:rPr>
                <w:rFonts w:ascii="Arial" w:cs="Arial" w:eastAsia="Arial" w:hAnsi="Arial"/>
                <w:sz w:val="16"/>
                <w:szCs w:val="16"/>
                <w:color w:val="auto"/>
                <w:w w:val="94"/>
              </w:rPr>
              <w:t>Total Distributions Declared and Distributed for Fiscal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35,585</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77,783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-3867150</wp:posOffset>
            </wp:positionV>
            <wp:extent cx="5213985"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-3806825</wp:posOffset>
            </wp:positionV>
            <wp:extent cx="521398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February 26, 2015, the Company’s Board declared a special distribution of $0.50 per share of the Company’s common stock, to be paid monthly over the remainder of 2015.</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Share Repurchase Program</w:t>
      </w:r>
    </w:p>
    <w:p>
      <w:pPr>
        <w:spacing w:after="0" w:line="12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On February 26, 2015, the Company’s Board authorized a program for the purpose of repurchasing up to $12.0 million worth of its common stock. Under the repurchase program, the Company could have, but was not obligated to, repurchase its outstanding common stock in the open market from time to time provided that the Company complied with the prohibitions under its Insider Trading Policies and Procedures and the guidelines specified in Rule 10b-18 of the 1934 Act, as amended, including certain price, market volume and timing constraints. The repurchase program was in place until the earlier of March 31, 2016 or until $12.0 million of the Company’s outstanding shares of common stock had been repurchased. As of December 31, 2017, the repurchase program has expired and has not been extended by the Board.</w:t>
      </w:r>
    </w:p>
    <w:p>
      <w:pPr>
        <w:spacing w:after="0" w:line="70" w:lineRule="exact"/>
        <w:rPr>
          <w:sz w:val="20"/>
          <w:szCs w:val="20"/>
          <w:color w:val="auto"/>
        </w:rPr>
      </w:pPr>
    </w:p>
    <w:p>
      <w:pPr>
        <w:ind w:left="40" w:right="519" w:firstLine="270"/>
        <w:spacing w:after="0" w:line="276" w:lineRule="auto"/>
        <w:rPr>
          <w:sz w:val="20"/>
          <w:szCs w:val="20"/>
          <w:color w:val="auto"/>
        </w:rPr>
      </w:pPr>
      <w:r>
        <w:rPr>
          <w:rFonts w:ascii="Arial" w:cs="Arial" w:eastAsia="Arial" w:hAnsi="Arial"/>
          <w:sz w:val="17"/>
          <w:szCs w:val="17"/>
          <w:color w:val="auto"/>
        </w:rPr>
        <w:t>The Company repurchased 774,858 shares of common stock in open market transactions for an aggregate cost (including transaction costs) of $12.0 million, utilizing the maximum amount available under the repurchase program. The Company is incorporated in Maryland and under the laws of the state, shares repurchased are considered retired (repurchased shares become authorized but unissued shares) rather than treasury stock. As a result, the cost of the stock repurchased is recorded as a reduction to capital in excess of par value on the consolidated statement of changes in net assets.</w:t>
      </w:r>
    </w:p>
    <w:p>
      <w:pPr>
        <w:spacing w:after="0" w:line="200" w:lineRule="exact"/>
        <w:rPr>
          <w:sz w:val="20"/>
          <w:szCs w:val="20"/>
          <w:color w:val="auto"/>
        </w:r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4" w:name="page155"/>
    <w:bookmarkEnd w:id="15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Financial Highlights</w:t>
      </w:r>
    </w:p>
    <w:p>
      <w:pPr>
        <w:spacing w:after="0" w:line="121"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The following is a schedule of financial highlights for the years ended December 31, 2017, 2016, 2015, 2014 and 2013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7431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data:</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asset value at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line="242" w:lineRule="exact"/>
              <w:rPr>
                <w:sz w:val="20"/>
                <w:szCs w:val="20"/>
                <w:color w:val="auto"/>
              </w:rPr>
            </w:pPr>
            <w:r>
              <w:rPr>
                <w:rFonts w:ascii="Arial" w:cs="Arial" w:eastAsia="Arial" w:hAnsi="Arial"/>
                <w:sz w:val="16"/>
                <w:szCs w:val="16"/>
                <w:color w:val="auto"/>
              </w:rPr>
              <w:t>Net investment income</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0.98</w:t>
            </w:r>
          </w:p>
        </w:tc>
        <w:tc>
          <w:tcPr>
            <w:tcW w:w="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line="242" w:lineRule="exact"/>
              <w:rPr>
                <w:sz w:val="20"/>
                <w:szCs w:val="20"/>
                <w:color w:val="auto"/>
              </w:rPr>
            </w:pPr>
            <w:r>
              <w:rPr>
                <w:rFonts w:ascii="Arial" w:cs="Arial" w:eastAsia="Arial" w:hAnsi="Arial"/>
                <w:sz w:val="16"/>
                <w:szCs w:val="16"/>
                <w:color w:val="auto"/>
              </w:rPr>
              <w:t>Net realized gain (loss) on investments</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0.35</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rPr>
                <w:sz w:val="20"/>
                <w:szCs w:val="20"/>
                <w:color w:val="auto"/>
              </w:rPr>
            </w:pPr>
            <w:r>
              <w:rPr>
                <w:rFonts w:ascii="Arial" w:cs="Arial" w:eastAsia="Arial" w:hAnsi="Arial"/>
                <w:sz w:val="16"/>
                <w:szCs w:val="16"/>
                <w:color w:val="auto"/>
                <w:w w:val="95"/>
              </w:rPr>
              <w:t>Net unrealized appreciation (depreciation) on</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080" w:type="dxa"/>
            <w:vAlign w:val="bottom"/>
          </w:tcPr>
          <w:p>
            <w:pPr>
              <w:ind w:left="200"/>
              <w:spacing w:after="0" w:line="254" w:lineRule="exact"/>
              <w:rPr>
                <w:sz w:val="20"/>
                <w:szCs w:val="20"/>
                <w:color w:val="auto"/>
              </w:rPr>
            </w:pPr>
            <w:r>
              <w:rPr>
                <w:rFonts w:ascii="Arial" w:cs="Arial" w:eastAsia="Arial" w:hAnsi="Arial"/>
                <w:sz w:val="16"/>
                <w:szCs w:val="16"/>
                <w:color w:val="auto"/>
              </w:rPr>
              <w:t>investments</w:t>
            </w:r>
            <w:r>
              <w:rPr>
                <w:rFonts w:ascii="Arial" w:cs="Arial" w:eastAsia="Arial" w:hAnsi="Arial"/>
                <w:sz w:val="27"/>
                <w:szCs w:val="27"/>
                <w:color w:val="auto"/>
                <w:vertAlign w:val="superscript"/>
              </w:rPr>
              <w:t>(1)</w:t>
            </w:r>
          </w:p>
        </w:tc>
        <w:tc>
          <w:tcPr>
            <w:tcW w:w="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0.44</w:t>
            </w:r>
          </w:p>
        </w:tc>
        <w:tc>
          <w:tcPr>
            <w:tcW w:w="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0.35</w:t>
            </w:r>
          </w:p>
        </w:tc>
        <w:tc>
          <w:tcPr>
            <w:tcW w:w="8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192"/>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Net unrealized depreciation on Written Call</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080" w:type="dxa"/>
            <w:vAlign w:val="bottom"/>
            <w:shd w:val="clear" w:color="auto" w:fill="CCEEFF"/>
          </w:tcPr>
          <w:p>
            <w:pPr>
              <w:ind w:left="200"/>
              <w:spacing w:after="0" w:line="254" w:lineRule="exact"/>
              <w:rPr>
                <w:sz w:val="20"/>
                <w:szCs w:val="20"/>
                <w:color w:val="auto"/>
              </w:rPr>
            </w:pPr>
            <w:r>
              <w:rPr>
                <w:rFonts w:ascii="Arial" w:cs="Arial" w:eastAsia="Arial" w:hAnsi="Arial"/>
                <w:sz w:val="16"/>
                <w:szCs w:val="16"/>
                <w:color w:val="auto"/>
              </w:rPr>
              <w:t>Option</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(0.26)</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(0.17)</w:t>
            </w:r>
          </w:p>
        </w:tc>
        <w:tc>
          <w:tcPr>
            <w:tcW w:w="8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line="242" w:lineRule="exact"/>
              <w:rPr>
                <w:sz w:val="20"/>
                <w:szCs w:val="20"/>
                <w:color w:val="auto"/>
              </w:rPr>
            </w:pPr>
            <w:r>
              <w:rPr>
                <w:rFonts w:ascii="Arial" w:cs="Arial" w:eastAsia="Arial" w:hAnsi="Arial"/>
                <w:sz w:val="16"/>
                <w:szCs w:val="16"/>
                <w:color w:val="auto"/>
              </w:rPr>
              <w:t>Tax provision</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(0.08)</w:t>
            </w:r>
          </w:p>
        </w:tc>
        <w:tc>
          <w:tcPr>
            <w:tcW w:w="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declared from net investment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6"/>
                <w:szCs w:val="16"/>
                <w:color w:val="auto"/>
                <w:w w:val="94"/>
              </w:rPr>
              <w:t>Distributions declared from net realized gains</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(0.50)</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Partners’ capital distribution</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6"/>
                <w:szCs w:val="16"/>
                <w:color w:val="auto"/>
              </w:rPr>
              <w:t>Distribution to partners</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(0.15)</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Arial" w:cs="Arial" w:eastAsia="Arial" w:hAnsi="Arial"/>
                <w:sz w:val="16"/>
                <w:szCs w:val="16"/>
                <w:color w:val="auto"/>
              </w:rPr>
              <w:t>Accretive impact of stock</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200"/>
              <w:spacing w:after="0"/>
              <w:rPr>
                <w:sz w:val="20"/>
                <w:szCs w:val="20"/>
                <w:color w:val="auto"/>
              </w:rPr>
            </w:pPr>
            <w:r>
              <w:rPr>
                <w:rFonts w:ascii="Arial" w:cs="Arial" w:eastAsia="Arial" w:hAnsi="Arial"/>
                <w:sz w:val="16"/>
                <w:szCs w:val="16"/>
                <w:color w:val="auto"/>
              </w:rPr>
              <w:t>repurchase</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0.13</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3080" w:type="dxa"/>
            <w:vAlign w:val="bottom"/>
            <w:shd w:val="clear" w:color="auto" w:fill="CCEEFF"/>
          </w:tcPr>
          <w:p>
            <w:pPr>
              <w:ind w:left="20"/>
              <w:spacing w:after="0" w:line="246"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(7)</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6"/>
                <w:szCs w:val="16"/>
                <w:color w:val="auto"/>
              </w:rPr>
              <w:t>Net asset value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13.91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15.79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17.04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18.56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221,887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250,582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268,802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240,837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268,670</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6"/>
                <w:szCs w:val="16"/>
                <w:color w:val="auto"/>
              </w:rPr>
              <w:t>Shares outstanding at end of period</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15,951,231</w:t>
            </w:r>
          </w:p>
        </w:tc>
        <w:tc>
          <w:tcPr>
            <w:tcW w:w="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15,868,045</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15,777,345</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12,974,420</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12,974,420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market value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line="242" w:lineRule="exact"/>
              <w:rPr>
                <w:sz w:val="20"/>
                <w:szCs w:val="20"/>
                <w:color w:val="auto"/>
              </w:rPr>
            </w:pPr>
            <w:r>
              <w:rPr>
                <w:rFonts w:ascii="Arial" w:cs="Arial" w:eastAsia="Arial" w:hAnsi="Arial"/>
                <w:sz w:val="16"/>
                <w:szCs w:val="16"/>
                <w:color w:val="auto"/>
              </w:rPr>
              <w:t>Total return based on market value</w:t>
            </w:r>
            <w:r>
              <w:rPr>
                <w:rFonts w:ascii="Arial" w:cs="Arial" w:eastAsia="Arial" w:hAnsi="Arial"/>
                <w:sz w:val="27"/>
                <w:szCs w:val="27"/>
                <w:color w:val="auto"/>
                <w:vertAlign w:val="superscript"/>
              </w:rPr>
              <w:t>(2)</w:t>
            </w:r>
          </w:p>
        </w:tc>
        <w:tc>
          <w:tcPr>
            <w:tcW w:w="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(35.68)%</w:t>
            </w:r>
          </w:p>
        </w:tc>
        <w:tc>
          <w:tcPr>
            <w:tcW w:w="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24.07%</w:t>
            </w:r>
          </w:p>
        </w:tc>
        <w:tc>
          <w:tcPr>
            <w:tcW w:w="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(20.43)%</w:t>
            </w:r>
          </w:p>
        </w:tc>
        <w:tc>
          <w:tcPr>
            <w:tcW w:w="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(0.85)%</w:t>
            </w:r>
          </w:p>
        </w:tc>
        <w:tc>
          <w:tcPr>
            <w:tcW w:w="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Ratio/Supplemental data:</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Arial" w:cs="Arial" w:eastAsia="Arial" w:hAnsi="Arial"/>
                <w:sz w:val="16"/>
                <w:szCs w:val="16"/>
                <w:color w:val="auto"/>
                <w:w w:val="93"/>
              </w:rPr>
              <w:t>Ratio of net investment income to average net</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200"/>
              <w:spacing w:after="0"/>
              <w:rPr>
                <w:sz w:val="20"/>
                <w:szCs w:val="20"/>
                <w:color w:val="auto"/>
              </w:rPr>
            </w:pPr>
            <w:r>
              <w:rPr>
                <w:rFonts w:ascii="Arial" w:cs="Arial" w:eastAsia="Arial" w:hAnsi="Arial"/>
                <w:sz w:val="16"/>
                <w:szCs w:val="16"/>
                <w:color w:val="auto"/>
              </w:rPr>
              <w:t>assets</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6.54%</w:t>
            </w: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11.32%</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9.55%</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7.78%</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7.68%</w:t>
            </w:r>
          </w:p>
        </w:tc>
        <w:tc>
          <w:tcPr>
            <w:tcW w:w="0" w:type="dxa"/>
            <w:vAlign w:val="bottom"/>
          </w:tcPr>
          <w:p>
            <w:pPr>
              <w:spacing w:after="0"/>
              <w:rPr>
                <w:sz w:val="1"/>
                <w:szCs w:val="1"/>
                <w:color w:val="auto"/>
              </w:rPr>
            </w:pPr>
          </w:p>
        </w:tc>
      </w:tr>
      <w:tr>
        <w:trPr>
          <w:trHeight w:val="195"/>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incentive fee, net of incentive fee</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080" w:type="dxa"/>
            <w:vAlign w:val="bottom"/>
            <w:shd w:val="clear" w:color="auto" w:fill="CCEEFF"/>
          </w:tcPr>
          <w:p>
            <w:pPr>
              <w:ind w:left="200"/>
              <w:spacing w:after="0" w:line="254" w:lineRule="exact"/>
              <w:rPr>
                <w:sz w:val="20"/>
                <w:szCs w:val="20"/>
                <w:color w:val="auto"/>
              </w:rPr>
            </w:pPr>
            <w:r>
              <w:rPr>
                <w:rFonts w:ascii="Arial" w:cs="Arial" w:eastAsia="Arial" w:hAnsi="Arial"/>
                <w:sz w:val="16"/>
                <w:szCs w:val="16"/>
                <w:color w:val="auto"/>
              </w:rPr>
              <w:t>waiver, to average net assets</w:t>
            </w:r>
            <w:r>
              <w:rPr>
                <w:rFonts w:ascii="Arial" w:cs="Arial" w:eastAsia="Arial" w:hAnsi="Arial"/>
                <w:sz w:val="27"/>
                <w:szCs w:val="27"/>
                <w:color w:val="auto"/>
                <w:vertAlign w:val="superscript"/>
              </w:rPr>
              <w:t>(6)</w:t>
            </w:r>
          </w:p>
        </w:tc>
        <w:tc>
          <w:tcPr>
            <w:tcW w:w="8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0.15%</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2.01%</w:t>
            </w:r>
          </w:p>
        </w:tc>
        <w:tc>
          <w:tcPr>
            <w:tcW w:w="8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Arial" w:cs="Arial" w:eastAsia="Arial" w:hAnsi="Arial"/>
                <w:sz w:val="16"/>
                <w:szCs w:val="16"/>
                <w:color w:val="auto"/>
              </w:rPr>
              <w:t>Ratio of interest and financing expenses to</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200"/>
              <w:spacing w:after="0"/>
              <w:rPr>
                <w:sz w:val="20"/>
                <w:szCs w:val="20"/>
                <w:color w:val="auto"/>
              </w:rPr>
            </w:pPr>
            <w:r>
              <w:rPr>
                <w:rFonts w:ascii="Arial" w:cs="Arial" w:eastAsia="Arial" w:hAnsi="Arial"/>
                <w:sz w:val="16"/>
                <w:szCs w:val="16"/>
                <w:color w:val="auto"/>
              </w:rPr>
              <w:t>average net assets</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7.94%</w:t>
            </w: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7.68%</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7.17%</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5.21%</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loss on extinguishment of debt to</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average net assets</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6"/>
                <w:szCs w:val="16"/>
                <w:color w:val="auto"/>
                <w:w w:val="99"/>
              </w:rPr>
              <w:t>Ratio of tax provision to average net assets</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0.54%</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other operating expenses net of</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management fee waiver to average net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080" w:type="dxa"/>
            <w:vAlign w:val="bottom"/>
            <w:shd w:val="clear" w:color="auto" w:fill="CCEEFF"/>
          </w:tcPr>
          <w:p>
            <w:pPr>
              <w:ind w:left="200"/>
              <w:spacing w:after="0" w:line="254" w:lineRule="exact"/>
              <w:rPr>
                <w:sz w:val="20"/>
                <w:szCs w:val="20"/>
                <w:color w:val="auto"/>
              </w:rPr>
            </w:pPr>
            <w:r>
              <w:rPr>
                <w:rFonts w:ascii="Arial" w:cs="Arial" w:eastAsia="Arial" w:hAnsi="Arial"/>
                <w:sz w:val="16"/>
                <w:szCs w:val="16"/>
                <w:color w:val="auto"/>
              </w:rPr>
              <w:t>assets</w:t>
            </w:r>
            <w:r>
              <w:rPr>
                <w:rFonts w:ascii="Arial" w:cs="Arial" w:eastAsia="Arial" w:hAnsi="Arial"/>
                <w:sz w:val="27"/>
                <w:szCs w:val="27"/>
                <w:color w:val="auto"/>
                <w:vertAlign w:val="superscript"/>
              </w:rPr>
              <w:t>(8)</w:t>
            </w:r>
          </w:p>
        </w:tc>
        <w:tc>
          <w:tcPr>
            <w:tcW w:w="8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5.61%</w:t>
            </w:r>
          </w:p>
        </w:tc>
        <w:tc>
          <w:tcPr>
            <w:tcW w:w="8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5.52%</w:t>
            </w:r>
          </w:p>
        </w:tc>
        <w:tc>
          <w:tcPr>
            <w:tcW w:w="8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Arial" w:cs="Arial" w:eastAsia="Arial" w:hAnsi="Arial"/>
                <w:sz w:val="16"/>
                <w:szCs w:val="16"/>
                <w:color w:val="auto"/>
              </w:rPr>
              <w:t>Ratio of total expenses including tax</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80" w:type="dxa"/>
            <w:vAlign w:val="bottom"/>
          </w:tcPr>
          <w:p>
            <w:pPr>
              <w:ind w:left="200"/>
              <w:spacing w:after="0"/>
              <w:rPr>
                <w:sz w:val="20"/>
                <w:szCs w:val="20"/>
                <w:color w:val="auto"/>
              </w:rPr>
            </w:pPr>
            <w:r>
              <w:rPr>
                <w:rFonts w:ascii="Arial" w:cs="Arial" w:eastAsia="Arial" w:hAnsi="Arial"/>
                <w:sz w:val="16"/>
                <w:szCs w:val="16"/>
                <w:color w:val="auto"/>
                <w:w w:val="93"/>
              </w:rPr>
              <w:t>provision, net of fee waivers to average net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080" w:type="dxa"/>
            <w:vAlign w:val="bottom"/>
          </w:tcPr>
          <w:p>
            <w:pPr>
              <w:ind w:left="200"/>
              <w:spacing w:after="0" w:line="254" w:lineRule="exact"/>
              <w:rPr>
                <w:sz w:val="20"/>
                <w:szCs w:val="20"/>
                <w:color w:val="auto"/>
              </w:rPr>
            </w:pPr>
            <w:r>
              <w:rPr>
                <w:rFonts w:ascii="Arial" w:cs="Arial" w:eastAsia="Arial" w:hAnsi="Arial"/>
                <w:sz w:val="16"/>
                <w:szCs w:val="16"/>
                <w:color w:val="auto"/>
              </w:rPr>
              <w:t>assets</w:t>
            </w:r>
            <w:r>
              <w:rPr>
                <w:rFonts w:ascii="Arial" w:cs="Arial" w:eastAsia="Arial" w:hAnsi="Arial"/>
                <w:sz w:val="27"/>
                <w:szCs w:val="27"/>
                <w:color w:val="auto"/>
                <w:vertAlign w:val="superscript"/>
              </w:rPr>
              <w:t>(6)(8)</w:t>
            </w:r>
          </w:p>
        </w:tc>
        <w:tc>
          <w:tcPr>
            <w:tcW w:w="8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15.53%</w:t>
            </w:r>
          </w:p>
        </w:tc>
        <w:tc>
          <w:tcPr>
            <w:tcW w:w="8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15.30%</w:t>
            </w:r>
          </w:p>
        </w:tc>
        <w:tc>
          <w:tcPr>
            <w:tcW w:w="8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14.57%</w:t>
            </w:r>
          </w:p>
        </w:tc>
        <w:tc>
          <w:tcPr>
            <w:tcW w:w="8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11.52%</w:t>
            </w:r>
          </w:p>
        </w:tc>
        <w:tc>
          <w:tcPr>
            <w:tcW w:w="8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line="242" w:lineRule="exact"/>
              <w:rPr>
                <w:sz w:val="20"/>
                <w:szCs w:val="20"/>
                <w:color w:val="auto"/>
              </w:rPr>
            </w:pPr>
            <w:r>
              <w:rPr>
                <w:rFonts w:ascii="Arial" w:cs="Arial" w:eastAsia="Arial" w:hAnsi="Arial"/>
                <w:sz w:val="16"/>
                <w:szCs w:val="16"/>
                <w:color w:val="auto"/>
              </w:rPr>
              <w:t>Portfolio turnover rate</w:t>
            </w:r>
            <w:r>
              <w:rPr>
                <w:rFonts w:ascii="Arial" w:cs="Arial" w:eastAsia="Arial" w:hAnsi="Arial"/>
                <w:sz w:val="27"/>
                <w:szCs w:val="27"/>
                <w:color w:val="auto"/>
                <w:vertAlign w:val="superscript"/>
              </w:rPr>
              <w:t>(3)</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16.34%</w:t>
            </w: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21.33%</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25.99%</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18.62%</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16.77%</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line="242" w:lineRule="exact"/>
              <w:rPr>
                <w:sz w:val="20"/>
                <w:szCs w:val="20"/>
                <w:color w:val="auto"/>
              </w:rPr>
            </w:pPr>
            <w:r>
              <w:rPr>
                <w:rFonts w:ascii="Arial" w:cs="Arial" w:eastAsia="Arial" w:hAnsi="Arial"/>
                <w:sz w:val="16"/>
                <w:szCs w:val="16"/>
                <w:color w:val="auto"/>
              </w:rPr>
              <w:t>Average debt outstanding</w:t>
            </w:r>
            <w:r>
              <w:rPr>
                <w:rFonts w:ascii="Arial" w:cs="Arial" w:eastAsia="Arial" w:hAnsi="Arial"/>
                <w:sz w:val="27"/>
                <w:szCs w:val="27"/>
                <w:color w:val="auto"/>
                <w:vertAlign w:val="superscript"/>
              </w:rPr>
              <w:t>(4)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325,314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356,758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324,824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255,268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198,159</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Average debt outstanding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353"/>
        </w:trPr>
        <w:tc>
          <w:tcPr>
            <w:tcW w:w="3080" w:type="dxa"/>
            <w:vAlign w:val="bottom"/>
          </w:tcPr>
          <w:p>
            <w:pPr>
              <w:ind w:left="20"/>
              <w:spacing w:after="0"/>
              <w:rPr>
                <w:sz w:val="20"/>
                <w:szCs w:val="20"/>
                <w:color w:val="auto"/>
              </w:rPr>
            </w:pPr>
            <w:r>
              <w:rPr>
                <w:rFonts w:ascii="Arial" w:cs="Arial" w:eastAsia="Arial" w:hAnsi="Arial"/>
                <w:sz w:val="16"/>
                <w:szCs w:val="16"/>
                <w:color w:val="auto"/>
              </w:rPr>
              <w:t>Asset coverage ratio per unit</w:t>
            </w:r>
            <w:r>
              <w:rPr>
                <w:rFonts w:ascii="Arial" w:cs="Arial" w:eastAsia="Arial" w:hAnsi="Arial"/>
                <w:sz w:val="27"/>
                <w:szCs w:val="27"/>
                <w:color w:val="auto"/>
                <w:vertAlign w:val="superscript"/>
              </w:rPr>
              <w:t>(5)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2,630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2,592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2,465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1,788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-3482340</wp:posOffset>
            </wp:positionV>
            <wp:extent cx="5282565" cy="1460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82565" cy="1460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5" w:name="page156"/>
    <w:bookmarkEnd w:id="155"/>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17.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189230</wp:posOffset>
            </wp:positionV>
            <wp:extent cx="6172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20" w:hanging="272"/>
        <w:spacing w:after="0"/>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117" w:lineRule="exact"/>
        <w:rPr>
          <w:rFonts w:ascii="Arial" w:cs="Arial" w:eastAsia="Arial" w:hAnsi="Arial"/>
          <w:sz w:val="18"/>
          <w:szCs w:val="18"/>
          <w:color w:val="auto"/>
        </w:rPr>
      </w:pPr>
    </w:p>
    <w:p>
      <w:pPr>
        <w:ind w:left="420" w:right="659" w:hanging="272"/>
        <w:spacing w:after="0" w:line="270" w:lineRule="auto"/>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Total investment return for the years ended December 31, 2017, 2016, 2015, and 2014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 for the year ended December 31, 2013 is calculated assuming a purchase of common shares at the IPO offering price per share at September 25, 2013, of $20.00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73" w:lineRule="exact"/>
        <w:rPr>
          <w:rFonts w:ascii="Arial" w:cs="Arial" w:eastAsia="Arial" w:hAnsi="Arial"/>
          <w:sz w:val="17"/>
          <w:szCs w:val="17"/>
          <w:color w:val="auto"/>
        </w:rPr>
      </w:pPr>
    </w:p>
    <w:p>
      <w:pPr>
        <w:ind w:left="420" w:right="1039" w:hanging="272"/>
        <w:spacing w:after="0" w:line="277" w:lineRule="auto"/>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w:t>
      </w:r>
    </w:p>
    <w:p>
      <w:pPr>
        <w:spacing w:after="0" w:line="62" w:lineRule="exact"/>
        <w:rPr>
          <w:rFonts w:ascii="Arial" w:cs="Arial" w:eastAsia="Arial" w:hAnsi="Arial"/>
          <w:sz w:val="18"/>
          <w:szCs w:val="18"/>
          <w:color w:val="auto"/>
        </w:rPr>
      </w:pPr>
    </w:p>
    <w:p>
      <w:pPr>
        <w:ind w:left="420" w:hanging="272"/>
        <w:spacing w:after="0"/>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117" w:lineRule="exact"/>
        <w:rPr>
          <w:rFonts w:ascii="Arial" w:cs="Arial" w:eastAsia="Arial" w:hAnsi="Arial"/>
          <w:sz w:val="18"/>
          <w:szCs w:val="18"/>
          <w:color w:val="auto"/>
        </w:rPr>
      </w:pPr>
    </w:p>
    <w:p>
      <w:pPr>
        <w:ind w:left="420" w:right="579" w:hanging="272"/>
        <w:spacing w:after="0" w:line="273" w:lineRule="auto"/>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December 31, 2017, 2016, and 2015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indebtedness.</w:t>
      </w:r>
    </w:p>
    <w:p>
      <w:pPr>
        <w:spacing w:after="0" w:line="70" w:lineRule="exact"/>
        <w:rPr>
          <w:rFonts w:ascii="Arial" w:cs="Arial" w:eastAsia="Arial" w:hAnsi="Arial"/>
          <w:sz w:val="17"/>
          <w:szCs w:val="17"/>
          <w:color w:val="auto"/>
        </w:rPr>
      </w:pPr>
    </w:p>
    <w:p>
      <w:pPr>
        <w:ind w:left="420" w:right="839" w:hanging="272"/>
        <w:spacing w:after="0" w:line="342" w:lineRule="auto"/>
        <w:tabs>
          <w:tab w:leader="none" w:pos="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ratio of waived incentive fees to average net assets was 0.40% and 0.65%, and 0.40% for the years ended December 31, 2017, 2016 and 2015, respectively. There were no waived incentive fees for the years ended December 31, 2014 and 2013.</w:t>
      </w:r>
    </w:p>
    <w:p>
      <w:pPr>
        <w:spacing w:after="0" w:line="15" w:lineRule="exact"/>
        <w:rPr>
          <w:rFonts w:ascii="Arial" w:cs="Arial" w:eastAsia="Arial" w:hAnsi="Arial"/>
          <w:sz w:val="16"/>
          <w:szCs w:val="16"/>
          <w:color w:val="auto"/>
        </w:rPr>
      </w:pPr>
    </w:p>
    <w:p>
      <w:pPr>
        <w:ind w:left="420" w:right="639" w:hanging="272"/>
        <w:spacing w:after="0" w:line="264" w:lineRule="auto"/>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73" w:lineRule="exact"/>
        <w:rPr>
          <w:rFonts w:ascii="Arial" w:cs="Arial" w:eastAsia="Arial" w:hAnsi="Arial"/>
          <w:sz w:val="18"/>
          <w:szCs w:val="18"/>
          <w:color w:val="auto"/>
        </w:rPr>
      </w:pPr>
    </w:p>
    <w:p>
      <w:pPr>
        <w:ind w:left="420" w:right="739" w:hanging="272"/>
        <w:spacing w:after="0" w:line="342" w:lineRule="auto"/>
        <w:tabs>
          <w:tab w:leader="none" w:pos="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ratio of waived management fees to average net assets was 0.09% and 0.13% for the years ended December 31, 2014 and 2013, respectively. There were no waived management fees for the years ended December 31, 2017, 2016 and 2015.</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18. 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rPr>
              <w:t>For the quarter ended</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March 31, 2017</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investment income</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8"/>
              </w:rPr>
              <w:t>11,600</w:t>
            </w:r>
          </w:p>
        </w:tc>
        <w:tc>
          <w:tcPr>
            <w:tcW w:w="16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12,312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12,362</w:t>
            </w:r>
          </w:p>
        </w:tc>
        <w:tc>
          <w:tcPr>
            <w:tcW w:w="160" w:type="dxa"/>
            <w:vAlign w:val="bottom"/>
          </w:tcPr>
          <w:p>
            <w:pPr>
              <w:spacing w:after="0"/>
              <w:rPr>
                <w:sz w:val="18"/>
                <w:szCs w:val="18"/>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4,220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703</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1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8"/>
              </w:rPr>
              <w:t>Net increase (decrease) in net assets resulting from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(5,525)</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4,881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41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Net investment income per share</w:t>
            </w:r>
            <w:r>
              <w:rPr>
                <w:rFonts w:ascii="Arial" w:cs="Arial" w:eastAsia="Arial" w:hAnsi="Arial"/>
                <w:sz w:val="29"/>
                <w:szCs w:val="29"/>
                <w:color w:val="auto"/>
                <w:vertAlign w:val="superscript"/>
              </w:rPr>
              <w:t>(1)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4120" w:type="dxa"/>
            <w:vAlign w:val="bottom"/>
            <w:gridSpan w:val="2"/>
          </w:tcPr>
          <w:p>
            <w:pPr>
              <w:ind w:left="20"/>
              <w:spacing w:after="0" w:line="206" w:lineRule="exact"/>
              <w:rPr>
                <w:sz w:val="20"/>
                <w:szCs w:val="20"/>
                <w:color w:val="auto"/>
              </w:rPr>
            </w:pPr>
            <w:r>
              <w:rPr>
                <w:rFonts w:ascii="Arial" w:cs="Arial" w:eastAsia="Arial" w:hAnsi="Arial"/>
                <w:sz w:val="18"/>
                <w:szCs w:val="18"/>
                <w:color w:val="auto"/>
                <w:w w:val="98"/>
              </w:rPr>
              <w:t>Net increase (decrease) in net assets resulting from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4120" w:type="dxa"/>
            <w:vAlign w:val="bottom"/>
            <w:gridSpan w:val="2"/>
          </w:tcPr>
          <w:p>
            <w:pPr>
              <w:ind w:left="200"/>
              <w:spacing w:after="0" w:line="266" w:lineRule="exact"/>
              <w:rPr>
                <w:sz w:val="20"/>
                <w:szCs w:val="20"/>
                <w:color w:val="auto"/>
              </w:rPr>
            </w:pPr>
            <w:r>
              <w:rPr>
                <w:rFonts w:ascii="Arial" w:cs="Arial" w:eastAsia="Arial" w:hAnsi="Arial"/>
                <w:sz w:val="18"/>
                <w:szCs w:val="18"/>
                <w:color w:val="auto"/>
              </w:rPr>
              <w:t>operations per share</w:t>
            </w:r>
            <w:r>
              <w:rPr>
                <w:rFonts w:ascii="Arial" w:cs="Arial" w:eastAsia="Arial" w:hAnsi="Arial"/>
                <w:sz w:val="30"/>
                <w:szCs w:val="30"/>
                <w:color w:val="auto"/>
                <w:vertAlign w:val="superscript"/>
              </w:rPr>
              <w:t>(1)</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(0.35)</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0.31</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asset value per share at end of period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13.91</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14.97</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F-58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56" w:name="page157"/>
    <w:bookmarkEnd w:id="15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2017</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Selected Quarterly Financial Data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rPr>
              <w:t>For the quarter ended</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March 31, 2016</w:t>
            </w:r>
          </w:p>
        </w:tc>
        <w:tc>
          <w:tcPr>
            <w:tcW w:w="0" w:type="dxa"/>
            <w:vAlign w:val="bottom"/>
          </w:tcPr>
          <w:p>
            <w:pPr>
              <w:spacing w:after="0"/>
              <w:rPr>
                <w:sz w:val="1"/>
                <w:szCs w:val="1"/>
                <w:color w:val="auto"/>
              </w:rPr>
            </w:pPr>
          </w:p>
        </w:tc>
      </w:tr>
      <w:tr>
        <w:trPr>
          <w:trHeight w:val="171"/>
        </w:trPr>
        <w:tc>
          <w:tcPr>
            <w:tcW w:w="41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Total investment income</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16,515</w:t>
            </w:r>
          </w:p>
        </w:tc>
        <w:tc>
          <w:tcPr>
            <w:tcW w:w="16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17,357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16,991</w:t>
            </w:r>
          </w:p>
        </w:tc>
        <w:tc>
          <w:tcPr>
            <w:tcW w:w="16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02"/>
        </w:trPr>
        <w:tc>
          <w:tcPr>
            <w:tcW w:w="412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8"/>
              </w:rPr>
              <w:t>Net increase (decrease) in net assets resulting from</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3"/>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8,097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7,257</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57"/>
        </w:trPr>
        <w:tc>
          <w:tcPr>
            <w:tcW w:w="412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rPr>
              <w:t>Net investment income per share</w:t>
            </w:r>
            <w:r>
              <w:rPr>
                <w:rFonts w:ascii="Arial" w:cs="Arial" w:eastAsia="Arial" w:hAnsi="Arial"/>
                <w:sz w:val="29"/>
                <w:szCs w:val="29"/>
                <w:color w:val="auto"/>
                <w:vertAlign w:val="superscript"/>
              </w:rPr>
              <w:t>(1)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5"/>
        </w:trPr>
        <w:tc>
          <w:tcPr>
            <w:tcW w:w="4120" w:type="dxa"/>
            <w:vAlign w:val="bottom"/>
            <w:gridSpan w:val="4"/>
          </w:tcPr>
          <w:p>
            <w:pPr>
              <w:ind w:left="20"/>
              <w:spacing w:after="0" w:line="206" w:lineRule="exact"/>
              <w:rPr>
                <w:sz w:val="20"/>
                <w:szCs w:val="20"/>
                <w:color w:val="auto"/>
              </w:rPr>
            </w:pPr>
            <w:r>
              <w:rPr>
                <w:rFonts w:ascii="Arial" w:cs="Arial" w:eastAsia="Arial" w:hAnsi="Arial"/>
                <w:sz w:val="18"/>
                <w:szCs w:val="18"/>
                <w:color w:val="auto"/>
                <w:w w:val="98"/>
              </w:rPr>
              <w:t>Net increase (decrease) in net assets resulting from</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100" w:type="dxa"/>
            <w:vAlign w:val="bottom"/>
            <w:gridSpan w:val="3"/>
          </w:tcPr>
          <w:p>
            <w:pPr>
              <w:ind w:left="180"/>
              <w:spacing w:after="0" w:line="266" w:lineRule="exact"/>
              <w:rPr>
                <w:sz w:val="20"/>
                <w:szCs w:val="20"/>
                <w:color w:val="auto"/>
              </w:rPr>
            </w:pPr>
            <w:r>
              <w:rPr>
                <w:rFonts w:ascii="Arial" w:cs="Arial" w:eastAsia="Arial" w:hAnsi="Arial"/>
                <w:sz w:val="18"/>
                <w:szCs w:val="18"/>
                <w:color w:val="auto"/>
              </w:rPr>
              <w:t>operations per share</w:t>
            </w:r>
            <w:r>
              <w:rPr>
                <w:rFonts w:ascii="Arial" w:cs="Arial" w:eastAsia="Arial" w:hAnsi="Arial"/>
                <w:sz w:val="30"/>
                <w:szCs w:val="30"/>
                <w:color w:val="auto"/>
                <w:vertAlign w:val="superscript"/>
              </w:rPr>
              <w:t>(1)</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asset value per share at end of period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Calculated based on weighted average shares outstanding during the quarter.</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19. Subsequent Events</w:t>
      </w:r>
    </w:p>
    <w:p>
      <w:pPr>
        <w:spacing w:after="0" w:line="121" w:lineRule="exact"/>
        <w:rPr>
          <w:sz w:val="20"/>
          <w:szCs w:val="20"/>
          <w:color w:val="auto"/>
        </w:rPr>
      </w:pPr>
    </w:p>
    <w:p>
      <w:pPr>
        <w:ind w:left="60" w:right="819" w:firstLine="270"/>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and for the year ended December 31, 2017.</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On January 2, 2018, the Company’s Board declared normal monthly distributions for January, February and March of 2018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0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71"/>
        </w:trPr>
        <w:tc>
          <w:tcPr>
            <w:tcW w:w="3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2018</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22, 2018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30, 2018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January 2, 2018</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February 20, 2018</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February 27, 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2018</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23, 2018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29, 2018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200"/>
              <w:spacing w:after="0"/>
              <w:rPr>
                <w:sz w:val="20"/>
                <w:szCs w:val="20"/>
                <w:color w:val="auto"/>
              </w:rPr>
            </w:pPr>
            <w:r>
              <w:rPr>
                <w:rFonts w:ascii="Arial" w:cs="Arial" w:eastAsia="Arial" w:hAnsi="Arial"/>
                <w:sz w:val="18"/>
                <w:szCs w:val="18"/>
                <w:color w:val="auto"/>
              </w:rPr>
              <w:t>Total Distributions Declared for Fiscal 2018</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117" w:lineRule="exact"/>
        <w:rPr>
          <w:sz w:val="20"/>
          <w:szCs w:val="20"/>
          <w:color w:val="auto"/>
        </w:rPr>
      </w:pPr>
    </w:p>
    <w:p>
      <w:pPr>
        <w:ind w:left="60" w:right="839" w:firstLine="270"/>
        <w:spacing w:after="0" w:line="277" w:lineRule="auto"/>
        <w:rPr>
          <w:sz w:val="20"/>
          <w:szCs w:val="20"/>
          <w:color w:val="auto"/>
        </w:rPr>
      </w:pPr>
      <w:r>
        <w:rPr>
          <w:rFonts w:ascii="Arial" w:cs="Arial" w:eastAsia="Arial" w:hAnsi="Arial"/>
          <w:sz w:val="18"/>
          <w:szCs w:val="18"/>
          <w:color w:val="auto"/>
        </w:rPr>
        <w:t>On January 2, 2018, the Company invested $15.0 million in first lien debt and $0.5 million in membership units of US Bath Group, LLC. The debt investment has a yield of LIBOR + 9.0% with a 1.0% floor.</w:t>
      </w:r>
    </w:p>
    <w:p>
      <w:pPr>
        <w:spacing w:after="0" w:line="62" w:lineRule="exact"/>
        <w:rPr>
          <w:sz w:val="20"/>
          <w:szCs w:val="20"/>
          <w:color w:val="auto"/>
        </w:rPr>
      </w:pPr>
    </w:p>
    <w:p>
      <w:pPr>
        <w:ind w:left="60" w:right="959" w:firstLine="270"/>
        <w:spacing w:after="0" w:line="277" w:lineRule="auto"/>
        <w:rPr>
          <w:sz w:val="20"/>
          <w:szCs w:val="20"/>
          <w:color w:val="auto"/>
        </w:rPr>
      </w:pPr>
      <w:r>
        <w:rPr>
          <w:rFonts w:ascii="Arial" w:cs="Arial" w:eastAsia="Arial" w:hAnsi="Arial"/>
          <w:sz w:val="18"/>
          <w:szCs w:val="18"/>
          <w:color w:val="auto"/>
        </w:rPr>
        <w:t>On January 19, 2018, the Company received $7.2 million in cash repayment for its first lien debt investment in Brunswick Bowling Products, Inc., repaid at par.</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103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7"/>
          <w:szCs w:val="17"/>
          <w:color w:val="auto"/>
        </w:rPr>
        <w:t>As of December 31, 2017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Report of Management on Internal Control Over Financial Reporting</w:t>
      </w:r>
    </w:p>
    <w:p>
      <w:pPr>
        <w:spacing w:after="0" w:line="117"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and for performing an assessment of the effectiveness of internal control over financial reporting. Internal control over financial reporting is a process designed to provide reasonable assurance regarding the reliability of financial reporting and the preparation of financial statements for external purposes in accordance with U.S. GAAP. The Company’s internal control over financial reporting includes those policies and procedures that (i) pertain to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40" w:right="859" w:firstLine="270"/>
        <w:spacing w:after="0" w:line="302" w:lineRule="auto"/>
        <w:rPr>
          <w:sz w:val="20"/>
          <w:szCs w:val="20"/>
          <w:color w:val="auto"/>
        </w:rPr>
      </w:pPr>
      <w:r>
        <w:rPr>
          <w:rFonts w:ascii="Arial" w:cs="Arial" w:eastAsia="Arial" w:hAnsi="Arial"/>
          <w:sz w:val="16"/>
          <w:szCs w:val="16"/>
          <w:color w:val="auto"/>
        </w:rPr>
        <w:t>Management performed an assessment of the effectiveness of the Company’s internal control over financial reporting as of December 31, 2017 based upon the criteria in the 2013 Internal Control — Integrated Framework issued by the Committee of Sponsoring Organizations of the Treadway Commission. Based on management’s assessment, management determined that the Company’s internal control over financial reporting was effective as of December 31, 2017.</w:t>
      </w:r>
    </w:p>
    <w:p>
      <w:pPr>
        <w:spacing w:after="0" w:line="46"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Due to the Company’s status as an “emerging growth company” under the Jumpstart Our Business Startups Act of 2012, the Company was not required to obtain an attestation report from the Company’s independent registered public accounting firm on the Company’s internal control over financial reporting as of December 31, 2017.</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Changes in Internal Controls Over Financial Reporting</w:t>
      </w:r>
    </w:p>
    <w:p>
      <w:pPr>
        <w:spacing w:after="0" w:line="117" w:lineRule="exact"/>
        <w:rPr>
          <w:sz w:val="20"/>
          <w:szCs w:val="20"/>
          <w:color w:val="auto"/>
        </w:rPr>
      </w:pPr>
    </w:p>
    <w:p>
      <w:pPr>
        <w:jc w:val="both"/>
        <w:ind w:left="40" w:right="639" w:firstLine="270"/>
        <w:spacing w:after="0" w:line="264" w:lineRule="auto"/>
        <w:rPr>
          <w:sz w:val="20"/>
          <w:szCs w:val="20"/>
          <w:color w:val="auto"/>
        </w:rPr>
      </w:pPr>
      <w:r>
        <w:rPr>
          <w:rFonts w:ascii="Arial" w:cs="Arial" w:eastAsia="Arial" w:hAnsi="Arial"/>
          <w:sz w:val="18"/>
          <w:szCs w:val="18"/>
          <w:color w:val="auto"/>
        </w:rPr>
        <w:t>Management has not identified any change in the Company’s internal control over financing reporting that occurred during the fourth quarter of 2017 that has materially affected, or is reasonably likely to materially affect, the Company’s internal control over financial reporting.</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left="40" w:right="619" w:firstLine="270"/>
        <w:spacing w:after="0" w:line="279" w:lineRule="auto"/>
        <w:rPr>
          <w:sz w:val="20"/>
          <w:szCs w:val="20"/>
          <w:color w:val="auto"/>
        </w:rPr>
      </w:pPr>
      <w:r>
        <w:rPr>
          <w:rFonts w:ascii="Arial" w:cs="Arial" w:eastAsia="Arial" w:hAnsi="Arial"/>
          <w:sz w:val="17"/>
          <w:szCs w:val="17"/>
          <w:color w:val="auto"/>
        </w:rPr>
        <w:t>We will file a definitive Proxy Statement for our 2018 Annual Meeting of Stockholders with the Securities and Exchange Commission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10 is hereby incorporated by reference from our definitive Proxy Statement relating to our 2018 Annual Meeting of Stockholders, to be filed with the SEC within 120 days following the end of our fiscal year.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0" w:right="819" w:firstLine="270"/>
        <w:spacing w:after="0" w:line="308" w:lineRule="auto"/>
        <w:rPr>
          <w:sz w:val="20"/>
          <w:szCs w:val="20"/>
          <w:color w:val="auto"/>
        </w:rPr>
      </w:pPr>
      <w:r>
        <w:rPr>
          <w:rFonts w:ascii="Arial" w:cs="Arial" w:eastAsia="Arial" w:hAnsi="Arial"/>
          <w:sz w:val="17"/>
          <w:szCs w:val="17"/>
          <w:color w:val="auto"/>
        </w:rPr>
        <w:t>The information required by Item 11 is hereby incorporated by reference from our definitive Proxy Statement relating to our 2018 Annual Meeting of Stockholders, to be filed with the SEC within 120 days following the end of our fiscal year.</w:t>
      </w:r>
    </w:p>
    <w:p>
      <w:pPr>
        <w:spacing w:after="0" w:line="75" w:lineRule="exact"/>
        <w:rPr>
          <w:sz w:val="20"/>
          <w:szCs w:val="20"/>
          <w:color w:val="auto"/>
        </w:rPr>
      </w:pPr>
    </w:p>
    <w:p>
      <w:pPr>
        <w:ind w:left="40" w:right="79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12 is hereby incorporated by reference from our definitive Proxy Statement relating to our 2018 Annual Meeting of Stockholders, to be filed with the SEC within 120 days following the end of our fiscal year.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13 is hereby incorporated by reference from our definitive Proxy Statement relating to our 2018 Annual Meeting of Stockholders, to be filed with the SEC within 120 days following the end of our fiscal year.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14 is hereby incorporated by reference from our definitive Proxy Statement relating to our 2018 Annual Meeting of Stockholders, to be filed with the SEC within 120 days following the end of our fiscal year.</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9" w:name="page160"/>
    <w:bookmarkEnd w:id="159"/>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15. EXHIBITS AND CONSOLIDATED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consolidated financial statements are set forth in Item 8:</w:t>
      </w:r>
    </w:p>
    <w:p>
      <w:pPr>
        <w:spacing w:after="0" w:line="22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14"/>
                <w:szCs w:val="14"/>
                <w:color w:val="auto"/>
              </w:rPr>
            </w:pPr>
          </w:p>
        </w:tc>
      </w:tr>
      <w:tr>
        <w:trPr>
          <w:trHeight w:val="169"/>
        </w:trPr>
        <w:tc>
          <w:tcPr>
            <w:tcW w:w="140" w:type="dxa"/>
            <w:vAlign w:val="bottom"/>
            <w:tcBorders>
              <w:right w:val="single" w:sz="8" w:color="CCEEFF"/>
            </w:tcBorders>
          </w:tcPr>
          <w:p>
            <w:pPr>
              <w:spacing w:after="0"/>
              <w:rPr>
                <w:sz w:val="14"/>
                <w:szCs w:val="14"/>
                <w:color w:val="auto"/>
              </w:rPr>
            </w:pPr>
          </w:p>
        </w:tc>
        <w:tc>
          <w:tcPr>
            <w:tcW w:w="7660" w:type="dxa"/>
            <w:vAlign w:val="bottom"/>
            <w:gridSpan w:val="12"/>
            <w:shd w:val="clear" w:color="auto" w:fill="CCEEFF"/>
          </w:tcPr>
          <w:p>
            <w:pPr>
              <w:spacing w:after="0" w:line="170" w:lineRule="exact"/>
              <w:rPr>
                <w:rFonts w:ascii="Arial" w:cs="Arial" w:eastAsia="Arial" w:hAnsi="Arial"/>
                <w:sz w:val="18"/>
                <w:szCs w:val="18"/>
                <w:color w:val="0000EE"/>
              </w:rPr>
            </w:pPr>
            <w:hyperlink w:anchor="page99">
              <w:r>
                <w:rPr>
                  <w:rFonts w:ascii="Arial" w:cs="Arial" w:eastAsia="Arial" w:hAnsi="Arial"/>
                  <w:sz w:val="18"/>
                  <w:szCs w:val="18"/>
                  <w:color w:val="0000EE"/>
                </w:rPr>
                <w:t>Report of Independent Registered Public Accounting Firms</w:t>
              </w:r>
            </w:hyperlink>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60"/>
              <w:spacing w:after="0" w:line="170" w:lineRule="exact"/>
              <w:rPr>
                <w:rFonts w:ascii="Arial" w:cs="Arial" w:eastAsia="Arial" w:hAnsi="Arial"/>
                <w:sz w:val="18"/>
                <w:szCs w:val="18"/>
                <w:color w:val="0000EE"/>
              </w:rPr>
            </w:pPr>
            <w:hyperlink w:anchor="page99">
              <w:r>
                <w:rPr>
                  <w:rFonts w:ascii="Arial" w:cs="Arial" w:eastAsia="Arial" w:hAnsi="Arial"/>
                  <w:sz w:val="18"/>
                  <w:szCs w:val="18"/>
                  <w:color w:val="0000EE"/>
                </w:rPr>
                <w:t>F-1</w:t>
              </w:r>
            </w:hyperlink>
          </w:p>
        </w:tc>
        <w:tc>
          <w:tcPr>
            <w:tcW w:w="1260" w:type="dxa"/>
            <w:vAlign w:val="bottom"/>
          </w:tcPr>
          <w:p>
            <w:pPr>
              <w:spacing w:after="0"/>
              <w:rPr>
                <w:sz w:val="14"/>
                <w:szCs w:val="14"/>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66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w w:val="95"/>
              </w:rPr>
            </w:pPr>
            <w:hyperlink w:anchor="page100">
              <w:r>
                <w:rPr>
                  <w:rFonts w:ascii="Arial" w:cs="Arial" w:eastAsia="Arial" w:hAnsi="Arial"/>
                  <w:sz w:val="18"/>
                  <w:szCs w:val="18"/>
                  <w:color w:val="0000EE"/>
                  <w:w w:val="95"/>
                </w:rPr>
                <w:t>Consolidated Statements of Assets and Liabilities as of December 31, 2017 and December 31, 2016</w:t>
              </w:r>
            </w:hyperlink>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F-2</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Consolidated Statements of Operations for the years ended December 31, 2017, December 31, 2016 and</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500" w:type="dxa"/>
            <w:vAlign w:val="bottom"/>
            <w:tcBorders>
              <w:top w:val="single" w:sz="8" w:color="0000EE"/>
            </w:tcBorders>
            <w:gridSpan w:val="11"/>
          </w:tcPr>
          <w:p>
            <w:pPr>
              <w:ind w:left="180"/>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December 31, 2015</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F-3</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w w:val="92"/>
              </w:rPr>
            </w:pPr>
            <w:hyperlink w:anchor="page102">
              <w:r>
                <w:rPr>
                  <w:rFonts w:ascii="Arial" w:cs="Arial" w:eastAsia="Arial" w:hAnsi="Arial"/>
                  <w:sz w:val="18"/>
                  <w:szCs w:val="18"/>
                  <w:color w:val="0000EE"/>
                  <w:w w:val="92"/>
                </w:rPr>
                <w:t>Consolidated Statements of Changes in Net Assets for the years ended December 31, 2017, December</w:t>
              </w:r>
            </w:hyperlink>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7360" w:type="dxa"/>
            <w:vAlign w:val="bottom"/>
            <w:tcBorders>
              <w:top w:val="single" w:sz="8" w:color="0000EE"/>
            </w:tcBorders>
            <w:gridSpan w:val="10"/>
            <w:shd w:val="clear" w:color="auto" w:fill="CCEEFF"/>
          </w:tcPr>
          <w:p>
            <w:pPr>
              <w:ind w:left="180"/>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31, 2016 and December 31, 2015</w:t>
              </w:r>
            </w:hyperlink>
          </w:p>
        </w:tc>
        <w:tc>
          <w:tcPr>
            <w:tcW w:w="3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F-4</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w w:val="94"/>
              </w:rPr>
            </w:pPr>
            <w:hyperlink w:anchor="page103">
              <w:r>
                <w:rPr>
                  <w:rFonts w:ascii="Arial" w:cs="Arial" w:eastAsia="Arial" w:hAnsi="Arial"/>
                  <w:sz w:val="18"/>
                  <w:szCs w:val="18"/>
                  <w:color w:val="0000EE"/>
                  <w:w w:val="94"/>
                </w:rPr>
                <w:t>Consolidated Statements of Cash Flows for the years ended December 31, 2017, December 31, 2016</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240" w:type="dxa"/>
            <w:vAlign w:val="bottom"/>
            <w:tcBorders>
              <w:top w:val="single" w:sz="8" w:color="0000EE"/>
            </w:tcBorders>
            <w:gridSpan w:val="9"/>
          </w:tcPr>
          <w:p>
            <w:pPr>
              <w:ind w:left="18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and December 31, 2015</w:t>
              </w:r>
            </w:hyperlink>
          </w:p>
        </w:tc>
        <w:tc>
          <w:tcPr>
            <w:tcW w:w="4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F-5</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Consolidated Schedules of Investments as of December 31, 2017 and December 31, 2016</w:t>
              </w:r>
            </w:hyperlink>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F-6</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Notes to Consolidated Financial Statements</w:t>
              </w:r>
            </w:hyperlink>
          </w:p>
        </w:tc>
        <w:tc>
          <w:tcPr>
            <w:tcW w:w="140" w:type="dxa"/>
            <w:vAlign w:val="bottom"/>
          </w:tcPr>
          <w:p>
            <w:pPr>
              <w:spacing w:after="0"/>
              <w:rPr>
                <w:sz w:val="15"/>
                <w:szCs w:val="15"/>
                <w:color w:val="auto"/>
              </w:rPr>
            </w:pPr>
          </w:p>
        </w:tc>
        <w:tc>
          <w:tcPr>
            <w:tcW w:w="400" w:type="dxa"/>
            <w:vAlign w:val="bottom"/>
            <w:gridSpan w:val="2"/>
          </w:tcPr>
          <w:p>
            <w:pPr>
              <w:jc w:val="right"/>
              <w:ind w:right="60"/>
              <w:spacing w:after="0" w:line="176"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F-18</w:t>
              </w:r>
            </w:hyperlink>
          </w:p>
        </w:tc>
        <w:tc>
          <w:tcPr>
            <w:tcW w:w="1260" w:type="dxa"/>
            <w:vAlign w:val="bottom"/>
          </w:tcPr>
          <w:p>
            <w:pPr>
              <w:spacing w:after="0"/>
              <w:rPr>
                <w:sz w:val="15"/>
                <w:szCs w:val="15"/>
                <w:color w:val="auto"/>
              </w:rPr>
            </w:pPr>
          </w:p>
        </w:tc>
      </w:tr>
      <w:tr>
        <w:trPr>
          <w:trHeight w:val="804"/>
        </w:trPr>
        <w:tc>
          <w:tcPr>
            <w:tcW w:w="140" w:type="dxa"/>
            <w:vAlign w:val="bottom"/>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3300" w:type="dxa"/>
            <w:vAlign w:val="bottom"/>
            <w:gridSpan w:val="2"/>
          </w:tcPr>
          <w:p>
            <w:pPr>
              <w:jc w:val="right"/>
              <w:ind w:right="1700"/>
              <w:spacing w:after="0"/>
              <w:rPr>
                <w:sz w:val="20"/>
                <w:szCs w:val="20"/>
                <w:color w:val="auto"/>
              </w:rPr>
            </w:pPr>
            <w:r>
              <w:rPr>
                <w:rFonts w:ascii="Arial" w:cs="Arial" w:eastAsia="Arial" w:hAnsi="Arial"/>
                <w:sz w:val="18"/>
                <w:szCs w:val="18"/>
                <w:color w:val="auto"/>
              </w:rPr>
              <w:t>98</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60" w:name="page161"/>
    <w:bookmarkEnd w:id="16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17144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p>
      <w:pPr>
        <w:spacing w:after="0" w:line="16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3"/>
          <w:szCs w:val="13"/>
          <w:b w:val="1"/>
          <w:bCs w:val="1"/>
          <w:u w:val="single" w:color="auto"/>
          <w:color w:val="auto"/>
        </w:rPr>
        <w:t>Number</w:t>
      </w:r>
    </w:p>
    <w:p>
      <w:pPr>
        <w:spacing w:after="0" w:line="21" w:lineRule="exact"/>
        <w:rPr>
          <w:sz w:val="20"/>
          <w:szCs w:val="20"/>
          <w:color w:val="auto"/>
        </w:rPr>
      </w:pPr>
    </w:p>
    <w:p>
      <w:pPr>
        <w:ind w:left="340"/>
        <w:spacing w:after="0"/>
        <w:rPr>
          <w:rFonts w:ascii="Arial" w:cs="Arial" w:eastAsia="Arial" w:hAnsi="Arial"/>
          <w:sz w:val="18"/>
          <w:szCs w:val="18"/>
          <w:color w:val="0000EE"/>
        </w:rPr>
      </w:pPr>
      <w:hyperlink r:id="rId476">
        <w:r>
          <w:rPr>
            <w:rFonts w:ascii="Arial" w:cs="Arial" w:eastAsia="Arial" w:hAnsi="Arial"/>
            <w:sz w:val="18"/>
            <w:szCs w:val="18"/>
            <w:color w:val="0000EE"/>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-20320</wp:posOffset>
            </wp:positionV>
            <wp:extent cx="17145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4" w:lineRule="exact"/>
        <w:rPr>
          <w:sz w:val="20"/>
          <w:szCs w:val="20"/>
          <w:color w:val="auto"/>
        </w:rPr>
      </w:pPr>
    </w:p>
    <w:p>
      <w:pPr>
        <w:ind w:left="340"/>
        <w:spacing w:after="0"/>
        <w:rPr>
          <w:rFonts w:ascii="Arial" w:cs="Arial" w:eastAsia="Arial" w:hAnsi="Arial"/>
          <w:sz w:val="18"/>
          <w:szCs w:val="18"/>
          <w:color w:val="0000EE"/>
        </w:rPr>
      </w:pPr>
      <w:hyperlink r:id="rId478">
        <w:r>
          <w:rPr>
            <w:rFonts w:ascii="Arial" w:cs="Arial" w:eastAsia="Arial" w:hAnsi="Arial"/>
            <w:sz w:val="18"/>
            <w:szCs w:val="18"/>
            <w:color w:val="0000EE"/>
          </w:rPr>
          <w:t>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-10160</wp:posOffset>
            </wp:positionV>
            <wp:extent cx="17145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 w:lineRule="exact"/>
        <w:rPr>
          <w:sz w:val="20"/>
          <w:szCs w:val="20"/>
          <w:color w:val="auto"/>
        </w:rPr>
      </w:pPr>
    </w:p>
    <w:p>
      <w:pPr>
        <w:ind w:left="340"/>
        <w:spacing w:after="0"/>
        <w:rPr>
          <w:rFonts w:ascii="Arial" w:cs="Arial" w:eastAsia="Arial" w:hAnsi="Arial"/>
          <w:sz w:val="18"/>
          <w:szCs w:val="18"/>
          <w:color w:val="0000EE"/>
        </w:rPr>
      </w:pPr>
      <w:hyperlink r:id="rId480">
        <w:r>
          <w:rPr>
            <w:rFonts w:ascii="Arial" w:cs="Arial" w:eastAsia="Arial" w:hAnsi="Arial"/>
            <w:sz w:val="18"/>
            <w:szCs w:val="18"/>
            <w:color w:val="0000EE"/>
          </w:rPr>
          <w:t>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-10160</wp:posOffset>
            </wp:positionV>
            <wp:extent cx="17145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 w:lineRule="exact"/>
        <w:rPr>
          <w:sz w:val="20"/>
          <w:szCs w:val="20"/>
          <w:color w:val="auto"/>
        </w:rPr>
      </w:pPr>
    </w:p>
    <w:p>
      <w:pPr>
        <w:ind w:left="340"/>
        <w:spacing w:after="0"/>
        <w:rPr>
          <w:rFonts w:ascii="Arial" w:cs="Arial" w:eastAsia="Arial" w:hAnsi="Arial"/>
          <w:sz w:val="18"/>
          <w:szCs w:val="18"/>
          <w:color w:val="0000EE"/>
        </w:rPr>
      </w:pPr>
      <w:hyperlink r:id="rId482">
        <w:r>
          <w:rPr>
            <w:rFonts w:ascii="Arial" w:cs="Arial" w:eastAsia="Arial" w:hAnsi="Arial"/>
            <w:sz w:val="18"/>
            <w:szCs w:val="18"/>
            <w:color w:val="0000EE"/>
          </w:rPr>
          <w:t>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-10160</wp:posOffset>
            </wp:positionV>
            <wp:extent cx="17145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 w:lineRule="exact"/>
        <w:rPr>
          <w:sz w:val="20"/>
          <w:szCs w:val="20"/>
          <w:color w:val="auto"/>
        </w:rPr>
      </w:pPr>
    </w:p>
    <w:p>
      <w:pPr>
        <w:ind w:left="340"/>
        <w:spacing w:after="0"/>
        <w:rPr>
          <w:rFonts w:ascii="Arial" w:cs="Arial" w:eastAsia="Arial" w:hAnsi="Arial"/>
          <w:sz w:val="18"/>
          <w:szCs w:val="18"/>
          <w:color w:val="0000EE"/>
        </w:rPr>
      </w:pPr>
      <w:hyperlink r:id="rId484">
        <w:r>
          <w:rPr>
            <w:rFonts w:ascii="Arial" w:cs="Arial" w:eastAsia="Arial" w:hAnsi="Arial"/>
            <w:sz w:val="18"/>
            <w:szCs w:val="18"/>
            <w:color w:val="0000EE"/>
          </w:rPr>
          <w:t>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-10160</wp:posOffset>
            </wp:positionV>
            <wp:extent cx="17145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46" w:lineRule="exact"/>
        <w:rPr>
          <w:sz w:val="20"/>
          <w:szCs w:val="20"/>
          <w:color w:val="auto"/>
        </w:rPr>
      </w:pPr>
    </w:p>
    <w:p>
      <w:pPr>
        <w:jc w:val="center"/>
        <w:ind w:left="220"/>
        <w:spacing w:after="0"/>
        <w:rPr>
          <w:rFonts w:ascii="Arial" w:cs="Arial" w:eastAsia="Arial" w:hAnsi="Arial"/>
          <w:sz w:val="18"/>
          <w:szCs w:val="18"/>
          <w:color w:val="0000EE"/>
        </w:rPr>
      </w:pPr>
      <w:hyperlink r:id="rId486">
        <w:r>
          <w:rPr>
            <w:rFonts w:ascii="Arial" w:cs="Arial" w:eastAsia="Arial" w:hAnsi="Arial"/>
            <w:sz w:val="18"/>
            <w:szCs w:val="18"/>
            <w:color w:val="0000EE"/>
          </w:rPr>
          <w:t>3.6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-10160</wp:posOffset>
            </wp:positionV>
            <wp:extent cx="17145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46" w:lineRule="exact"/>
        <w:rPr>
          <w:sz w:val="20"/>
          <w:szCs w:val="20"/>
          <w:color w:val="auto"/>
        </w:rPr>
      </w:pPr>
    </w:p>
    <w:p>
      <w:pPr>
        <w:ind w:left="340"/>
        <w:spacing w:after="0"/>
        <w:rPr>
          <w:rFonts w:ascii="Arial" w:cs="Arial" w:eastAsia="Arial" w:hAnsi="Arial"/>
          <w:sz w:val="18"/>
          <w:szCs w:val="18"/>
          <w:color w:val="0000EE"/>
        </w:rPr>
      </w:pPr>
      <w:hyperlink r:id="rId488">
        <w:r>
          <w:rPr>
            <w:rFonts w:ascii="Arial" w:cs="Arial" w:eastAsia="Arial" w:hAnsi="Arial"/>
            <w:sz w:val="18"/>
            <w:szCs w:val="18"/>
            <w:color w:val="0000EE"/>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-10160</wp:posOffset>
            </wp:positionV>
            <wp:extent cx="17145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 w:lineRule="exact"/>
        <w:rPr>
          <w:sz w:val="20"/>
          <w:szCs w:val="20"/>
          <w:color w:val="auto"/>
        </w:rPr>
      </w:pPr>
    </w:p>
    <w:p>
      <w:pPr>
        <w:ind w:left="340"/>
        <w:spacing w:after="0"/>
        <w:rPr>
          <w:rFonts w:ascii="Arial" w:cs="Arial" w:eastAsia="Arial" w:hAnsi="Arial"/>
          <w:sz w:val="18"/>
          <w:szCs w:val="18"/>
          <w:color w:val="0000EE"/>
        </w:rPr>
      </w:pPr>
      <w:hyperlink r:id="rId490">
        <w:r>
          <w:rPr>
            <w:rFonts w:ascii="Arial" w:cs="Arial" w:eastAsia="Arial" w:hAnsi="Arial"/>
            <w:sz w:val="18"/>
            <w:szCs w:val="18"/>
            <w:color w:val="0000EE"/>
          </w:rPr>
          <w:t>4.2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-10160</wp:posOffset>
            </wp:positionV>
            <wp:extent cx="17145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 w:lineRule="exact"/>
        <w:rPr>
          <w:sz w:val="20"/>
          <w:szCs w:val="20"/>
          <w:color w:val="auto"/>
        </w:rPr>
      </w:pPr>
    </w:p>
    <w:p>
      <w:pPr>
        <w:ind w:left="340"/>
        <w:spacing w:after="0"/>
        <w:rPr>
          <w:rFonts w:ascii="Arial" w:cs="Arial" w:eastAsia="Arial" w:hAnsi="Arial"/>
          <w:sz w:val="18"/>
          <w:szCs w:val="18"/>
          <w:color w:val="0000EE"/>
        </w:rPr>
      </w:pPr>
      <w:hyperlink r:id="rId492">
        <w:r>
          <w:rPr>
            <w:rFonts w:ascii="Arial" w:cs="Arial" w:eastAsia="Arial" w:hAnsi="Arial"/>
            <w:sz w:val="18"/>
            <w:szCs w:val="18"/>
            <w:color w:val="0000EE"/>
          </w:rPr>
          <w:t>4.3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-10160</wp:posOffset>
            </wp:positionV>
            <wp:extent cx="17145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46" w:lineRule="exact"/>
        <w:rPr>
          <w:sz w:val="20"/>
          <w:szCs w:val="20"/>
          <w:color w:val="auto"/>
        </w:rPr>
      </w:pPr>
    </w:p>
    <w:p>
      <w:pPr>
        <w:jc w:val="center"/>
        <w:ind w:left="220"/>
        <w:spacing w:after="0"/>
        <w:rPr>
          <w:rFonts w:ascii="Arial" w:cs="Arial" w:eastAsia="Arial" w:hAnsi="Arial"/>
          <w:sz w:val="18"/>
          <w:szCs w:val="18"/>
          <w:color w:val="0000EE"/>
        </w:rPr>
      </w:pPr>
      <w:hyperlink r:id="rId494">
        <w:r>
          <w:rPr>
            <w:rFonts w:ascii="Arial" w:cs="Arial" w:eastAsia="Arial" w:hAnsi="Arial"/>
            <w:sz w:val="18"/>
            <w:szCs w:val="18"/>
            <w:color w:val="0000EE"/>
          </w:rPr>
          <w:t>4.4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-10160</wp:posOffset>
            </wp:positionV>
            <wp:extent cx="17145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80"/>
        <w:spacing w:after="0"/>
        <w:rPr>
          <w:rFonts w:ascii="Arial" w:cs="Arial" w:eastAsia="Arial" w:hAnsi="Arial"/>
          <w:sz w:val="18"/>
          <w:szCs w:val="18"/>
          <w:u w:val="single" w:color="auto"/>
          <w:color w:val="0000EE"/>
        </w:rPr>
      </w:pPr>
      <w:hyperlink r:id="rId496">
        <w:r>
          <w:rPr>
            <w:rFonts w:ascii="Arial" w:cs="Arial" w:eastAsia="Arial" w:hAnsi="Arial"/>
            <w:sz w:val="18"/>
            <w:szCs w:val="18"/>
            <w:u w:val="single" w:color="auto"/>
            <w:color w:val="0000EE"/>
          </w:rPr>
          <w:t>10.1</w:t>
        </w:r>
      </w:hyperlink>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72503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7">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96" w:lineRule="auto"/>
        <w:rPr>
          <w:rFonts w:ascii="Arial" w:cs="Arial" w:eastAsia="Arial" w:hAnsi="Arial"/>
          <w:sz w:val="18"/>
          <w:szCs w:val="18"/>
          <w:u w:val="single" w:color="auto"/>
          <w:color w:val="0000EE"/>
        </w:rPr>
      </w:pPr>
      <w:hyperlink r:id="rId476">
        <w:r>
          <w:rPr>
            <w:rFonts w:ascii="Arial" w:cs="Arial" w:eastAsia="Arial" w:hAnsi="Arial"/>
            <w:sz w:val="18"/>
            <w:szCs w:val="18"/>
            <w:u w:val="single" w:color="auto"/>
            <w:color w:val="0000EE"/>
          </w:rPr>
          <w:t>Articles of Amendment and Restatement</w:t>
        </w:r>
        <w:r>
          <w:rPr>
            <w:rFonts w:ascii="Arial" w:cs="Arial" w:eastAsia="Arial" w:hAnsi="Arial"/>
            <w:sz w:val="30"/>
            <w:szCs w:val="30"/>
            <w:u w:val="single" w:color="auto"/>
            <w:color w:val="0000EE"/>
            <w:vertAlign w:val="superscript"/>
          </w:rPr>
          <w:t>(1)</w:t>
        </w:r>
      </w:hyperlink>
    </w:p>
    <w:p>
      <w:pPr>
        <w:spacing w:after="0" w:line="184" w:lineRule="auto"/>
        <w:rPr>
          <w:rFonts w:ascii="Arial" w:cs="Arial" w:eastAsia="Arial" w:hAnsi="Arial"/>
          <w:sz w:val="18"/>
          <w:szCs w:val="18"/>
          <w:u w:val="single" w:color="auto"/>
          <w:color w:val="0000EE"/>
        </w:rPr>
      </w:pPr>
      <w:hyperlink r:id="rId478">
        <w:r>
          <w:rPr>
            <w:rFonts w:ascii="Arial" w:cs="Arial" w:eastAsia="Arial" w:hAnsi="Arial"/>
            <w:sz w:val="18"/>
            <w:szCs w:val="18"/>
            <w:u w:val="single" w:color="auto"/>
            <w:color w:val="0000EE"/>
          </w:rPr>
          <w:t>Certificate of Limited Partnership of CapitalSouth Partners Fund II Limited Partnership</w:t>
        </w:r>
        <w:r>
          <w:rPr>
            <w:rFonts w:ascii="Arial" w:cs="Arial" w:eastAsia="Arial" w:hAnsi="Arial"/>
            <w:sz w:val="29"/>
            <w:szCs w:val="29"/>
            <w:u w:val="single" w:color="auto"/>
            <w:color w:val="0000EE"/>
            <w:vertAlign w:val="superscript"/>
          </w:rPr>
          <w:t>(2)</w:t>
        </w:r>
      </w:hyperlink>
    </w:p>
    <w:p>
      <w:pPr>
        <w:spacing w:after="0" w:line="185" w:lineRule="auto"/>
        <w:rPr>
          <w:rFonts w:ascii="Arial" w:cs="Arial" w:eastAsia="Arial" w:hAnsi="Arial"/>
          <w:sz w:val="18"/>
          <w:szCs w:val="18"/>
          <w:u w:val="single" w:color="auto"/>
          <w:color w:val="0000EE"/>
        </w:rPr>
      </w:pPr>
      <w:hyperlink r:id="rId480">
        <w:r>
          <w:rPr>
            <w:rFonts w:ascii="Arial" w:cs="Arial" w:eastAsia="Arial" w:hAnsi="Arial"/>
            <w:sz w:val="18"/>
            <w:szCs w:val="18"/>
            <w:u w:val="single" w:color="auto"/>
            <w:color w:val="0000EE"/>
          </w:rPr>
          <w:t>Certificate of Limited Partnership of CapitalSouth Partners SBIC Fund III, L.P.</w:t>
        </w:r>
        <w:r>
          <w:rPr>
            <w:rFonts w:ascii="Arial" w:cs="Arial" w:eastAsia="Arial" w:hAnsi="Arial"/>
            <w:sz w:val="29"/>
            <w:szCs w:val="29"/>
            <w:u w:val="single" w:color="auto"/>
            <w:color w:val="0000EE"/>
            <w:vertAlign w:val="superscript"/>
          </w:rPr>
          <w:t>(2)</w:t>
        </w:r>
      </w:hyperlink>
    </w:p>
    <w:p>
      <w:pPr>
        <w:spacing w:after="0" w:line="185" w:lineRule="auto"/>
        <w:rPr>
          <w:rFonts w:ascii="Arial" w:cs="Arial" w:eastAsia="Arial" w:hAnsi="Arial"/>
          <w:sz w:val="18"/>
          <w:szCs w:val="18"/>
          <w:u w:val="single" w:color="auto"/>
          <w:color w:val="0000EE"/>
        </w:rPr>
      </w:pPr>
      <w:hyperlink r:id="rId482">
        <w:r>
          <w:rPr>
            <w:rFonts w:ascii="Arial" w:cs="Arial" w:eastAsia="Arial" w:hAnsi="Arial"/>
            <w:sz w:val="18"/>
            <w:szCs w:val="18"/>
            <w:u w:val="single" w:color="auto"/>
            <w:color w:val="0000EE"/>
          </w:rPr>
          <w:t>Bylaws</w:t>
        </w:r>
        <w:r>
          <w:rPr>
            <w:rFonts w:ascii="Arial" w:cs="Arial" w:eastAsia="Arial" w:hAnsi="Arial"/>
            <w:sz w:val="29"/>
            <w:szCs w:val="29"/>
            <w:u w:val="single" w:color="auto"/>
            <w:color w:val="0000EE"/>
            <w:vertAlign w:val="superscript"/>
          </w:rPr>
          <w:t>(1)</w:t>
        </w:r>
      </w:hyperlink>
    </w:p>
    <w:p>
      <w:pPr>
        <w:ind w:right="2299"/>
        <w:spacing w:after="0" w:line="205" w:lineRule="auto"/>
        <w:rPr>
          <w:rFonts w:ascii="Arial" w:cs="Arial" w:eastAsia="Arial" w:hAnsi="Arial"/>
          <w:sz w:val="18"/>
          <w:szCs w:val="18"/>
          <w:u w:val="single" w:color="auto"/>
          <w:color w:val="0000EE"/>
        </w:rPr>
      </w:pPr>
      <w:hyperlink r:id="rId484">
        <w:r>
          <w:rPr>
            <w:rFonts w:ascii="Arial" w:cs="Arial" w:eastAsia="Arial" w:hAnsi="Arial"/>
            <w:sz w:val="18"/>
            <w:szCs w:val="18"/>
            <w:u w:val="single" w:color="auto"/>
            <w:color w:val="0000EE"/>
          </w:rPr>
          <w:t>Form of Amended and Restated Limited Partnership Agreement of CapitalSouth Partners Fund II</w:t>
        </w:r>
      </w:hyperlink>
      <w:r>
        <w:rPr>
          <w:rFonts w:ascii="Arial" w:cs="Arial" w:eastAsia="Arial" w:hAnsi="Arial"/>
          <w:sz w:val="18"/>
          <w:szCs w:val="18"/>
          <w:u w:val="single" w:color="auto"/>
          <w:color w:val="0000EE"/>
        </w:rPr>
        <w:t xml:space="preserve"> </w:t>
      </w:r>
      <w:hyperlink r:id="rId484">
        <w:r>
          <w:rPr>
            <w:rFonts w:ascii="Arial" w:cs="Arial" w:eastAsia="Arial" w:hAnsi="Arial"/>
            <w:sz w:val="18"/>
            <w:szCs w:val="18"/>
            <w:u w:val="single" w:color="auto"/>
            <w:color w:val="0000EE"/>
          </w:rPr>
          <w:t>Limited Partnership</w:t>
        </w:r>
        <w:r>
          <w:rPr>
            <w:rFonts w:ascii="Arial" w:cs="Arial" w:eastAsia="Arial" w:hAnsi="Arial"/>
            <w:sz w:val="30"/>
            <w:szCs w:val="30"/>
            <w:u w:val="single" w:color="auto"/>
            <w:color w:val="0000EE"/>
            <w:vertAlign w:val="superscript"/>
          </w:rPr>
          <w:t>(3)</w:t>
        </w:r>
      </w:hyperlink>
    </w:p>
    <w:p>
      <w:pPr>
        <w:spacing w:after="0" w:line="1" w:lineRule="exact"/>
        <w:rPr>
          <w:sz w:val="20"/>
          <w:szCs w:val="20"/>
          <w:color w:val="auto"/>
        </w:rPr>
      </w:pPr>
    </w:p>
    <w:p>
      <w:pPr>
        <w:ind w:right="2239"/>
        <w:spacing w:after="0" w:line="205" w:lineRule="auto"/>
        <w:rPr>
          <w:rFonts w:ascii="Arial" w:cs="Arial" w:eastAsia="Arial" w:hAnsi="Arial"/>
          <w:sz w:val="18"/>
          <w:szCs w:val="18"/>
          <w:u w:val="single" w:color="auto"/>
          <w:color w:val="0000EE"/>
        </w:rPr>
      </w:pPr>
      <w:hyperlink r:id="rId486">
        <w:r>
          <w:rPr>
            <w:rFonts w:ascii="Arial" w:cs="Arial" w:eastAsia="Arial" w:hAnsi="Arial"/>
            <w:sz w:val="18"/>
            <w:szCs w:val="18"/>
            <w:u w:val="single" w:color="auto"/>
            <w:color w:val="0000EE"/>
          </w:rPr>
          <w:t>Form of Amended and Restated Agreement of Limited Partnership of CapitalSouth Partners SBIC</w:t>
        </w:r>
      </w:hyperlink>
      <w:r>
        <w:rPr>
          <w:rFonts w:ascii="Arial" w:cs="Arial" w:eastAsia="Arial" w:hAnsi="Arial"/>
          <w:sz w:val="18"/>
          <w:szCs w:val="18"/>
          <w:u w:val="single" w:color="auto"/>
          <w:color w:val="0000EE"/>
        </w:rPr>
        <w:t xml:space="preserve"> </w:t>
      </w:r>
      <w:hyperlink r:id="rId486">
        <w:r>
          <w:rPr>
            <w:rFonts w:ascii="Arial" w:cs="Arial" w:eastAsia="Arial" w:hAnsi="Arial"/>
            <w:sz w:val="18"/>
            <w:szCs w:val="18"/>
            <w:u w:val="single" w:color="auto"/>
            <w:color w:val="0000EE"/>
          </w:rPr>
          <w:t>Fund III, L.P.</w:t>
        </w:r>
        <w:r>
          <w:rPr>
            <w:rFonts w:ascii="Arial" w:cs="Arial" w:eastAsia="Arial" w:hAnsi="Arial"/>
            <w:sz w:val="30"/>
            <w:szCs w:val="30"/>
            <w:u w:val="single" w:color="auto"/>
            <w:color w:val="0000EE"/>
            <w:vertAlign w:val="superscript"/>
          </w:rPr>
          <w:t>(3)</w:t>
        </w:r>
      </w:hyperlink>
    </w:p>
    <w:p>
      <w:pPr>
        <w:spacing w:after="0" w:line="185" w:lineRule="auto"/>
        <w:rPr>
          <w:rFonts w:ascii="Arial" w:cs="Arial" w:eastAsia="Arial" w:hAnsi="Arial"/>
          <w:sz w:val="18"/>
          <w:szCs w:val="18"/>
          <w:u w:val="single" w:color="auto"/>
          <w:color w:val="0000EE"/>
        </w:rPr>
      </w:pPr>
      <w:hyperlink r:id="rId488">
        <w:r>
          <w:rPr>
            <w:rFonts w:ascii="Arial" w:cs="Arial" w:eastAsia="Arial" w:hAnsi="Arial"/>
            <w:sz w:val="18"/>
            <w:szCs w:val="18"/>
            <w:u w:val="single" w:color="auto"/>
            <w:color w:val="0000EE"/>
          </w:rPr>
          <w:t>Form of Common Stock Certificate</w:t>
        </w:r>
        <w:r>
          <w:rPr>
            <w:rFonts w:ascii="Arial" w:cs="Arial" w:eastAsia="Arial" w:hAnsi="Arial"/>
            <w:sz w:val="29"/>
            <w:szCs w:val="29"/>
            <w:u w:val="single" w:color="auto"/>
            <w:color w:val="0000EE"/>
            <w:vertAlign w:val="superscript"/>
          </w:rPr>
          <w:t>(1)</w:t>
        </w:r>
      </w:hyperlink>
    </w:p>
    <w:p>
      <w:pPr>
        <w:spacing w:after="0" w:line="185" w:lineRule="auto"/>
        <w:rPr>
          <w:rFonts w:ascii="Arial" w:cs="Arial" w:eastAsia="Arial" w:hAnsi="Arial"/>
          <w:sz w:val="18"/>
          <w:szCs w:val="18"/>
          <w:u w:val="single" w:color="auto"/>
          <w:color w:val="0000EE"/>
        </w:rPr>
      </w:pPr>
      <w:hyperlink r:id="rId490">
        <w:r>
          <w:rPr>
            <w:rFonts w:ascii="Arial" w:cs="Arial" w:eastAsia="Arial" w:hAnsi="Arial"/>
            <w:sz w:val="18"/>
            <w:szCs w:val="18"/>
            <w:u w:val="single" w:color="auto"/>
            <w:color w:val="0000EE"/>
          </w:rPr>
          <w:t>Form of Base Indenture</w:t>
        </w:r>
        <w:r>
          <w:rPr>
            <w:rFonts w:ascii="Arial" w:cs="Arial" w:eastAsia="Arial" w:hAnsi="Arial"/>
            <w:sz w:val="29"/>
            <w:szCs w:val="29"/>
            <w:u w:val="single" w:color="auto"/>
            <w:color w:val="0000EE"/>
            <w:vertAlign w:val="superscript"/>
          </w:rPr>
          <w:t>(4)</w:t>
        </w:r>
      </w:hyperlink>
    </w:p>
    <w:p>
      <w:pPr>
        <w:ind w:right="2079"/>
        <w:spacing w:after="0" w:line="212" w:lineRule="auto"/>
        <w:rPr>
          <w:rFonts w:ascii="Arial" w:cs="Arial" w:eastAsia="Arial" w:hAnsi="Arial"/>
          <w:sz w:val="18"/>
          <w:szCs w:val="18"/>
          <w:u w:val="single" w:color="auto"/>
          <w:color w:val="0000EE"/>
        </w:rPr>
      </w:pPr>
      <w:hyperlink r:id="rId492">
        <w:r>
          <w:rPr>
            <w:rFonts w:ascii="Arial" w:cs="Arial" w:eastAsia="Arial" w:hAnsi="Arial"/>
            <w:sz w:val="18"/>
            <w:szCs w:val="18"/>
            <w:u w:val="single" w:color="auto"/>
            <w:color w:val="0000EE"/>
          </w:rPr>
          <w:t>Form of Second Supplemental Indenture relating to the 6.00% notes due 2022, by and between the</w:t>
        </w:r>
      </w:hyperlink>
      <w:r>
        <w:rPr>
          <w:rFonts w:ascii="Arial" w:cs="Arial" w:eastAsia="Arial" w:hAnsi="Arial"/>
          <w:sz w:val="18"/>
          <w:szCs w:val="18"/>
          <w:u w:val="single" w:color="auto"/>
          <w:color w:val="0000EE"/>
        </w:rPr>
        <w:t xml:space="preserve"> </w:t>
      </w:r>
      <w:hyperlink r:id="rId492">
        <w:r>
          <w:rPr>
            <w:rFonts w:ascii="Arial" w:cs="Arial" w:eastAsia="Arial" w:hAnsi="Arial"/>
            <w:sz w:val="18"/>
            <w:szCs w:val="18"/>
            <w:u w:val="single" w:color="auto"/>
            <w:color w:val="0000EE"/>
          </w:rPr>
          <w:t>Registrant and U.S. Bank National Association, as trustee, including the form of Global Note</w:t>
        </w:r>
        <w:r>
          <w:rPr>
            <w:rFonts w:ascii="Arial" w:cs="Arial" w:eastAsia="Arial" w:hAnsi="Arial"/>
            <w:sz w:val="30"/>
            <w:szCs w:val="30"/>
            <w:u w:val="single" w:color="auto"/>
            <w:color w:val="0000EE"/>
            <w:vertAlign w:val="superscript"/>
          </w:rPr>
          <w:t>(8)</w:t>
        </w:r>
      </w:hyperlink>
      <w:r>
        <w:rPr>
          <w:rFonts w:ascii="Arial" w:cs="Arial" w:eastAsia="Arial" w:hAnsi="Arial"/>
          <w:sz w:val="18"/>
          <w:szCs w:val="18"/>
          <w:u w:val="single" w:color="auto"/>
          <w:color w:val="0000EE"/>
        </w:rPr>
        <w:t xml:space="preserve"> </w:t>
      </w:r>
      <w:hyperlink r:id="rId494">
        <w:r>
          <w:rPr>
            <w:rFonts w:ascii="Arial" w:cs="Arial" w:eastAsia="Arial" w:hAnsi="Arial"/>
            <w:sz w:val="18"/>
            <w:szCs w:val="18"/>
            <w:u w:val="single" w:color="auto"/>
            <w:color w:val="0000EE"/>
          </w:rPr>
          <w:t>Form of the Third Supplemental Indenture relating to the 5.75% convertible notes due 2022, by and</w:t>
        </w:r>
      </w:hyperlink>
      <w:r>
        <w:rPr>
          <w:rFonts w:ascii="Arial" w:cs="Arial" w:eastAsia="Arial" w:hAnsi="Arial"/>
          <w:sz w:val="18"/>
          <w:szCs w:val="18"/>
          <w:u w:val="single" w:color="auto"/>
          <w:color w:val="0000EE"/>
        </w:rPr>
        <w:t xml:space="preserve"> </w:t>
      </w:r>
      <w:hyperlink r:id="rId494">
        <w:r>
          <w:rPr>
            <w:rFonts w:ascii="Arial" w:cs="Arial" w:eastAsia="Arial" w:hAnsi="Arial"/>
            <w:sz w:val="18"/>
            <w:szCs w:val="18"/>
            <w:u w:val="single" w:color="auto"/>
            <w:color w:val="0000EE"/>
          </w:rPr>
          <w:t>between the Registrant and U.S. Bank National Association, as trustee, including the form of Global</w:t>
        </w:r>
      </w:hyperlink>
      <w:r>
        <w:rPr>
          <w:rFonts w:ascii="Arial" w:cs="Arial" w:eastAsia="Arial" w:hAnsi="Arial"/>
          <w:sz w:val="18"/>
          <w:szCs w:val="18"/>
          <w:u w:val="single" w:color="auto"/>
          <w:color w:val="0000EE"/>
        </w:rPr>
        <w:t xml:space="preserve"> </w:t>
      </w:r>
      <w:hyperlink r:id="rId494">
        <w:r>
          <w:rPr>
            <w:rFonts w:ascii="Arial" w:cs="Arial" w:eastAsia="Arial" w:hAnsi="Arial"/>
            <w:sz w:val="18"/>
            <w:szCs w:val="18"/>
            <w:u w:val="single" w:color="auto"/>
            <w:color w:val="0000EE"/>
          </w:rPr>
          <w:t>Note</w:t>
        </w:r>
        <w:r>
          <w:rPr>
            <w:rFonts w:ascii="Arial" w:cs="Arial" w:eastAsia="Arial" w:hAnsi="Arial"/>
            <w:sz w:val="30"/>
            <w:szCs w:val="30"/>
            <w:u w:val="single" w:color="auto"/>
            <w:color w:val="0000EE"/>
            <w:vertAlign w:val="superscript"/>
          </w:rPr>
          <w:t>(9)</w:t>
        </w:r>
      </w:hyperlink>
    </w:p>
    <w:p>
      <w:pPr>
        <w:spacing w:after="0" w:line="180" w:lineRule="auto"/>
        <w:rPr>
          <w:rFonts w:ascii="Arial" w:cs="Arial" w:eastAsia="Arial" w:hAnsi="Arial"/>
          <w:sz w:val="18"/>
          <w:szCs w:val="18"/>
          <w:u w:val="single" w:color="auto"/>
          <w:color w:val="0000EE"/>
        </w:rPr>
      </w:pPr>
      <w:hyperlink r:id="rId496">
        <w:r>
          <w:rPr>
            <w:rFonts w:ascii="Arial" w:cs="Arial" w:eastAsia="Arial" w:hAnsi="Arial"/>
            <w:sz w:val="18"/>
            <w:szCs w:val="18"/>
            <w:u w:val="single" w:color="auto"/>
            <w:color w:val="0000EE"/>
          </w:rPr>
          <w:t>Form of Dividend Reinvestment Plan</w:t>
        </w:r>
        <w:r>
          <w:rPr>
            <w:rFonts w:ascii="Arial" w:cs="Arial" w:eastAsia="Arial" w:hAnsi="Arial"/>
            <w:sz w:val="30"/>
            <w:szCs w:val="30"/>
            <w:u w:val="single" w:color="auto"/>
            <w:color w:val="0000EE"/>
            <w:vertAlign w:val="superscript"/>
          </w:rPr>
          <w:t>(1)</w:t>
        </w:r>
      </w:hyperlink>
    </w:p>
    <w:p>
      <w:pPr>
        <w:spacing w:after="0" w:line="1" w:lineRule="exact"/>
        <w:rPr>
          <w:rFonts w:ascii="Arial" w:cs="Arial" w:eastAsia="Arial" w:hAnsi="Arial"/>
          <w:sz w:val="18"/>
          <w:szCs w:val="18"/>
          <w:u w:val="single" w:color="auto"/>
          <w:color w:val="0000EE"/>
        </w:rPr>
      </w:pPr>
    </w:p>
    <w:p>
      <w:pPr>
        <w:sectPr>
          <w:pgSz w:w="11900" w:h="16838" w:orient="portrait"/>
          <w:cols w:equalWidth="0" w:num="2">
            <w:col w:w="700" w:space="200"/>
            <w:col w:w="9319"/>
          </w:cols>
          <w:pgMar w:left="24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80" w:type="dxa"/>
            <w:vAlign w:val="bottom"/>
            <w:gridSpan w:val="2"/>
          </w:tcPr>
          <w:p>
            <w:pPr>
              <w:spacing w:after="0"/>
              <w:rPr>
                <w:sz w:val="15"/>
                <w:szCs w:val="15"/>
                <w:color w:val="auto"/>
              </w:rPr>
            </w:pPr>
          </w:p>
        </w:tc>
        <w:tc>
          <w:tcPr>
            <w:tcW w:w="320" w:type="dxa"/>
            <w:vAlign w:val="bottom"/>
          </w:tcPr>
          <w:p>
            <w:pPr>
              <w:spacing w:after="0" w:line="176" w:lineRule="exact"/>
              <w:rPr>
                <w:rFonts w:ascii="Arial" w:cs="Arial" w:eastAsia="Arial" w:hAnsi="Arial"/>
                <w:sz w:val="18"/>
                <w:szCs w:val="18"/>
                <w:color w:val="0000EE"/>
                <w:w w:val="85"/>
              </w:rPr>
            </w:pPr>
            <w:hyperlink r:id="rId49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00" w:type="dxa"/>
            <w:vAlign w:val="bottom"/>
            <w:gridSpan w:val="35"/>
          </w:tcPr>
          <w:p>
            <w:pPr>
              <w:spacing w:after="0" w:line="176" w:lineRule="exact"/>
              <w:rPr>
                <w:rFonts w:ascii="Arial" w:cs="Arial" w:eastAsia="Arial" w:hAnsi="Arial"/>
                <w:sz w:val="18"/>
                <w:szCs w:val="18"/>
                <w:color w:val="0000EE"/>
              </w:rPr>
            </w:pPr>
            <w:hyperlink r:id="rId498">
              <w:r>
                <w:rPr>
                  <w:rFonts w:ascii="Arial" w:cs="Arial" w:eastAsia="Arial" w:hAnsi="Arial"/>
                  <w:sz w:val="18"/>
                  <w:szCs w:val="18"/>
                  <w:color w:val="0000EE"/>
                </w:rPr>
                <w:t>Form of Investment Advisory Agreement by and between Registrant and Capitala Investment</w:t>
              </w:r>
            </w:hyperlink>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Borders>
              <w:top w:val="single" w:sz="8" w:color="0000EE"/>
              <w:bottom w:val="single" w:sz="8" w:color="0000EE"/>
            </w:tcBorders>
            <w:gridSpan w:val="4"/>
            <w:vMerge w:val="restart"/>
          </w:tcPr>
          <w:p>
            <w:pPr>
              <w:spacing w:after="0"/>
              <w:rPr>
                <w:rFonts w:ascii="Arial" w:cs="Arial" w:eastAsia="Arial" w:hAnsi="Arial"/>
                <w:sz w:val="18"/>
                <w:szCs w:val="18"/>
                <w:color w:val="0000EE"/>
                <w:w w:val="94"/>
              </w:rPr>
            </w:pPr>
            <w:hyperlink r:id="rId498">
              <w:r>
                <w:rPr>
                  <w:rFonts w:ascii="Arial" w:cs="Arial" w:eastAsia="Arial" w:hAnsi="Arial"/>
                  <w:sz w:val="18"/>
                  <w:szCs w:val="18"/>
                  <w:color w:val="0000EE"/>
                  <w:w w:val="94"/>
                </w:rPr>
                <w:t>Advisors, LLC</w:t>
              </w:r>
            </w:hyperlink>
          </w:p>
        </w:tc>
        <w:tc>
          <w:tcPr>
            <w:tcW w:w="180" w:type="dxa"/>
            <w:vAlign w:val="bottom"/>
            <w:tcBorders>
              <w:top w:val="single" w:sz="8" w:color="0000EE"/>
              <w:bottom w:val="single" w:sz="8" w:color="0000EE"/>
            </w:tcBorders>
          </w:tcPr>
          <w:p>
            <w:pPr>
              <w:jc w:val="right"/>
              <w:spacing w:after="0" w:line="156" w:lineRule="exact"/>
              <w:rPr>
                <w:rFonts w:ascii="Arial" w:cs="Arial" w:eastAsia="Arial" w:hAnsi="Arial"/>
                <w:sz w:val="15"/>
                <w:szCs w:val="15"/>
                <w:color w:val="0000EE"/>
                <w:w w:val="87"/>
              </w:rPr>
            </w:pPr>
            <w:hyperlink r:id="rId498">
              <w:r>
                <w:rPr>
                  <w:rFonts w:ascii="Arial" w:cs="Arial" w:eastAsia="Arial" w:hAnsi="Arial"/>
                  <w:sz w:val="15"/>
                  <w:szCs w:val="15"/>
                  <w:color w:val="0000EE"/>
                  <w:w w:val="87"/>
                </w:rPr>
                <w:t>(1)</w:t>
              </w:r>
            </w:hyperlink>
          </w:p>
        </w:tc>
        <w:tc>
          <w:tcPr>
            <w:tcW w:w="5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80" w:type="dxa"/>
            <w:vAlign w:val="bottom"/>
            <w:tcBorders>
              <w:top w:val="single" w:sz="8" w:color="0000EE"/>
              <w:bottom w:val="single" w:sz="8" w:color="0000EE"/>
            </w:tcBorders>
            <w:vMerge w:val="restart"/>
          </w:tcPr>
          <w:p>
            <w:pPr>
              <w:spacing w:after="0"/>
              <w:rPr>
                <w:sz w:val="14"/>
                <w:szCs w:val="14"/>
                <w:color w:val="auto"/>
              </w:rPr>
            </w:pPr>
          </w:p>
        </w:tc>
        <w:tc>
          <w:tcPr>
            <w:tcW w:w="80" w:type="dxa"/>
            <w:vAlign w:val="bottom"/>
            <w:tcBorders>
              <w:top w:val="single" w:sz="8" w:color="0000EE"/>
              <w:bottom w:val="single" w:sz="8" w:color="0000EE"/>
            </w:tcBorders>
            <w:vMerge w:val="restart"/>
          </w:tcPr>
          <w:p>
            <w:pPr>
              <w:spacing w:after="0"/>
              <w:rPr>
                <w:sz w:val="14"/>
                <w:szCs w:val="14"/>
                <w:color w:val="auto"/>
              </w:rPr>
            </w:pPr>
          </w:p>
        </w:tc>
        <w:tc>
          <w:tcPr>
            <w:tcW w:w="160" w:type="dxa"/>
            <w:vAlign w:val="bottom"/>
            <w:tcBorders>
              <w:top w:val="single" w:sz="8" w:color="0000EE"/>
              <w:bottom w:val="single" w:sz="8" w:color="0000EE"/>
            </w:tcBorders>
            <w:vMerge w:val="restart"/>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00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160" w:type="dxa"/>
            <w:vAlign w:val="bottom"/>
            <w:tcBorders>
              <w:top w:val="single" w:sz="8" w:color="0000EE"/>
              <w:bottom w:val="single" w:sz="8" w:color="0000EE"/>
            </w:tcBorders>
            <w:vMerge w:val="restart"/>
          </w:tcPr>
          <w:p>
            <w:pPr>
              <w:spacing w:after="0"/>
              <w:rPr>
                <w:sz w:val="14"/>
                <w:szCs w:val="14"/>
                <w:color w:val="auto"/>
              </w:rPr>
            </w:pPr>
          </w:p>
        </w:tc>
        <w:tc>
          <w:tcPr>
            <w:tcW w:w="2580" w:type="dxa"/>
            <w:vAlign w:val="bottom"/>
            <w:tcBorders>
              <w:top w:val="single" w:sz="8" w:color="0000EE"/>
              <w:bottom w:val="single" w:sz="8" w:color="0000EE"/>
            </w:tcBorders>
            <w:vMerge w:val="restart"/>
          </w:tcPr>
          <w:p>
            <w:pPr>
              <w:spacing w:after="0"/>
              <w:rPr>
                <w:sz w:val="14"/>
                <w:szCs w:val="14"/>
                <w:color w:val="auto"/>
              </w:rPr>
            </w:pPr>
          </w:p>
        </w:tc>
        <w:tc>
          <w:tcPr>
            <w:tcW w:w="160" w:type="dxa"/>
            <w:vAlign w:val="bottom"/>
            <w:tcBorders>
              <w:top w:val="single" w:sz="8" w:color="0000EE"/>
              <w:bottom w:val="single" w:sz="8" w:color="0000EE"/>
            </w:tcBorders>
            <w:vMerge w:val="restart"/>
          </w:tcPr>
          <w:p>
            <w:pPr>
              <w:spacing w:after="0"/>
              <w:rPr>
                <w:sz w:val="14"/>
                <w:szCs w:val="14"/>
                <w:color w:val="auto"/>
              </w:rPr>
            </w:pPr>
          </w:p>
        </w:tc>
        <w:tc>
          <w:tcPr>
            <w:tcW w:w="10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10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1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vMerge w:val="restart"/>
          </w:tcPr>
          <w:p>
            <w:pPr>
              <w:spacing w:after="0"/>
              <w:rPr>
                <w:rFonts w:ascii="Arial" w:cs="Arial" w:eastAsia="Arial" w:hAnsi="Arial"/>
                <w:sz w:val="18"/>
                <w:szCs w:val="18"/>
                <w:color w:val="0000EE"/>
                <w:w w:val="85"/>
              </w:rPr>
            </w:pPr>
            <w:hyperlink r:id="rId49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Borders>
              <w:bottom w:val="single" w:sz="8" w:color="0000EE"/>
            </w:tcBorders>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(1)</w:t>
            </w:r>
          </w:p>
        </w:tc>
        <w:tc>
          <w:tcPr>
            <w:tcW w:w="10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5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12"/>
            <w:vMerge w:val="restart"/>
          </w:tcPr>
          <w:p>
            <w:pPr>
              <w:spacing w:after="0"/>
              <w:rPr>
                <w:rFonts w:ascii="Arial" w:cs="Arial" w:eastAsia="Arial" w:hAnsi="Arial"/>
                <w:sz w:val="18"/>
                <w:szCs w:val="18"/>
                <w:color w:val="0000EE"/>
                <w:w w:val="90"/>
              </w:rPr>
            </w:pPr>
            <w:hyperlink r:id="rId499">
              <w:r>
                <w:rPr>
                  <w:rFonts w:ascii="Arial" w:cs="Arial" w:eastAsia="Arial" w:hAnsi="Arial"/>
                  <w:sz w:val="18"/>
                  <w:szCs w:val="18"/>
                  <w:color w:val="0000EE"/>
                  <w:w w:val="90"/>
                </w:rPr>
                <w:t>Form of Custodian Agreement</w:t>
              </w:r>
            </w:hyperlink>
          </w:p>
        </w:tc>
        <w:tc>
          <w:tcPr>
            <w:tcW w:w="180" w:type="dxa"/>
            <w:vAlign w:val="bottom"/>
            <w:tcBorders>
              <w:bottom w:val="single" w:sz="8" w:color="0000EE"/>
            </w:tcBorders>
            <w:vMerge w:val="continue"/>
          </w:tcPr>
          <w:p>
            <w:pPr>
              <w:spacing w:after="0"/>
              <w:rPr>
                <w:sz w:val="14"/>
                <w:szCs w:val="14"/>
                <w:color w:val="auto"/>
              </w:rPr>
            </w:pPr>
          </w:p>
        </w:tc>
        <w:tc>
          <w:tcPr>
            <w:tcW w:w="100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58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1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tcBorders>
              <w:bottom w:val="single" w:sz="8" w:color="0000EE"/>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12"/>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5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gridSpan w:val="5"/>
            <w:vMerge w:val="restart"/>
          </w:tcPr>
          <w:p>
            <w:pPr>
              <w:jc w:val="right"/>
              <w:ind w:right="20"/>
              <w:spacing w:after="0"/>
              <w:rPr>
                <w:sz w:val="20"/>
                <w:szCs w:val="20"/>
                <w:color w:val="auto"/>
              </w:rPr>
            </w:pPr>
            <w:r>
              <w:rPr>
                <w:rFonts w:ascii="Arial" w:cs="Arial" w:eastAsia="Arial" w:hAnsi="Arial"/>
                <w:sz w:val="15"/>
                <w:szCs w:val="15"/>
                <w:color w:val="0000EE"/>
                <w:w w:val="87"/>
              </w:rPr>
              <w:t>(1)</w:t>
            </w: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Borders>
              <w:bottom w:val="single" w:sz="8" w:color="0000EE"/>
            </w:tcBorders>
            <w:gridSpan w:val="1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5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vMerge w:val="restart"/>
          </w:tcPr>
          <w:p>
            <w:pPr>
              <w:spacing w:after="0" w:line="182" w:lineRule="exact"/>
              <w:rPr>
                <w:rFonts w:ascii="Arial" w:cs="Arial" w:eastAsia="Arial" w:hAnsi="Arial"/>
                <w:sz w:val="18"/>
                <w:szCs w:val="18"/>
                <w:color w:val="0000EE"/>
                <w:w w:val="85"/>
              </w:rPr>
            </w:pPr>
            <w:hyperlink r:id="rId50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20" w:type="dxa"/>
            <w:vAlign w:val="bottom"/>
            <w:gridSpan w:val="20"/>
            <w:vMerge w:val="restart"/>
          </w:tcPr>
          <w:p>
            <w:pPr>
              <w:spacing w:after="0"/>
              <w:rPr>
                <w:rFonts w:ascii="Arial" w:cs="Arial" w:eastAsia="Arial" w:hAnsi="Arial"/>
                <w:sz w:val="18"/>
                <w:szCs w:val="18"/>
                <w:color w:val="0000EE"/>
                <w:w w:val="91"/>
              </w:rPr>
            </w:pPr>
            <w:hyperlink r:id="rId500">
              <w:r>
                <w:rPr>
                  <w:rFonts w:ascii="Arial" w:cs="Arial" w:eastAsia="Arial" w:hAnsi="Arial"/>
                  <w:sz w:val="18"/>
                  <w:szCs w:val="18"/>
                  <w:color w:val="0000EE"/>
                  <w:w w:val="91"/>
                </w:rPr>
                <w:t>Form of Administration Agreement by and between Registrant and Capitala Advisors Corp.</w:t>
              </w:r>
            </w:hyperlink>
          </w:p>
        </w:tc>
        <w:tc>
          <w:tcPr>
            <w:tcW w:w="200" w:type="dxa"/>
            <w:vAlign w:val="bottom"/>
            <w:tcBorders>
              <w:bottom w:val="single" w:sz="8" w:color="0000EE"/>
            </w:tcBorders>
            <w:gridSpan w:val="5"/>
            <w:vMerge w:val="continue"/>
          </w:tcPr>
          <w:p>
            <w:pPr>
              <w:spacing w:after="0"/>
              <w:rPr>
                <w:sz w:val="13"/>
                <w:szCs w:val="13"/>
                <w:color w:val="auto"/>
              </w:rPr>
            </w:pP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2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tcBorders>
              <w:bottom w:val="single" w:sz="8" w:color="0000EE"/>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20" w:type="dxa"/>
            <w:vAlign w:val="bottom"/>
            <w:gridSpan w:val="20"/>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20" w:type="dxa"/>
            <w:vAlign w:val="bottom"/>
            <w:tcBorders>
              <w:bottom w:val="single" w:sz="8" w:color="0000EE"/>
            </w:tcBorders>
            <w:gridSpan w:val="20"/>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vMerge w:val="restart"/>
          </w:tcPr>
          <w:p>
            <w:pPr>
              <w:spacing w:after="0" w:line="182" w:lineRule="exact"/>
              <w:rPr>
                <w:rFonts w:ascii="Arial" w:cs="Arial" w:eastAsia="Arial" w:hAnsi="Arial"/>
                <w:sz w:val="18"/>
                <w:szCs w:val="18"/>
                <w:color w:val="0000EE"/>
                <w:w w:val="85"/>
              </w:rPr>
            </w:pPr>
            <w:hyperlink r:id="rId50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360" w:type="dxa"/>
            <w:vAlign w:val="bottom"/>
            <w:gridSpan w:val="18"/>
            <w:vMerge w:val="restart"/>
          </w:tcPr>
          <w:p>
            <w:pPr>
              <w:spacing w:after="0"/>
              <w:rPr>
                <w:rFonts w:ascii="Arial" w:cs="Arial" w:eastAsia="Arial" w:hAnsi="Arial"/>
                <w:sz w:val="18"/>
                <w:szCs w:val="18"/>
                <w:color w:val="0000EE"/>
                <w:w w:val="91"/>
              </w:rPr>
            </w:pPr>
            <w:hyperlink r:id="rId501">
              <w:r>
                <w:rPr>
                  <w:rFonts w:ascii="Arial" w:cs="Arial" w:eastAsia="Arial" w:hAnsi="Arial"/>
                  <w:sz w:val="18"/>
                  <w:szCs w:val="18"/>
                  <w:color w:val="0000EE"/>
                  <w:w w:val="91"/>
                </w:rPr>
                <w:t>Form of Indemnification Agreement by and between Registrant and each of its directors</w:t>
              </w:r>
            </w:hyperlink>
          </w:p>
        </w:tc>
        <w:tc>
          <w:tcPr>
            <w:tcW w:w="160" w:type="dxa"/>
            <w:vAlign w:val="bottom"/>
            <w:tcBorders>
              <w:bottom w:val="single" w:sz="8" w:color="0000EE"/>
            </w:tcBorders>
          </w:tcPr>
          <w:p>
            <w:pPr>
              <w:jc w:val="right"/>
              <w:spacing w:after="0" w:line="156" w:lineRule="exact"/>
              <w:rPr>
                <w:rFonts w:ascii="Arial" w:cs="Arial" w:eastAsia="Arial" w:hAnsi="Arial"/>
                <w:sz w:val="15"/>
                <w:szCs w:val="15"/>
                <w:color w:val="0000EE"/>
                <w:w w:val="76"/>
              </w:rPr>
            </w:pPr>
            <w:hyperlink r:id="rId501">
              <w:r>
                <w:rPr>
                  <w:rFonts w:ascii="Arial" w:cs="Arial" w:eastAsia="Arial" w:hAnsi="Arial"/>
                  <w:sz w:val="15"/>
                  <w:szCs w:val="15"/>
                  <w:color w:val="0000EE"/>
                  <w:w w:val="76"/>
                </w:rPr>
                <w:t>(1)</w:t>
              </w:r>
            </w:hyperlink>
          </w:p>
        </w:tc>
        <w:tc>
          <w:tcPr>
            <w:tcW w:w="120" w:type="dxa"/>
            <w:vAlign w:val="bottom"/>
            <w:gridSpan w:val="2"/>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2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tcBorders>
              <w:bottom w:val="single" w:sz="8" w:color="0000EE"/>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60" w:type="dxa"/>
            <w:vAlign w:val="bottom"/>
            <w:gridSpan w:val="18"/>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60" w:type="dxa"/>
            <w:vAlign w:val="bottom"/>
            <w:tcBorders>
              <w:bottom w:val="single" w:sz="8" w:color="0000EE"/>
            </w:tcBorders>
            <w:gridSpan w:val="18"/>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80" w:type="dxa"/>
            <w:vAlign w:val="bottom"/>
            <w:gridSpan w:val="2"/>
          </w:tcPr>
          <w:p>
            <w:pPr>
              <w:spacing w:after="0"/>
              <w:rPr>
                <w:sz w:val="15"/>
                <w:szCs w:val="15"/>
                <w:color w:val="auto"/>
              </w:rPr>
            </w:pPr>
          </w:p>
        </w:tc>
        <w:tc>
          <w:tcPr>
            <w:tcW w:w="320" w:type="dxa"/>
            <w:vAlign w:val="bottom"/>
          </w:tcPr>
          <w:p>
            <w:pPr>
              <w:spacing w:after="0" w:line="183" w:lineRule="exact"/>
              <w:rPr>
                <w:rFonts w:ascii="Arial" w:cs="Arial" w:eastAsia="Arial" w:hAnsi="Arial"/>
                <w:sz w:val="18"/>
                <w:szCs w:val="18"/>
                <w:color w:val="0000EE"/>
                <w:w w:val="85"/>
              </w:rPr>
            </w:pPr>
            <w:hyperlink r:id="rId50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700" w:type="dxa"/>
            <w:vAlign w:val="bottom"/>
            <w:gridSpan w:val="35"/>
          </w:tcPr>
          <w:p>
            <w:pPr>
              <w:spacing w:after="0" w:line="183" w:lineRule="exact"/>
              <w:rPr>
                <w:rFonts w:ascii="Arial" w:cs="Arial" w:eastAsia="Arial" w:hAnsi="Arial"/>
                <w:sz w:val="18"/>
                <w:szCs w:val="18"/>
                <w:color w:val="0000EE"/>
              </w:rPr>
            </w:pPr>
            <w:hyperlink r:id="rId502">
              <w:r>
                <w:rPr>
                  <w:rFonts w:ascii="Arial" w:cs="Arial" w:eastAsia="Arial" w:hAnsi="Arial"/>
                  <w:sz w:val="18"/>
                  <w:szCs w:val="18"/>
                  <w:color w:val="0000EE"/>
                </w:rPr>
                <w:t>Form of Trademark License Agreement by and between Registrant and Capitala Investment Advisors,</w:t>
              </w:r>
            </w:hyperlink>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top w:val="single" w:sz="8" w:color="0000EE"/>
              <w:bottom w:val="single" w:sz="8" w:color="0000EE"/>
            </w:tcBorders>
            <w:vMerge w:val="restart"/>
          </w:tcPr>
          <w:p>
            <w:pPr>
              <w:spacing w:after="0"/>
              <w:rPr>
                <w:rFonts w:ascii="Arial" w:cs="Arial" w:eastAsia="Arial" w:hAnsi="Arial"/>
                <w:sz w:val="18"/>
                <w:szCs w:val="18"/>
                <w:color w:val="0000EE"/>
                <w:w w:val="96"/>
              </w:rPr>
            </w:pPr>
            <w:hyperlink r:id="rId502">
              <w:r>
                <w:rPr>
                  <w:rFonts w:ascii="Arial" w:cs="Arial" w:eastAsia="Arial" w:hAnsi="Arial"/>
                  <w:sz w:val="18"/>
                  <w:szCs w:val="18"/>
                  <w:color w:val="0000EE"/>
                  <w:w w:val="96"/>
                </w:rPr>
                <w:t>LLC</w:t>
              </w:r>
            </w:hyperlink>
          </w:p>
        </w:tc>
        <w:tc>
          <w:tcPr>
            <w:tcW w:w="18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7"/>
              </w:rPr>
            </w:pPr>
            <w:hyperlink r:id="rId502">
              <w:r>
                <w:rPr>
                  <w:rFonts w:ascii="Arial" w:cs="Arial" w:eastAsia="Arial" w:hAnsi="Arial"/>
                  <w:sz w:val="15"/>
                  <w:szCs w:val="15"/>
                  <w:color w:val="0000EE"/>
                  <w:w w:val="87"/>
                </w:rPr>
                <w:t>(1)</w:t>
              </w:r>
            </w:hyperlink>
          </w:p>
        </w:tc>
        <w:tc>
          <w:tcPr>
            <w:tcW w:w="1260" w:type="dxa"/>
            <w:vAlign w:val="bottom"/>
            <w:tcBorders>
              <w:top w:val="single" w:sz="8" w:color="0000EE"/>
              <w:bottom w:val="single" w:sz="8" w:color="0000EE"/>
            </w:tcBorders>
            <w:gridSpan w:val="3"/>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80" w:type="dxa"/>
            <w:vAlign w:val="bottom"/>
            <w:tcBorders>
              <w:top w:val="single" w:sz="8" w:color="0000EE"/>
              <w:bottom w:val="single" w:sz="8" w:color="0000EE"/>
            </w:tcBorders>
            <w:vMerge w:val="restart"/>
          </w:tcPr>
          <w:p>
            <w:pPr>
              <w:spacing w:after="0"/>
              <w:rPr>
                <w:sz w:val="14"/>
                <w:szCs w:val="14"/>
                <w:color w:val="auto"/>
              </w:rPr>
            </w:pPr>
          </w:p>
        </w:tc>
        <w:tc>
          <w:tcPr>
            <w:tcW w:w="80" w:type="dxa"/>
            <w:vAlign w:val="bottom"/>
            <w:tcBorders>
              <w:top w:val="single" w:sz="8" w:color="0000EE"/>
              <w:bottom w:val="single" w:sz="8" w:color="0000EE"/>
            </w:tcBorders>
            <w:vMerge w:val="restart"/>
          </w:tcPr>
          <w:p>
            <w:pPr>
              <w:spacing w:after="0"/>
              <w:rPr>
                <w:sz w:val="14"/>
                <w:szCs w:val="14"/>
                <w:color w:val="auto"/>
              </w:rPr>
            </w:pPr>
          </w:p>
        </w:tc>
        <w:tc>
          <w:tcPr>
            <w:tcW w:w="1340" w:type="dxa"/>
            <w:vAlign w:val="bottom"/>
            <w:tcBorders>
              <w:top w:val="single" w:sz="8" w:color="0000EE"/>
              <w:bottom w:val="single" w:sz="8" w:color="0000EE"/>
            </w:tcBorders>
            <w:gridSpan w:val="3"/>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160" w:type="dxa"/>
            <w:vAlign w:val="bottom"/>
            <w:tcBorders>
              <w:top w:val="single" w:sz="8" w:color="0000EE"/>
              <w:bottom w:val="single" w:sz="8" w:color="0000EE"/>
            </w:tcBorders>
            <w:vMerge w:val="restart"/>
          </w:tcPr>
          <w:p>
            <w:pPr>
              <w:spacing w:after="0"/>
              <w:rPr>
                <w:sz w:val="14"/>
                <w:szCs w:val="14"/>
                <w:color w:val="auto"/>
              </w:rPr>
            </w:pPr>
          </w:p>
        </w:tc>
        <w:tc>
          <w:tcPr>
            <w:tcW w:w="2860" w:type="dxa"/>
            <w:vAlign w:val="bottom"/>
            <w:tcBorders>
              <w:top w:val="single" w:sz="8" w:color="0000EE"/>
              <w:bottom w:val="single" w:sz="8" w:color="0000EE"/>
            </w:tcBorders>
            <w:gridSpan w:val="4"/>
            <w:vMerge w:val="restart"/>
          </w:tcPr>
          <w:p>
            <w:pPr>
              <w:spacing w:after="0"/>
              <w:rPr>
                <w:sz w:val="14"/>
                <w:szCs w:val="14"/>
                <w:color w:val="auto"/>
              </w:rPr>
            </w:pPr>
          </w:p>
        </w:tc>
        <w:tc>
          <w:tcPr>
            <w:tcW w:w="120" w:type="dxa"/>
            <w:vAlign w:val="bottom"/>
            <w:tcBorders>
              <w:top w:val="single" w:sz="8" w:color="0000EE"/>
              <w:bottom w:val="single" w:sz="8" w:color="0000EE"/>
            </w:tcBorders>
            <w:gridSpan w:val="2"/>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100" w:type="dxa"/>
            <w:vAlign w:val="bottom"/>
            <w:tcBorders>
              <w:top w:val="single" w:sz="8" w:color="0000EE"/>
              <w:bottom w:val="single" w:sz="8" w:color="0000EE"/>
            </w:tcBorders>
            <w:gridSpan w:val="2"/>
            <w:vMerge w:val="restart"/>
          </w:tcPr>
          <w:p>
            <w:pPr>
              <w:spacing w:after="0"/>
              <w:rPr>
                <w:sz w:val="14"/>
                <w:szCs w:val="14"/>
                <w:color w:val="auto"/>
              </w:rPr>
            </w:pPr>
          </w:p>
        </w:tc>
        <w:tc>
          <w:tcPr>
            <w:tcW w:w="60" w:type="dxa"/>
            <w:vAlign w:val="bottom"/>
            <w:tcBorders>
              <w:top w:val="single" w:sz="8" w:color="0000EE"/>
              <w:bottom w:val="single" w:sz="8" w:color="0000EE"/>
            </w:tcBorders>
            <w:vMerge w:val="restart"/>
          </w:tcPr>
          <w:p>
            <w:pPr>
              <w:spacing w:after="0"/>
              <w:rPr>
                <w:sz w:val="14"/>
                <w:szCs w:val="14"/>
                <w:color w:val="auto"/>
              </w:rPr>
            </w:pPr>
          </w:p>
        </w:tc>
        <w:tc>
          <w:tcPr>
            <w:tcW w:w="20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1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860" w:type="dxa"/>
            <w:vAlign w:val="bottom"/>
            <w:gridSpan w:val="4"/>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80" w:type="dxa"/>
            <w:vAlign w:val="bottom"/>
            <w:gridSpan w:val="2"/>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50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4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r:id="rId503">
              <w:r>
                <w:rPr>
                  <w:rFonts w:ascii="Arial" w:cs="Arial" w:eastAsia="Arial" w:hAnsi="Arial"/>
                  <w:sz w:val="18"/>
                  <w:szCs w:val="18"/>
                  <w:color w:val="0000EE"/>
                  <w:w w:val="90"/>
                </w:rPr>
                <w:t>Form of Senior Secured Revolving Credit Agreement dated October 17, 2014, among Capitala Finance</w:t>
              </w:r>
            </w:hyperlink>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35"/>
          </w:tcPr>
          <w:p>
            <w:pPr>
              <w:spacing w:after="0" w:line="196" w:lineRule="exact"/>
              <w:rPr>
                <w:rFonts w:ascii="Arial" w:cs="Arial" w:eastAsia="Arial" w:hAnsi="Arial"/>
                <w:sz w:val="18"/>
                <w:szCs w:val="18"/>
                <w:color w:val="0000EE"/>
              </w:rPr>
            </w:pPr>
            <w:hyperlink r:id="rId503">
              <w:r>
                <w:rPr>
                  <w:rFonts w:ascii="Arial" w:cs="Arial" w:eastAsia="Arial" w:hAnsi="Arial"/>
                  <w:sz w:val="18"/>
                  <w:szCs w:val="18"/>
                  <w:color w:val="0000EE"/>
                </w:rPr>
                <w:t>Corp., as Borrower, the lenders party thereto, and ING Capital LLC, as Administrative Agent,</w:t>
              </w:r>
            </w:hyperlink>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Borders>
              <w:top w:val="single" w:sz="8" w:color="0000EE"/>
              <w:bottom w:val="single" w:sz="8" w:color="0000EE"/>
            </w:tcBorders>
            <w:gridSpan w:val="8"/>
            <w:vMerge w:val="restart"/>
          </w:tcPr>
          <w:p>
            <w:pPr>
              <w:spacing w:after="0"/>
              <w:rPr>
                <w:rFonts w:ascii="Arial" w:cs="Arial" w:eastAsia="Arial" w:hAnsi="Arial"/>
                <w:sz w:val="18"/>
                <w:szCs w:val="18"/>
                <w:color w:val="0000EE"/>
                <w:w w:val="90"/>
              </w:rPr>
            </w:pPr>
            <w:hyperlink r:id="rId503">
              <w:r>
                <w:rPr>
                  <w:rFonts w:ascii="Arial" w:cs="Arial" w:eastAsia="Arial" w:hAnsi="Arial"/>
                  <w:sz w:val="18"/>
                  <w:szCs w:val="18"/>
                  <w:color w:val="0000EE"/>
                  <w:w w:val="90"/>
                </w:rPr>
                <w:t>Arranger and Bookrunner</w:t>
              </w:r>
            </w:hyperlink>
          </w:p>
        </w:tc>
        <w:tc>
          <w:tcPr>
            <w:tcW w:w="180" w:type="dxa"/>
            <w:vAlign w:val="bottom"/>
            <w:tcBorders>
              <w:top w:val="single" w:sz="8" w:color="0000EE"/>
              <w:bottom w:val="single" w:sz="8" w:color="0000EE"/>
            </w:tcBorders>
            <w:gridSpan w:val="3"/>
          </w:tcPr>
          <w:p>
            <w:pPr>
              <w:jc w:val="right"/>
              <w:spacing w:after="0" w:line="156" w:lineRule="exact"/>
              <w:rPr>
                <w:rFonts w:ascii="Arial" w:cs="Arial" w:eastAsia="Arial" w:hAnsi="Arial"/>
                <w:sz w:val="15"/>
                <w:szCs w:val="15"/>
                <w:color w:val="0000EE"/>
                <w:w w:val="87"/>
              </w:rPr>
            </w:pPr>
            <w:hyperlink r:id="rId503">
              <w:r>
                <w:rPr>
                  <w:rFonts w:ascii="Arial" w:cs="Arial" w:eastAsia="Arial" w:hAnsi="Arial"/>
                  <w:sz w:val="15"/>
                  <w:szCs w:val="15"/>
                  <w:color w:val="0000EE"/>
                  <w:w w:val="87"/>
                </w:rPr>
                <w:t>(5)</w:t>
              </w:r>
            </w:hyperlink>
          </w:p>
        </w:tc>
        <w:tc>
          <w:tcPr>
            <w:tcW w:w="1340" w:type="dxa"/>
            <w:vAlign w:val="bottom"/>
            <w:tcBorders>
              <w:top w:val="single" w:sz="8" w:color="0000EE"/>
              <w:bottom w:val="single" w:sz="8" w:color="0000EE"/>
            </w:tcBorders>
            <w:gridSpan w:val="3"/>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160" w:type="dxa"/>
            <w:vAlign w:val="bottom"/>
            <w:tcBorders>
              <w:top w:val="single" w:sz="8" w:color="0000EE"/>
              <w:bottom w:val="single" w:sz="8" w:color="0000EE"/>
            </w:tcBorders>
            <w:vMerge w:val="restart"/>
          </w:tcPr>
          <w:p>
            <w:pPr>
              <w:spacing w:after="0"/>
              <w:rPr>
                <w:sz w:val="14"/>
                <w:szCs w:val="14"/>
                <w:color w:val="auto"/>
              </w:rPr>
            </w:pPr>
          </w:p>
        </w:tc>
        <w:tc>
          <w:tcPr>
            <w:tcW w:w="2860" w:type="dxa"/>
            <w:vAlign w:val="bottom"/>
            <w:tcBorders>
              <w:top w:val="single" w:sz="8" w:color="0000EE"/>
              <w:bottom w:val="single" w:sz="8" w:color="0000EE"/>
            </w:tcBorders>
            <w:gridSpan w:val="4"/>
            <w:vMerge w:val="restart"/>
          </w:tcPr>
          <w:p>
            <w:pPr>
              <w:spacing w:after="0"/>
              <w:rPr>
                <w:sz w:val="14"/>
                <w:szCs w:val="14"/>
                <w:color w:val="auto"/>
              </w:rPr>
            </w:pPr>
          </w:p>
        </w:tc>
        <w:tc>
          <w:tcPr>
            <w:tcW w:w="120" w:type="dxa"/>
            <w:vAlign w:val="bottom"/>
            <w:tcBorders>
              <w:top w:val="single" w:sz="8" w:color="0000EE"/>
              <w:bottom w:val="single" w:sz="8" w:color="0000EE"/>
            </w:tcBorders>
            <w:gridSpan w:val="2"/>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00" w:type="dxa"/>
            <w:vAlign w:val="bottom"/>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38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60" w:type="dxa"/>
            <w:vAlign w:val="bottom"/>
            <w:tcBorders>
              <w:bottom w:val="single" w:sz="8" w:color="0000EE"/>
            </w:tcBorders>
            <w:gridSpan w:val="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860" w:type="dxa"/>
            <w:vAlign w:val="bottom"/>
            <w:gridSpan w:val="4"/>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80" w:type="dxa"/>
            <w:vAlign w:val="bottom"/>
            <w:gridSpan w:val="2"/>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EE"/>
                <w:w w:val="85"/>
              </w:rPr>
            </w:pPr>
            <w:hyperlink r:id="rId50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35"/>
          </w:tcPr>
          <w:p>
            <w:pPr>
              <w:spacing w:after="0" w:line="196" w:lineRule="exact"/>
              <w:rPr>
                <w:rFonts w:ascii="Arial" w:cs="Arial" w:eastAsia="Arial" w:hAnsi="Arial"/>
                <w:sz w:val="18"/>
                <w:szCs w:val="18"/>
                <w:color w:val="0000EE"/>
              </w:rPr>
            </w:pPr>
            <w:hyperlink r:id="rId504">
              <w:r>
                <w:rPr>
                  <w:rFonts w:ascii="Arial" w:cs="Arial" w:eastAsia="Arial" w:hAnsi="Arial"/>
                  <w:sz w:val="18"/>
                  <w:szCs w:val="18"/>
                  <w:color w:val="0000EE"/>
                </w:rPr>
                <w:t>Form of Guarantee, Pledge and Security Agreement dated October 17, 2014, among Capitala Finance</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504">
              <w:r>
                <w:rPr>
                  <w:rFonts w:ascii="Arial" w:cs="Arial" w:eastAsia="Arial" w:hAnsi="Arial"/>
                  <w:sz w:val="18"/>
                  <w:szCs w:val="18"/>
                  <w:color w:val="0000EE"/>
                  <w:w w:val="91"/>
                </w:rPr>
                <w:t>Corp., as Borrower, the subsidiary guarantors party thereto, ING Capital LLC, as Revolving</w:t>
              </w:r>
            </w:hyperlink>
          </w:p>
        </w:tc>
        <w:tc>
          <w:tcPr>
            <w:tcW w:w="680" w:type="dxa"/>
            <w:vAlign w:val="bottom"/>
            <w:tcBorders>
              <w:top w:val="single" w:sz="8" w:color="0000EE"/>
            </w:tcBorders>
            <w:gridSpan w:val="11"/>
          </w:tcPr>
          <w:p>
            <w:pPr>
              <w:spacing w:after="0"/>
              <w:rPr>
                <w:sz w:val="17"/>
                <w:szCs w:val="17"/>
                <w:color w:val="auto"/>
              </w:rPr>
            </w:pPr>
          </w:p>
        </w:tc>
        <w:tc>
          <w:tcPr>
            <w:tcW w:w="1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35"/>
          </w:tcPr>
          <w:p>
            <w:pPr>
              <w:spacing w:after="0" w:line="196" w:lineRule="exact"/>
              <w:rPr>
                <w:rFonts w:ascii="Arial" w:cs="Arial" w:eastAsia="Arial" w:hAnsi="Arial"/>
                <w:sz w:val="18"/>
                <w:szCs w:val="18"/>
                <w:color w:val="0000EE"/>
              </w:rPr>
            </w:pPr>
            <w:hyperlink r:id="rId504">
              <w:r>
                <w:rPr>
                  <w:rFonts w:ascii="Arial" w:cs="Arial" w:eastAsia="Arial" w:hAnsi="Arial"/>
                  <w:sz w:val="18"/>
                  <w:szCs w:val="18"/>
                  <w:color w:val="0000EE"/>
                </w:rPr>
                <w:t>Administrative Agent for the Revolving Lenders and as Collateral Agent, and each Financing Agent</w:t>
              </w:r>
            </w:hyperlink>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0" w:type="dxa"/>
            <w:vAlign w:val="bottom"/>
            <w:tcBorders>
              <w:top w:val="single" w:sz="8" w:color="0000EE"/>
              <w:bottom w:val="single" w:sz="8" w:color="0000EE"/>
            </w:tcBorders>
            <w:gridSpan w:val="15"/>
            <w:vMerge w:val="restart"/>
          </w:tcPr>
          <w:p>
            <w:pPr>
              <w:spacing w:after="0"/>
              <w:rPr>
                <w:rFonts w:ascii="Arial" w:cs="Arial" w:eastAsia="Arial" w:hAnsi="Arial"/>
                <w:sz w:val="18"/>
                <w:szCs w:val="18"/>
                <w:color w:val="0000EE"/>
                <w:w w:val="88"/>
              </w:rPr>
            </w:pPr>
            <w:hyperlink r:id="rId504">
              <w:r>
                <w:rPr>
                  <w:rFonts w:ascii="Arial" w:cs="Arial" w:eastAsia="Arial" w:hAnsi="Arial"/>
                  <w:sz w:val="18"/>
                  <w:szCs w:val="18"/>
                  <w:color w:val="0000EE"/>
                  <w:w w:val="88"/>
                </w:rPr>
                <w:t>and Designated Indebtedness Holder party thereto</w:t>
              </w:r>
            </w:hyperlink>
          </w:p>
        </w:tc>
        <w:tc>
          <w:tcPr>
            <w:tcW w:w="18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7"/>
              </w:rPr>
            </w:pPr>
            <w:hyperlink r:id="rId504">
              <w:r>
                <w:rPr>
                  <w:rFonts w:ascii="Arial" w:cs="Arial" w:eastAsia="Arial" w:hAnsi="Arial"/>
                  <w:sz w:val="15"/>
                  <w:szCs w:val="15"/>
                  <w:color w:val="0000EE"/>
                  <w:w w:val="87"/>
                </w:rPr>
                <w:t>(5)</w:t>
              </w:r>
            </w:hyperlink>
          </w:p>
        </w:tc>
        <w:tc>
          <w:tcPr>
            <w:tcW w:w="3020" w:type="dxa"/>
            <w:vAlign w:val="bottom"/>
            <w:tcBorders>
              <w:top w:val="single" w:sz="8" w:color="0000EE"/>
              <w:bottom w:val="single" w:sz="8" w:color="0000EE"/>
            </w:tcBorders>
            <w:gridSpan w:val="7"/>
            <w:vMerge w:val="restart"/>
          </w:tcPr>
          <w:p>
            <w:pPr>
              <w:spacing w:after="0"/>
              <w:rPr>
                <w:sz w:val="14"/>
                <w:szCs w:val="14"/>
                <w:color w:val="auto"/>
              </w:rPr>
            </w:pPr>
          </w:p>
        </w:tc>
        <w:tc>
          <w:tcPr>
            <w:tcW w:w="100" w:type="dxa"/>
            <w:vAlign w:val="bottom"/>
            <w:tcBorders>
              <w:top w:val="single" w:sz="8" w:color="0000EE"/>
              <w:bottom w:val="single" w:sz="8" w:color="0000EE"/>
            </w:tcBorders>
            <w:gridSpan w:val="2"/>
            <w:vMerge w:val="restart"/>
          </w:tcPr>
          <w:p>
            <w:pPr>
              <w:spacing w:after="0"/>
              <w:rPr>
                <w:sz w:val="14"/>
                <w:szCs w:val="14"/>
                <w:color w:val="auto"/>
              </w:rPr>
            </w:pPr>
          </w:p>
        </w:tc>
        <w:tc>
          <w:tcPr>
            <w:tcW w:w="60" w:type="dxa"/>
            <w:vAlign w:val="bottom"/>
            <w:tcBorders>
              <w:top w:val="single" w:sz="8" w:color="0000EE"/>
              <w:bottom w:val="single" w:sz="8" w:color="0000EE"/>
            </w:tcBorders>
            <w:vMerge w:val="restart"/>
          </w:tcPr>
          <w:p>
            <w:pPr>
              <w:spacing w:after="0"/>
              <w:rPr>
                <w:sz w:val="14"/>
                <w:szCs w:val="14"/>
                <w:color w:val="auto"/>
              </w:rPr>
            </w:pPr>
          </w:p>
        </w:tc>
        <w:tc>
          <w:tcPr>
            <w:tcW w:w="20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44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0" w:type="dxa"/>
            <w:vAlign w:val="bottom"/>
            <w:tcBorders>
              <w:bottom w:val="single" w:sz="8" w:color="0000EE"/>
            </w:tcBorders>
            <w:gridSpan w:val="15"/>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3020" w:type="dxa"/>
            <w:vAlign w:val="bottom"/>
            <w:gridSpan w:val="7"/>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80" w:type="dxa"/>
            <w:vAlign w:val="bottom"/>
            <w:gridSpan w:val="2"/>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50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505">
              <w:r>
                <w:rPr>
                  <w:rFonts w:ascii="Arial" w:cs="Arial" w:eastAsia="Arial" w:hAnsi="Arial"/>
                  <w:sz w:val="18"/>
                  <w:szCs w:val="18"/>
                  <w:color w:val="0000EE"/>
                  <w:w w:val="90"/>
                </w:rPr>
                <w:t>Form of Incremental Assumption Agreement, dated January 6, 2015, relating to the Senior Secured</w:t>
              </w:r>
            </w:hyperlink>
          </w:p>
        </w:tc>
        <w:tc>
          <w:tcPr>
            <w:tcW w:w="1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505">
              <w:r>
                <w:rPr>
                  <w:rFonts w:ascii="Arial" w:cs="Arial" w:eastAsia="Arial" w:hAnsi="Arial"/>
                  <w:sz w:val="18"/>
                  <w:szCs w:val="18"/>
                  <w:color w:val="0000EE"/>
                  <w:w w:val="90"/>
                </w:rPr>
                <w:t>Revolving Credit Agreement, dated as of October 17, 2014, among Capitala Finance Corp., as</w:t>
              </w:r>
            </w:hyperlink>
          </w:p>
        </w:tc>
        <w:tc>
          <w:tcPr>
            <w:tcW w:w="19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6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505">
              <w:r>
                <w:rPr>
                  <w:rFonts w:ascii="Arial" w:cs="Arial" w:eastAsia="Arial" w:hAnsi="Arial"/>
                  <w:sz w:val="18"/>
                  <w:szCs w:val="18"/>
                  <w:color w:val="0000EE"/>
                  <w:w w:val="91"/>
                </w:rPr>
                <w:t>borrower, the lenders from time to time party thereto, and ING Capital LLC, as administrative agent,</w:t>
              </w:r>
            </w:hyperlink>
          </w:p>
        </w:tc>
        <w:tc>
          <w:tcPr>
            <w:tcW w:w="1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6"/>
            <w:vMerge w:val="restart"/>
          </w:tcPr>
          <w:p>
            <w:pPr>
              <w:spacing w:after="0"/>
              <w:rPr>
                <w:rFonts w:ascii="Arial" w:cs="Arial" w:eastAsia="Arial" w:hAnsi="Arial"/>
                <w:sz w:val="18"/>
                <w:szCs w:val="18"/>
                <w:color w:val="0000EE"/>
                <w:w w:val="88"/>
              </w:rPr>
            </w:pPr>
            <w:hyperlink r:id="rId505">
              <w:r>
                <w:rPr>
                  <w:rFonts w:ascii="Arial" w:cs="Arial" w:eastAsia="Arial" w:hAnsi="Arial"/>
                  <w:sz w:val="18"/>
                  <w:szCs w:val="18"/>
                  <w:color w:val="0000EE"/>
                  <w:w w:val="88"/>
                </w:rPr>
                <w:t>arranger and bookrunner</w:t>
              </w:r>
            </w:hyperlink>
          </w:p>
        </w:tc>
        <w:tc>
          <w:tcPr>
            <w:tcW w:w="180" w:type="dxa"/>
            <w:vAlign w:val="bottom"/>
            <w:tcBorders>
              <w:bottom w:val="single" w:sz="8" w:color="0000EE"/>
            </w:tcBorders>
            <w:gridSpan w:val="4"/>
          </w:tcPr>
          <w:p>
            <w:pPr>
              <w:jc w:val="right"/>
              <w:spacing w:after="0" w:line="156" w:lineRule="exact"/>
              <w:rPr>
                <w:rFonts w:ascii="Arial" w:cs="Arial" w:eastAsia="Arial" w:hAnsi="Arial"/>
                <w:sz w:val="15"/>
                <w:szCs w:val="15"/>
                <w:color w:val="0000EE"/>
                <w:w w:val="87"/>
              </w:rPr>
            </w:pPr>
            <w:hyperlink r:id="rId505">
              <w:r>
                <w:rPr>
                  <w:rFonts w:ascii="Arial" w:cs="Arial" w:eastAsia="Arial" w:hAnsi="Arial"/>
                  <w:sz w:val="15"/>
                  <w:szCs w:val="15"/>
                  <w:color w:val="0000EE"/>
                  <w:w w:val="87"/>
                </w:rPr>
                <w:t>(6)</w:t>
              </w:r>
            </w:hyperlink>
          </w:p>
        </w:tc>
        <w:tc>
          <w:tcPr>
            <w:tcW w:w="1420" w:type="dxa"/>
            <w:vAlign w:val="bottom"/>
            <w:gridSpan w:val="4"/>
            <w:vMerge w:val="restart"/>
          </w:tcPr>
          <w:p>
            <w:pPr>
              <w:spacing w:after="0"/>
              <w:rPr>
                <w:sz w:val="14"/>
                <w:szCs w:val="14"/>
                <w:color w:val="auto"/>
              </w:rPr>
            </w:pPr>
          </w:p>
        </w:tc>
        <w:tc>
          <w:tcPr>
            <w:tcW w:w="240" w:type="dxa"/>
            <w:vAlign w:val="bottom"/>
            <w:gridSpan w:val="2"/>
            <w:vMerge w:val="restart"/>
          </w:tcPr>
          <w:p>
            <w:pPr>
              <w:spacing w:after="0"/>
              <w:rPr>
                <w:sz w:val="14"/>
                <w:szCs w:val="14"/>
                <w:color w:val="auto"/>
              </w:rPr>
            </w:pPr>
          </w:p>
        </w:tc>
        <w:tc>
          <w:tcPr>
            <w:tcW w:w="3280" w:type="dxa"/>
            <w:vAlign w:val="bottom"/>
            <w:gridSpan w:val="10"/>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40" w:type="dxa"/>
            <w:vAlign w:val="bottom"/>
            <w:gridSpan w:val="2"/>
            <w:vMerge w:val="restart"/>
          </w:tcPr>
          <w:p>
            <w:pPr>
              <w:spacing w:after="0"/>
              <w:rPr>
                <w:sz w:val="14"/>
                <w:szCs w:val="14"/>
                <w:color w:val="auto"/>
              </w:rPr>
            </w:pPr>
          </w:p>
        </w:tc>
        <w:tc>
          <w:tcPr>
            <w:tcW w:w="150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Borders>
              <w:bottom w:val="single" w:sz="8" w:color="0000EE"/>
            </w:tcBorders>
            <w:gridSpan w:val="6"/>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3"/>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3280" w:type="dxa"/>
            <w:vAlign w:val="bottom"/>
            <w:gridSpan w:val="10"/>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80" w:type="dxa"/>
            <w:vAlign w:val="bottom"/>
            <w:gridSpan w:val="4"/>
          </w:tcPr>
          <w:p>
            <w:pPr>
              <w:jc w:val="right"/>
              <w:ind w:right="240"/>
              <w:spacing w:after="0" w:line="196" w:lineRule="exact"/>
              <w:rPr>
                <w:rFonts w:ascii="Arial" w:cs="Arial" w:eastAsia="Arial" w:hAnsi="Arial"/>
                <w:sz w:val="18"/>
                <w:szCs w:val="18"/>
                <w:color w:val="0000EE"/>
                <w:w w:val="93"/>
              </w:rPr>
            </w:pPr>
            <w:hyperlink r:id="rId506">
              <w:r>
                <w:rPr>
                  <w:rFonts w:ascii="Arial" w:cs="Arial" w:eastAsia="Arial" w:hAnsi="Arial"/>
                  <w:sz w:val="18"/>
                  <w:szCs w:val="18"/>
                  <w:color w:val="0000EE"/>
                  <w:w w:val="93"/>
                </w:rPr>
                <w:t>10.10</w:t>
              </w:r>
            </w:hyperlink>
          </w:p>
        </w:tc>
        <w:tc>
          <w:tcPr>
            <w:tcW w:w="8700" w:type="dxa"/>
            <w:vAlign w:val="bottom"/>
            <w:gridSpan w:val="35"/>
          </w:tcPr>
          <w:p>
            <w:pPr>
              <w:spacing w:after="0" w:line="196" w:lineRule="exact"/>
              <w:rPr>
                <w:rFonts w:ascii="Arial" w:cs="Arial" w:eastAsia="Arial" w:hAnsi="Arial"/>
                <w:sz w:val="18"/>
                <w:szCs w:val="18"/>
                <w:color w:val="0000EE"/>
              </w:rPr>
            </w:pPr>
            <w:hyperlink r:id="rId506">
              <w:r>
                <w:rPr>
                  <w:rFonts w:ascii="Arial" w:cs="Arial" w:eastAsia="Arial" w:hAnsi="Arial"/>
                  <w:sz w:val="18"/>
                  <w:szCs w:val="18"/>
                  <w:color w:val="0000EE"/>
                </w:rPr>
                <w:t>Form of Incremental Assumption Agreement, dated August 19, 2015, relating to the Senior Secured</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0"/>
              </w:rPr>
            </w:pPr>
            <w:hyperlink r:id="rId506">
              <w:r>
                <w:rPr>
                  <w:rFonts w:ascii="Arial" w:cs="Arial" w:eastAsia="Arial" w:hAnsi="Arial"/>
                  <w:sz w:val="18"/>
                  <w:szCs w:val="18"/>
                  <w:color w:val="0000EE"/>
                  <w:w w:val="90"/>
                </w:rPr>
                <w:t>Revolving Credit Agreement, dated as of October 17, 2014, among Capitala Finance Corp., as</w:t>
              </w:r>
            </w:hyperlink>
          </w:p>
        </w:tc>
        <w:tc>
          <w:tcPr>
            <w:tcW w:w="400" w:type="dxa"/>
            <w:vAlign w:val="bottom"/>
            <w:tcBorders>
              <w:top w:val="single" w:sz="8" w:color="0000EE"/>
            </w:tcBorders>
            <w:gridSpan w:val="5"/>
          </w:tcPr>
          <w:p>
            <w:pPr>
              <w:spacing w:after="0"/>
              <w:rPr>
                <w:sz w:val="17"/>
                <w:szCs w:val="17"/>
                <w:color w:val="auto"/>
              </w:rPr>
            </w:pPr>
          </w:p>
        </w:tc>
        <w:tc>
          <w:tcPr>
            <w:tcW w:w="15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6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506">
              <w:r>
                <w:rPr>
                  <w:rFonts w:ascii="Arial" w:cs="Arial" w:eastAsia="Arial" w:hAnsi="Arial"/>
                  <w:sz w:val="18"/>
                  <w:szCs w:val="18"/>
                  <w:color w:val="0000EE"/>
                  <w:w w:val="91"/>
                </w:rPr>
                <w:t>borrower, the lenders from time to time party thereto, and ING Capital LLC, as administrative agent,</w:t>
              </w:r>
            </w:hyperlink>
          </w:p>
        </w:tc>
        <w:tc>
          <w:tcPr>
            <w:tcW w:w="1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6"/>
            <w:vMerge w:val="restart"/>
          </w:tcPr>
          <w:p>
            <w:pPr>
              <w:spacing w:after="0"/>
              <w:rPr>
                <w:rFonts w:ascii="Arial" w:cs="Arial" w:eastAsia="Arial" w:hAnsi="Arial"/>
                <w:sz w:val="18"/>
                <w:szCs w:val="18"/>
                <w:color w:val="0000EE"/>
                <w:w w:val="88"/>
              </w:rPr>
            </w:pPr>
            <w:hyperlink r:id="rId506">
              <w:r>
                <w:rPr>
                  <w:rFonts w:ascii="Arial" w:cs="Arial" w:eastAsia="Arial" w:hAnsi="Arial"/>
                  <w:sz w:val="18"/>
                  <w:szCs w:val="18"/>
                  <w:color w:val="0000EE"/>
                  <w:w w:val="88"/>
                </w:rPr>
                <w:t>arranger and bookrunner</w:t>
              </w:r>
            </w:hyperlink>
          </w:p>
        </w:tc>
        <w:tc>
          <w:tcPr>
            <w:tcW w:w="180" w:type="dxa"/>
            <w:vAlign w:val="bottom"/>
            <w:tcBorders>
              <w:bottom w:val="single" w:sz="8" w:color="0000EE"/>
            </w:tcBorders>
            <w:gridSpan w:val="4"/>
          </w:tcPr>
          <w:p>
            <w:pPr>
              <w:jc w:val="right"/>
              <w:spacing w:after="0" w:line="156" w:lineRule="exact"/>
              <w:rPr>
                <w:rFonts w:ascii="Arial" w:cs="Arial" w:eastAsia="Arial" w:hAnsi="Arial"/>
                <w:sz w:val="15"/>
                <w:szCs w:val="15"/>
                <w:color w:val="0000EE"/>
                <w:w w:val="87"/>
              </w:rPr>
            </w:pPr>
            <w:hyperlink r:id="rId506">
              <w:r>
                <w:rPr>
                  <w:rFonts w:ascii="Arial" w:cs="Arial" w:eastAsia="Arial" w:hAnsi="Arial"/>
                  <w:sz w:val="15"/>
                  <w:szCs w:val="15"/>
                  <w:color w:val="0000EE"/>
                  <w:w w:val="87"/>
                </w:rPr>
                <w:t>(8)</w:t>
              </w:r>
            </w:hyperlink>
          </w:p>
        </w:tc>
        <w:tc>
          <w:tcPr>
            <w:tcW w:w="1420" w:type="dxa"/>
            <w:vAlign w:val="bottom"/>
            <w:gridSpan w:val="4"/>
            <w:vMerge w:val="restart"/>
          </w:tcPr>
          <w:p>
            <w:pPr>
              <w:spacing w:after="0"/>
              <w:rPr>
                <w:sz w:val="14"/>
                <w:szCs w:val="14"/>
                <w:color w:val="auto"/>
              </w:rPr>
            </w:pPr>
          </w:p>
        </w:tc>
        <w:tc>
          <w:tcPr>
            <w:tcW w:w="240" w:type="dxa"/>
            <w:vAlign w:val="bottom"/>
            <w:gridSpan w:val="2"/>
            <w:vMerge w:val="restart"/>
          </w:tcPr>
          <w:p>
            <w:pPr>
              <w:spacing w:after="0"/>
              <w:rPr>
                <w:sz w:val="14"/>
                <w:szCs w:val="14"/>
                <w:color w:val="auto"/>
              </w:rPr>
            </w:pPr>
          </w:p>
        </w:tc>
        <w:tc>
          <w:tcPr>
            <w:tcW w:w="3280" w:type="dxa"/>
            <w:vAlign w:val="bottom"/>
            <w:gridSpan w:val="10"/>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740" w:type="dxa"/>
            <w:vAlign w:val="bottom"/>
            <w:gridSpan w:val="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Borders>
              <w:bottom w:val="single" w:sz="8" w:color="0000EE"/>
            </w:tcBorders>
            <w:gridSpan w:val="6"/>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3"/>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3280" w:type="dxa"/>
            <w:vAlign w:val="bottom"/>
            <w:gridSpan w:val="10"/>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7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tcBorders>
              <w:bottom w:val="single" w:sz="8" w:color="0000EE"/>
            </w:tcBorders>
            <w:gridSpan w:val="3"/>
          </w:tcPr>
          <w:p>
            <w:pPr>
              <w:ind w:left="40"/>
              <w:spacing w:after="0" w:line="196" w:lineRule="exact"/>
              <w:rPr>
                <w:rFonts w:ascii="Arial" w:cs="Arial" w:eastAsia="Arial" w:hAnsi="Arial"/>
                <w:sz w:val="18"/>
                <w:szCs w:val="18"/>
                <w:color w:val="0000EE"/>
                <w:w w:val="84"/>
              </w:rPr>
            </w:pPr>
            <w:hyperlink r:id="rId507">
              <w:r>
                <w:rPr>
                  <w:rFonts w:ascii="Arial" w:cs="Arial" w:eastAsia="Arial" w:hAnsi="Arial"/>
                  <w:sz w:val="18"/>
                  <w:szCs w:val="18"/>
                  <w:color w:val="0000EE"/>
                  <w:w w:val="84"/>
                </w:rPr>
                <w:t>10.11</w:t>
              </w:r>
            </w:hyperlink>
          </w:p>
        </w:tc>
        <w:tc>
          <w:tcPr>
            <w:tcW w:w="240" w:type="dxa"/>
            <w:vAlign w:val="bottom"/>
          </w:tcPr>
          <w:p>
            <w:pPr>
              <w:spacing w:after="0"/>
              <w:rPr>
                <w:sz w:val="17"/>
                <w:szCs w:val="17"/>
                <w:color w:val="auto"/>
              </w:rPr>
            </w:pPr>
          </w:p>
        </w:tc>
        <w:tc>
          <w:tcPr>
            <w:tcW w:w="69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507">
              <w:r>
                <w:rPr>
                  <w:rFonts w:ascii="Arial" w:cs="Arial" w:eastAsia="Arial" w:hAnsi="Arial"/>
                  <w:sz w:val="18"/>
                  <w:szCs w:val="18"/>
                  <w:color w:val="0000EE"/>
                  <w:w w:val="90"/>
                </w:rPr>
                <w:t>Form of Amendment No. 2 to Senior Secured Revolving Credit Agreement dated June 16, 2017,</w:t>
              </w:r>
            </w:hyperlink>
          </w:p>
        </w:tc>
        <w:tc>
          <w:tcPr>
            <w:tcW w:w="17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00" w:type="dxa"/>
            <w:vAlign w:val="bottom"/>
            <w:gridSpan w:val="35"/>
          </w:tcPr>
          <w:p>
            <w:pPr>
              <w:spacing w:after="0" w:line="196" w:lineRule="exact"/>
              <w:rPr>
                <w:rFonts w:ascii="Arial" w:cs="Arial" w:eastAsia="Arial" w:hAnsi="Arial"/>
                <w:sz w:val="18"/>
                <w:szCs w:val="18"/>
                <w:color w:val="0000EE"/>
              </w:rPr>
            </w:pPr>
            <w:hyperlink r:id="rId507">
              <w:r>
                <w:rPr>
                  <w:rFonts w:ascii="Arial" w:cs="Arial" w:eastAsia="Arial" w:hAnsi="Arial"/>
                  <w:sz w:val="18"/>
                  <w:szCs w:val="18"/>
                  <w:color w:val="0000EE"/>
                </w:rPr>
                <w:t>among Capitala Finance Corp., as Borrower, the lenders party thereto, and ING Capital LLC, as</w:t>
              </w:r>
            </w:hyperlink>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Borders>
              <w:top w:val="single" w:sz="8" w:color="0000EE"/>
              <w:bottom w:val="single" w:sz="8" w:color="0000EE"/>
            </w:tcBorders>
            <w:gridSpan w:val="14"/>
            <w:vMerge w:val="restart"/>
          </w:tcPr>
          <w:p>
            <w:pPr>
              <w:spacing w:after="0"/>
              <w:rPr>
                <w:rFonts w:ascii="Arial" w:cs="Arial" w:eastAsia="Arial" w:hAnsi="Arial"/>
                <w:sz w:val="18"/>
                <w:szCs w:val="18"/>
                <w:color w:val="0000EE"/>
                <w:w w:val="89"/>
              </w:rPr>
            </w:pPr>
            <w:hyperlink r:id="rId507">
              <w:r>
                <w:rPr>
                  <w:rFonts w:ascii="Arial" w:cs="Arial" w:eastAsia="Arial" w:hAnsi="Arial"/>
                  <w:sz w:val="18"/>
                  <w:szCs w:val="18"/>
                  <w:color w:val="0000EE"/>
                  <w:w w:val="89"/>
                </w:rPr>
                <w:t>administrative agent, arranger, and bookrunner</w:t>
              </w:r>
            </w:hyperlink>
          </w:p>
        </w:tc>
        <w:tc>
          <w:tcPr>
            <w:tcW w:w="24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2"/>
              </w:rPr>
            </w:pPr>
            <w:hyperlink r:id="rId507">
              <w:r>
                <w:rPr>
                  <w:rFonts w:ascii="Arial" w:cs="Arial" w:eastAsia="Arial" w:hAnsi="Arial"/>
                  <w:sz w:val="15"/>
                  <w:szCs w:val="15"/>
                  <w:color w:val="0000EE"/>
                  <w:w w:val="82"/>
                </w:rPr>
                <w:t>(10)</w:t>
              </w:r>
            </w:hyperlink>
          </w:p>
        </w:tc>
        <w:tc>
          <w:tcPr>
            <w:tcW w:w="3280" w:type="dxa"/>
            <w:vAlign w:val="bottom"/>
            <w:tcBorders>
              <w:top w:val="single" w:sz="8" w:color="0000EE"/>
              <w:bottom w:val="single" w:sz="8" w:color="0000EE"/>
            </w:tcBorders>
            <w:gridSpan w:val="10"/>
            <w:vMerge w:val="restart"/>
          </w:tcPr>
          <w:p>
            <w:pPr>
              <w:spacing w:after="0"/>
              <w:rPr>
                <w:sz w:val="14"/>
                <w:szCs w:val="14"/>
                <w:color w:val="auto"/>
              </w:rPr>
            </w:pPr>
          </w:p>
        </w:tc>
        <w:tc>
          <w:tcPr>
            <w:tcW w:w="1800" w:type="dxa"/>
            <w:vAlign w:val="bottom"/>
            <w:gridSpan w:val="9"/>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380" w:type="dxa"/>
            <w:vAlign w:val="bottom"/>
            <w:tcBorders>
              <w:bottom w:val="single" w:sz="8" w:color="0000EE"/>
            </w:tcBorders>
            <w:gridSpan w:val="14"/>
            <w:vMerge w:val="continue"/>
          </w:tcPr>
          <w:p>
            <w:pPr>
              <w:spacing w:after="0"/>
              <w:rPr>
                <w:sz w:val="4"/>
                <w:szCs w:val="4"/>
                <w:color w:val="auto"/>
              </w:rPr>
            </w:pPr>
          </w:p>
        </w:tc>
        <w:tc>
          <w:tcPr>
            <w:tcW w:w="240" w:type="dxa"/>
            <w:vAlign w:val="bottom"/>
            <w:gridSpan w:val="2"/>
          </w:tcPr>
          <w:p>
            <w:pPr>
              <w:spacing w:after="0"/>
              <w:rPr>
                <w:sz w:val="4"/>
                <w:szCs w:val="4"/>
                <w:color w:val="auto"/>
              </w:rPr>
            </w:pPr>
          </w:p>
        </w:tc>
        <w:tc>
          <w:tcPr>
            <w:tcW w:w="3280" w:type="dxa"/>
            <w:vAlign w:val="bottom"/>
            <w:gridSpan w:val="10"/>
            <w:vMerge w:val="continue"/>
          </w:tcPr>
          <w:p>
            <w:pPr>
              <w:spacing w:after="0"/>
              <w:rPr>
                <w:sz w:val="4"/>
                <w:szCs w:val="4"/>
                <w:color w:val="auto"/>
              </w:rPr>
            </w:pPr>
          </w:p>
        </w:tc>
        <w:tc>
          <w:tcPr>
            <w:tcW w:w="18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0"/>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60" w:type="dxa"/>
            <w:vAlign w:val="bottom"/>
            <w:gridSpan w:val="18"/>
          </w:tcPr>
          <w:p>
            <w:pPr>
              <w:ind w:left="380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type w:val="continuous"/>
        </w:sectPr>
      </w:pPr>
    </w:p>
    <w:bookmarkStart w:id="161" w:name="page162"/>
    <w:bookmarkEnd w:id="161"/>
    <w:tbl>
      <w:tblPr>
        <w:tblLayout w:type="fixed"/>
        <w:tblInd w:w="20" w:type="dxa"/>
        <w:tblCellMar>
          <w:top w:w="0" w:type="dxa"/>
          <w:left w:w="0" w:type="dxa"/>
          <w:bottom w:w="0" w:type="dxa"/>
          <w:right w:w="0" w:type="dxa"/>
        </w:tblCellMar>
      </w:tblPr>
      <w:tr>
        <w:trPr>
          <w:trHeight w:val="186"/>
        </w:trPr>
        <w:tc>
          <w:tcPr>
            <w:tcW w:w="262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620" w:type="dxa"/>
            <w:vAlign w:val="bottom"/>
          </w:tcPr>
          <w:p>
            <w:pPr>
              <w:jc w:val="center"/>
              <w:ind w:right="1948"/>
              <w:spacing w:after="0"/>
              <w:rPr>
                <w:sz w:val="20"/>
                <w:szCs w:val="20"/>
                <w:color w:val="auto"/>
              </w:rPr>
            </w:pPr>
            <w:r>
              <w:rPr>
                <w:rFonts w:ascii="Arial" w:cs="Arial" w:eastAsia="Arial" w:hAnsi="Arial"/>
                <w:sz w:val="14"/>
                <w:szCs w:val="14"/>
                <w:b w:val="1"/>
                <w:bCs w:val="1"/>
                <w:color w:val="auto"/>
                <w:w w:val="94"/>
              </w:rPr>
              <w:t>Exhibit</w:t>
            </w:r>
          </w:p>
        </w:tc>
        <w:tc>
          <w:tcPr>
            <w:tcW w:w="2640" w:type="dxa"/>
            <w:vAlign w:val="bottom"/>
            <w:vMerge w:val="restart"/>
          </w:tcPr>
          <w:p>
            <w:pPr>
              <w:ind w:left="1100"/>
              <w:spacing w:after="0"/>
              <w:rPr>
                <w:sz w:val="20"/>
                <w:szCs w:val="20"/>
                <w:color w:val="auto"/>
              </w:rPr>
            </w:pPr>
            <w:r>
              <w:rPr>
                <w:rFonts w:ascii="Arial" w:cs="Arial" w:eastAsia="Arial" w:hAnsi="Arial"/>
                <w:sz w:val="14"/>
                <w:szCs w:val="14"/>
                <w:b w:val="1"/>
                <w:bCs w:val="1"/>
                <w:color w:val="auto"/>
                <w:w w:val="91"/>
              </w:rPr>
              <w:t>Description of Document</w:t>
            </w:r>
          </w:p>
        </w:tc>
        <w:tc>
          <w:tcPr>
            <w:tcW w:w="0" w:type="dxa"/>
            <w:vAlign w:val="bottom"/>
          </w:tcPr>
          <w:p>
            <w:pPr>
              <w:spacing w:after="0"/>
              <w:rPr>
                <w:sz w:val="1"/>
                <w:szCs w:val="1"/>
                <w:color w:val="auto"/>
              </w:rPr>
            </w:pPr>
          </w:p>
        </w:tc>
      </w:tr>
      <w:tr>
        <w:trPr>
          <w:trHeight w:val="171"/>
        </w:trPr>
        <w:tc>
          <w:tcPr>
            <w:tcW w:w="2620" w:type="dxa"/>
            <w:vAlign w:val="bottom"/>
          </w:tcPr>
          <w:p>
            <w:pPr>
              <w:jc w:val="center"/>
              <w:ind w:right="1948"/>
              <w:spacing w:after="0"/>
              <w:rPr>
                <w:sz w:val="20"/>
                <w:szCs w:val="20"/>
                <w:color w:val="auto"/>
              </w:rPr>
            </w:pPr>
            <w:r>
              <w:rPr>
                <w:rFonts w:ascii="Arial" w:cs="Arial" w:eastAsia="Arial" w:hAnsi="Arial"/>
                <w:sz w:val="14"/>
                <w:szCs w:val="14"/>
                <w:b w:val="1"/>
                <w:bCs w:val="1"/>
                <w:color w:val="auto"/>
                <w:w w:val="98"/>
              </w:rPr>
              <w:t>Number</w:t>
            </w: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-265430</wp:posOffset>
            </wp:positionV>
            <wp:extent cx="517144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0">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100" w:type="dxa"/>
            <w:vAlign w:val="bottom"/>
            <w:tcBorders>
              <w:top w:val="single" w:sz="8" w:color="auto"/>
            </w:tcBorders>
            <w:gridSpan w:val="2"/>
          </w:tcPr>
          <w:p>
            <w:pPr>
              <w:spacing w:after="0"/>
              <w:rPr>
                <w:sz w:val="14"/>
                <w:szCs w:val="14"/>
                <w:color w:val="auto"/>
              </w:rPr>
            </w:pPr>
          </w:p>
        </w:tc>
        <w:tc>
          <w:tcPr>
            <w:tcW w:w="520" w:type="dxa"/>
            <w:vAlign w:val="bottom"/>
            <w:tcBorders>
              <w:top w:val="single" w:sz="8" w:color="auto"/>
            </w:tcBorders>
            <w:gridSpan w:val="4"/>
          </w:tcPr>
          <w:p>
            <w:pPr>
              <w:jc w:val="right"/>
              <w:ind w:right="80"/>
              <w:spacing w:after="0" w:line="170" w:lineRule="exact"/>
              <w:rPr>
                <w:rFonts w:ascii="Arial" w:cs="Arial" w:eastAsia="Arial" w:hAnsi="Arial"/>
                <w:sz w:val="18"/>
                <w:szCs w:val="18"/>
                <w:color w:val="0000EE"/>
                <w:w w:val="93"/>
              </w:rPr>
            </w:pPr>
            <w:hyperlink r:id="rId511">
              <w:r>
                <w:rPr>
                  <w:rFonts w:ascii="Arial" w:cs="Arial" w:eastAsia="Arial" w:hAnsi="Arial"/>
                  <w:sz w:val="18"/>
                  <w:szCs w:val="18"/>
                  <w:color w:val="0000EE"/>
                  <w:w w:val="93"/>
                </w:rPr>
                <w:t>10.12</w:t>
              </w:r>
            </w:hyperlink>
          </w:p>
        </w:tc>
        <w:tc>
          <w:tcPr>
            <w:tcW w:w="160" w:type="dxa"/>
            <w:vAlign w:val="bottom"/>
          </w:tcPr>
          <w:p>
            <w:pPr>
              <w:spacing w:after="0"/>
              <w:rPr>
                <w:sz w:val="14"/>
                <w:szCs w:val="14"/>
                <w:color w:val="auto"/>
              </w:rPr>
            </w:pPr>
          </w:p>
        </w:tc>
        <w:tc>
          <w:tcPr>
            <w:tcW w:w="7440" w:type="dxa"/>
            <w:vAlign w:val="bottom"/>
            <w:tcBorders>
              <w:top w:val="single" w:sz="8" w:color="auto"/>
            </w:tcBorders>
            <w:gridSpan w:val="21"/>
          </w:tcPr>
          <w:p>
            <w:pPr>
              <w:spacing w:after="0" w:line="170" w:lineRule="exact"/>
              <w:rPr>
                <w:rFonts w:ascii="Arial" w:cs="Arial" w:eastAsia="Arial" w:hAnsi="Arial"/>
                <w:sz w:val="18"/>
                <w:szCs w:val="18"/>
                <w:color w:val="0000EE"/>
                <w:w w:val="90"/>
              </w:rPr>
            </w:pPr>
            <w:hyperlink r:id="rId511">
              <w:r>
                <w:rPr>
                  <w:rFonts w:ascii="Arial" w:cs="Arial" w:eastAsia="Arial" w:hAnsi="Arial"/>
                  <w:sz w:val="18"/>
                  <w:szCs w:val="18"/>
                  <w:color w:val="0000EE"/>
                  <w:w w:val="90"/>
                </w:rPr>
                <w:t>Form of Amendment No. 1 to Guarantee, Pledge and Security Agreement dated June 16, 2017, among</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511">
              <w:r>
                <w:rPr>
                  <w:rFonts w:ascii="Arial" w:cs="Arial" w:eastAsia="Arial" w:hAnsi="Arial"/>
                  <w:sz w:val="18"/>
                  <w:szCs w:val="18"/>
                  <w:color w:val="0000EE"/>
                  <w:w w:val="90"/>
                </w:rPr>
                <w:t>Capitala Finance Corp., as Borrower, the subsidiary guarantors party thereto, ING Capital LLC, as</w:t>
              </w:r>
            </w:hyperlink>
          </w:p>
        </w:tc>
        <w:tc>
          <w:tcPr>
            <w:tcW w:w="280" w:type="dxa"/>
            <w:vAlign w:val="bottom"/>
            <w:tcBorders>
              <w:top w:val="single" w:sz="8" w:color="0000EE"/>
            </w:tcBorders>
            <w:gridSpan w:val="3"/>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21"/>
          </w:tcPr>
          <w:p>
            <w:pPr>
              <w:spacing w:after="0" w:line="196" w:lineRule="exact"/>
              <w:rPr>
                <w:rFonts w:ascii="Arial" w:cs="Arial" w:eastAsia="Arial" w:hAnsi="Arial"/>
                <w:sz w:val="18"/>
                <w:szCs w:val="18"/>
                <w:color w:val="0000EE"/>
              </w:rPr>
            </w:pPr>
            <w:hyperlink r:id="rId511">
              <w:r>
                <w:rPr>
                  <w:rFonts w:ascii="Arial" w:cs="Arial" w:eastAsia="Arial" w:hAnsi="Arial"/>
                  <w:sz w:val="18"/>
                  <w:szCs w:val="18"/>
                  <w:color w:val="0000EE"/>
                </w:rPr>
                <w:t>Revolving Administrative Agent for the Revolving Lenders and as Collateral Agent, and each</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60" w:type="dxa"/>
            <w:vAlign w:val="bottom"/>
            <w:tcBorders>
              <w:top w:val="single" w:sz="8" w:color="0000EE"/>
              <w:bottom w:val="single" w:sz="8" w:color="0000EE"/>
            </w:tcBorders>
            <w:gridSpan w:val="9"/>
            <w:vMerge w:val="restart"/>
          </w:tcPr>
          <w:p>
            <w:pPr>
              <w:spacing w:after="0"/>
              <w:rPr>
                <w:rFonts w:ascii="Arial" w:cs="Arial" w:eastAsia="Arial" w:hAnsi="Arial"/>
                <w:sz w:val="18"/>
                <w:szCs w:val="18"/>
                <w:color w:val="0000EE"/>
                <w:w w:val="89"/>
              </w:rPr>
            </w:pPr>
            <w:hyperlink r:id="rId511">
              <w:r>
                <w:rPr>
                  <w:rFonts w:ascii="Arial" w:cs="Arial" w:eastAsia="Arial" w:hAnsi="Arial"/>
                  <w:sz w:val="18"/>
                  <w:szCs w:val="18"/>
                  <w:color w:val="0000EE"/>
                  <w:w w:val="89"/>
                </w:rPr>
                <w:t>Financing Agent and Designated Indebtedness Holder party thereto</w:t>
              </w:r>
            </w:hyperlink>
          </w:p>
        </w:tc>
        <w:tc>
          <w:tcPr>
            <w:tcW w:w="24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2"/>
              </w:rPr>
            </w:pPr>
            <w:hyperlink r:id="rId511">
              <w:r>
                <w:rPr>
                  <w:rFonts w:ascii="Arial" w:cs="Arial" w:eastAsia="Arial" w:hAnsi="Arial"/>
                  <w:sz w:val="15"/>
                  <w:szCs w:val="15"/>
                  <w:color w:val="0000EE"/>
                  <w:w w:val="82"/>
                </w:rPr>
                <w:t>(10)</w:t>
              </w:r>
            </w:hyperlink>
          </w:p>
        </w:tc>
        <w:tc>
          <w:tcPr>
            <w:tcW w:w="160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tcBorders>
              <w:top w:val="single" w:sz="8" w:color="0000EE"/>
              <w:bottom w:val="single" w:sz="8" w:color="0000EE"/>
            </w:tcBorders>
            <w:vMerge w:val="restart"/>
          </w:tcPr>
          <w:p>
            <w:pPr>
              <w:spacing w:after="0"/>
              <w:rPr>
                <w:sz w:val="14"/>
                <w:szCs w:val="14"/>
                <w:color w:val="auto"/>
              </w:rPr>
            </w:pPr>
          </w:p>
        </w:tc>
        <w:tc>
          <w:tcPr>
            <w:tcW w:w="28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60" w:type="dxa"/>
            <w:vAlign w:val="bottom"/>
            <w:tcBorders>
              <w:bottom w:val="single" w:sz="8" w:color="0000EE"/>
            </w:tcBorders>
            <w:gridSpan w:val="9"/>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0" w:type="dxa"/>
            <w:vAlign w:val="bottom"/>
            <w:gridSpan w:val="3"/>
          </w:tcPr>
          <w:p>
            <w:pPr>
              <w:spacing w:after="0"/>
              <w:rPr>
                <w:sz w:val="17"/>
                <w:szCs w:val="17"/>
                <w:color w:val="auto"/>
              </w:rPr>
            </w:pPr>
          </w:p>
        </w:tc>
        <w:tc>
          <w:tcPr>
            <w:tcW w:w="320" w:type="dxa"/>
            <w:vAlign w:val="bottom"/>
          </w:tcPr>
          <w:p>
            <w:pPr>
              <w:jc w:val="right"/>
              <w:spacing w:after="0" w:line="196" w:lineRule="exact"/>
              <w:rPr>
                <w:rFonts w:ascii="Arial" w:cs="Arial" w:eastAsia="Arial" w:hAnsi="Arial"/>
                <w:sz w:val="18"/>
                <w:szCs w:val="18"/>
                <w:color w:val="0000EE"/>
                <w:w w:val="85"/>
              </w:rPr>
            </w:pPr>
            <w:hyperlink w:anchor="page152">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1</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21"/>
          </w:tcPr>
          <w:p>
            <w:pPr>
              <w:spacing w:after="0" w:line="196" w:lineRule="exact"/>
              <w:rPr>
                <w:rFonts w:ascii="Arial" w:cs="Arial" w:eastAsia="Arial" w:hAnsi="Arial"/>
                <w:sz w:val="18"/>
                <w:szCs w:val="18"/>
                <w:color w:val="0000EE"/>
                <w:w w:val="95"/>
              </w:rPr>
            </w:pPr>
            <w:hyperlink w:anchor="page152">
              <w:r>
                <w:rPr>
                  <w:rFonts w:ascii="Arial" w:cs="Arial" w:eastAsia="Arial" w:hAnsi="Arial"/>
                  <w:sz w:val="18"/>
                  <w:szCs w:val="18"/>
                  <w:color w:val="0000EE"/>
                  <w:w w:val="95"/>
                </w:rPr>
                <w:t>Computation of Per Share Earnings (included in the notes to the consolidated financial statements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0000EE"/>
            </w:tcBorders>
            <w:vMerge w:val="restart"/>
          </w:tcPr>
          <w:p>
            <w:pPr>
              <w:jc w:val="right"/>
              <w:spacing w:after="0"/>
              <w:rPr>
                <w:rFonts w:ascii="Arial" w:cs="Arial" w:eastAsia="Arial" w:hAnsi="Arial"/>
                <w:sz w:val="18"/>
                <w:szCs w:val="18"/>
                <w:color w:val="0000EE"/>
                <w:w w:val="85"/>
              </w:rPr>
            </w:pPr>
            <w:hyperlink r:id="rId512">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1</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contained in this report)</w:t>
              </w:r>
            </w:hyperlink>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vMerge w:val="restart"/>
          </w:tcPr>
          <w:p>
            <w:pPr>
              <w:jc w:val="right"/>
              <w:spacing w:after="0" w:line="169" w:lineRule="exact"/>
              <w:rPr>
                <w:sz w:val="20"/>
                <w:szCs w:val="20"/>
                <w:color w:val="auto"/>
              </w:rPr>
            </w:pPr>
            <w:r>
              <w:rPr>
                <w:rFonts w:ascii="Arial" w:cs="Arial" w:eastAsia="Arial" w:hAnsi="Arial"/>
                <w:sz w:val="15"/>
                <w:szCs w:val="15"/>
                <w:color w:val="0000EE"/>
                <w:w w:val="87"/>
              </w:rPr>
              <w:t>(1)</w:t>
            </w: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20" w:type="dxa"/>
            <w:vAlign w:val="bottom"/>
            <w:tcBorders>
              <w:bottom w:val="single" w:sz="8" w:color="0000EE"/>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vMerge w:val="restart"/>
          </w:tcPr>
          <w:p>
            <w:pPr>
              <w:spacing w:after="0"/>
              <w:rPr>
                <w:rFonts w:ascii="Arial" w:cs="Arial" w:eastAsia="Arial" w:hAnsi="Arial"/>
                <w:sz w:val="18"/>
                <w:szCs w:val="18"/>
                <w:color w:val="0000EE"/>
                <w:w w:val="89"/>
              </w:rPr>
            </w:pPr>
            <w:hyperlink r:id="rId512">
              <w:r>
                <w:rPr>
                  <w:rFonts w:ascii="Arial" w:cs="Arial" w:eastAsia="Arial" w:hAnsi="Arial"/>
                  <w:sz w:val="18"/>
                  <w:szCs w:val="18"/>
                  <w:color w:val="0000EE"/>
                  <w:w w:val="89"/>
                </w:rPr>
                <w:t>Code of Business Conduct</w:t>
              </w:r>
            </w:hyperlink>
          </w:p>
        </w:tc>
        <w:tc>
          <w:tcPr>
            <w:tcW w:w="180" w:type="dxa"/>
            <w:vAlign w:val="bottom"/>
            <w:tcBorders>
              <w:bottom w:val="single" w:sz="8" w:color="0000EE"/>
            </w:tcBorders>
            <w:vMerge w:val="continue"/>
          </w:tcPr>
          <w:p>
            <w:pPr>
              <w:spacing w:after="0"/>
              <w:rPr>
                <w:sz w:val="14"/>
                <w:szCs w:val="14"/>
                <w:color w:val="auto"/>
              </w:rPr>
            </w:pPr>
          </w:p>
        </w:tc>
        <w:tc>
          <w:tcPr>
            <w:tcW w:w="480" w:type="dxa"/>
            <w:vAlign w:val="bottom"/>
            <w:vMerge w:val="restart"/>
          </w:tcPr>
          <w:p>
            <w:pPr>
              <w:spacing w:after="0"/>
              <w:rPr>
                <w:sz w:val="14"/>
                <w:szCs w:val="14"/>
                <w:color w:val="auto"/>
              </w:rPr>
            </w:pPr>
          </w:p>
        </w:tc>
        <w:tc>
          <w:tcPr>
            <w:tcW w:w="920" w:type="dxa"/>
            <w:vAlign w:val="bottom"/>
            <w:vMerge w:val="restart"/>
          </w:tcPr>
          <w:p>
            <w:pPr>
              <w:spacing w:after="0"/>
              <w:rPr>
                <w:sz w:val="14"/>
                <w:szCs w:val="14"/>
                <w:color w:val="auto"/>
              </w:rPr>
            </w:pPr>
          </w:p>
        </w:tc>
        <w:tc>
          <w:tcPr>
            <w:tcW w:w="3200" w:type="dxa"/>
            <w:vAlign w:val="bottom"/>
            <w:gridSpan w:val="4"/>
            <w:vMerge w:val="restart"/>
          </w:tcPr>
          <w:p>
            <w:pPr>
              <w:spacing w:after="0"/>
              <w:rPr>
                <w:sz w:val="14"/>
                <w:szCs w:val="14"/>
                <w:color w:val="auto"/>
              </w:rPr>
            </w:pPr>
          </w:p>
        </w:tc>
        <w:tc>
          <w:tcPr>
            <w:tcW w:w="380" w:type="dxa"/>
            <w:vAlign w:val="bottom"/>
            <w:gridSpan w:val="3"/>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320" w:type="dxa"/>
            <w:vAlign w:val="bottom"/>
            <w:tcBorders>
              <w:bottom w:val="single" w:sz="8" w:color="0000EE"/>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5"/>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3200" w:type="dxa"/>
            <w:vAlign w:val="bottom"/>
            <w:gridSpan w:val="4"/>
            <w:vMerge w:val="continue"/>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Borders>
              <w:bottom w:val="single" w:sz="8" w:color="0000EE"/>
            </w:tcBorders>
            <w:gridSpan w:val="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3200" w:type="dxa"/>
            <w:vAlign w:val="bottom"/>
            <w:gridSpan w:val="4"/>
            <w:vMerge w:val="continue"/>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320" w:type="dxa"/>
            <w:vAlign w:val="bottom"/>
            <w:vMerge w:val="restart"/>
          </w:tcPr>
          <w:p>
            <w:pPr>
              <w:jc w:val="right"/>
              <w:spacing w:after="0" w:line="182" w:lineRule="exact"/>
              <w:rPr>
                <w:rFonts w:ascii="Arial" w:cs="Arial" w:eastAsia="Arial" w:hAnsi="Arial"/>
                <w:sz w:val="18"/>
                <w:szCs w:val="18"/>
                <w:color w:val="0000EE"/>
                <w:w w:val="85"/>
              </w:rPr>
            </w:pPr>
            <w:hyperlink w:anchor="page164">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2</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spacing w:after="0"/>
              <w:rPr>
                <w:rFonts w:ascii="Arial" w:cs="Arial" w:eastAsia="Arial" w:hAnsi="Arial"/>
                <w:sz w:val="18"/>
                <w:szCs w:val="18"/>
                <w:color w:val="0000EE"/>
                <w:w w:val="90"/>
              </w:rPr>
            </w:pPr>
            <w:hyperlink w:anchor="page164">
              <w:r>
                <w:rPr>
                  <w:rFonts w:ascii="Arial" w:cs="Arial" w:eastAsia="Arial" w:hAnsi="Arial"/>
                  <w:sz w:val="18"/>
                  <w:szCs w:val="18"/>
                  <w:color w:val="0000EE"/>
                  <w:w w:val="90"/>
                </w:rPr>
                <w:t>Code of Ethics</w:t>
              </w:r>
            </w:hyperlink>
          </w:p>
        </w:tc>
        <w:tc>
          <w:tcPr>
            <w:tcW w:w="160" w:type="dxa"/>
            <w:vAlign w:val="bottom"/>
            <w:tcBorders>
              <w:bottom w:val="single" w:sz="8" w:color="0000EE"/>
            </w:tcBorders>
          </w:tcPr>
          <w:p>
            <w:pPr>
              <w:jc w:val="right"/>
              <w:spacing w:after="0" w:line="156" w:lineRule="exact"/>
              <w:rPr>
                <w:rFonts w:ascii="Arial" w:cs="Arial" w:eastAsia="Arial" w:hAnsi="Arial"/>
                <w:sz w:val="15"/>
                <w:szCs w:val="15"/>
                <w:color w:val="0000EE"/>
                <w:w w:val="88"/>
              </w:rPr>
            </w:pPr>
            <w:hyperlink w:anchor="page164">
              <w:r>
                <w:rPr>
                  <w:rFonts w:ascii="Arial" w:cs="Arial" w:eastAsia="Arial" w:hAnsi="Arial"/>
                  <w:sz w:val="15"/>
                  <w:szCs w:val="15"/>
                  <w:color w:val="0000EE"/>
                  <w:w w:val="88"/>
                </w:rPr>
                <w:t>(*)</w:t>
              </w:r>
            </w:hyperlink>
          </w:p>
        </w:tc>
        <w:tc>
          <w:tcPr>
            <w:tcW w:w="1340" w:type="dxa"/>
            <w:vAlign w:val="bottom"/>
            <w:gridSpan w:val="4"/>
            <w:vMerge w:val="restart"/>
          </w:tcPr>
          <w:p>
            <w:pPr>
              <w:spacing w:after="0"/>
              <w:rPr>
                <w:sz w:val="13"/>
                <w:szCs w:val="13"/>
                <w:color w:val="auto"/>
              </w:rPr>
            </w:pPr>
          </w:p>
        </w:tc>
        <w:tc>
          <w:tcPr>
            <w:tcW w:w="920" w:type="dxa"/>
            <w:vAlign w:val="bottom"/>
            <w:vMerge w:val="restart"/>
          </w:tcPr>
          <w:p>
            <w:pPr>
              <w:spacing w:after="0"/>
              <w:rPr>
                <w:sz w:val="13"/>
                <w:szCs w:val="13"/>
                <w:color w:val="auto"/>
              </w:rPr>
            </w:pPr>
          </w:p>
        </w:tc>
        <w:tc>
          <w:tcPr>
            <w:tcW w:w="3200" w:type="dxa"/>
            <w:vAlign w:val="bottom"/>
            <w:gridSpan w:val="4"/>
            <w:vMerge w:val="restart"/>
          </w:tcPr>
          <w:p>
            <w:pPr>
              <w:spacing w:after="0"/>
              <w:rPr>
                <w:sz w:val="13"/>
                <w:szCs w:val="13"/>
                <w:color w:val="auto"/>
              </w:rPr>
            </w:pPr>
          </w:p>
        </w:tc>
        <w:tc>
          <w:tcPr>
            <w:tcW w:w="380" w:type="dxa"/>
            <w:vAlign w:val="bottom"/>
            <w:gridSpan w:val="3"/>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60" w:type="dxa"/>
            <w:vAlign w:val="bottom"/>
            <w:gridSpan w:val="2"/>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320" w:type="dxa"/>
            <w:vAlign w:val="bottom"/>
            <w:tcBorders>
              <w:bottom w:val="single" w:sz="8" w:color="0000EE"/>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40" w:type="dxa"/>
            <w:vAlign w:val="bottom"/>
            <w:gridSpan w:val="4"/>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3200" w:type="dxa"/>
            <w:vAlign w:val="bottom"/>
            <w:gridSpan w:val="4"/>
            <w:vMerge w:val="continue"/>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0000EE"/>
            </w:tcBorders>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340" w:type="dxa"/>
            <w:vAlign w:val="bottom"/>
            <w:gridSpan w:val="4"/>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3200" w:type="dxa"/>
            <w:vAlign w:val="bottom"/>
            <w:gridSpan w:val="4"/>
            <w:vMerge w:val="continue"/>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 w:type="dxa"/>
            <w:vAlign w:val="bottom"/>
            <w:gridSpan w:val="3"/>
          </w:tcPr>
          <w:p>
            <w:pPr>
              <w:spacing w:after="0"/>
              <w:rPr>
                <w:sz w:val="15"/>
                <w:szCs w:val="15"/>
                <w:color w:val="auto"/>
              </w:rPr>
            </w:pPr>
          </w:p>
        </w:tc>
        <w:tc>
          <w:tcPr>
            <w:tcW w:w="320" w:type="dxa"/>
            <w:vAlign w:val="bottom"/>
            <w:tcBorders>
              <w:bottom w:val="single" w:sz="8" w:color="0000EE"/>
            </w:tcBorders>
          </w:tcPr>
          <w:p>
            <w:pPr>
              <w:jc w:val="right"/>
              <w:spacing w:after="0" w:line="183" w:lineRule="exact"/>
              <w:rPr>
                <w:rFonts w:ascii="Arial" w:cs="Arial" w:eastAsia="Arial" w:hAnsi="Arial"/>
                <w:sz w:val="18"/>
                <w:szCs w:val="18"/>
                <w:color w:val="0000EE"/>
                <w:w w:val="85"/>
              </w:rPr>
            </w:pPr>
            <w:hyperlink w:anchor="page197">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Borders>
              <w:bottom w:val="single" w:sz="8" w:color="0000EE"/>
            </w:tcBorders>
            <w:gridSpan w:val="7"/>
          </w:tcPr>
          <w:p>
            <w:pPr>
              <w:spacing w:after="0" w:line="183" w:lineRule="exact"/>
              <w:rPr>
                <w:rFonts w:ascii="Arial" w:cs="Arial" w:eastAsia="Arial" w:hAnsi="Arial"/>
                <w:sz w:val="18"/>
                <w:szCs w:val="18"/>
                <w:color w:val="0000EE"/>
                <w:w w:val="93"/>
              </w:rPr>
            </w:pPr>
            <w:hyperlink w:anchor="page197">
              <w:r>
                <w:rPr>
                  <w:rFonts w:ascii="Arial" w:cs="Arial" w:eastAsia="Arial" w:hAnsi="Arial"/>
                  <w:sz w:val="18"/>
                  <w:szCs w:val="18"/>
                  <w:color w:val="0000EE"/>
                  <w:w w:val="93"/>
                </w:rPr>
                <w:t>List of Subsidiaries (filed herewith)</w:t>
              </w:r>
            </w:hyperlink>
          </w:p>
        </w:tc>
        <w:tc>
          <w:tcPr>
            <w:tcW w:w="48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gridSpan w:val="3"/>
          </w:tcPr>
          <w:p>
            <w:pPr>
              <w:spacing w:after="0"/>
              <w:rPr>
                <w:sz w:val="17"/>
                <w:szCs w:val="17"/>
                <w:color w:val="auto"/>
              </w:rPr>
            </w:pPr>
          </w:p>
        </w:tc>
        <w:tc>
          <w:tcPr>
            <w:tcW w:w="320" w:type="dxa"/>
            <w:vAlign w:val="bottom"/>
          </w:tcPr>
          <w:p>
            <w:pPr>
              <w:jc w:val="right"/>
              <w:spacing w:after="0" w:line="196" w:lineRule="exact"/>
              <w:rPr>
                <w:rFonts w:ascii="Arial" w:cs="Arial" w:eastAsia="Arial" w:hAnsi="Arial"/>
                <w:sz w:val="18"/>
                <w:szCs w:val="18"/>
                <w:color w:val="0000EE"/>
                <w:w w:val="85"/>
              </w:rPr>
            </w:pPr>
            <w:hyperlink w:anchor="page19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21"/>
          </w:tcPr>
          <w:p>
            <w:pPr>
              <w:spacing w:after="0" w:line="196" w:lineRule="exact"/>
              <w:rPr>
                <w:rFonts w:ascii="Arial" w:cs="Arial" w:eastAsia="Arial" w:hAnsi="Arial"/>
                <w:sz w:val="18"/>
                <w:szCs w:val="18"/>
                <w:color w:val="0000EE"/>
                <w:w w:val="96"/>
              </w:rPr>
            </w:pPr>
            <w:hyperlink w:anchor="page198">
              <w:r>
                <w:rPr>
                  <w:rFonts w:ascii="Arial" w:cs="Arial" w:eastAsia="Arial" w:hAnsi="Arial"/>
                  <w:sz w:val="18"/>
                  <w:szCs w:val="18"/>
                  <w:color w:val="0000EE"/>
                  <w:w w:val="96"/>
                </w:rPr>
                <w:t>Certification of Chief Executive Officer pursuant to Rule 13a-14 of the Securities Exchange Act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98">
              <w:r>
                <w:rPr>
                  <w:rFonts w:ascii="Arial" w:cs="Arial" w:eastAsia="Arial" w:hAnsi="Arial"/>
                  <w:sz w:val="18"/>
                  <w:szCs w:val="18"/>
                  <w:color w:val="0000EE"/>
                  <w:w w:val="90"/>
                </w:rPr>
                <w:t>1934, as adopted pursuant to Section 302 of the Sarbanes-Oxley Act of 2002 (filed herewith)</w:t>
              </w:r>
            </w:hyperlink>
          </w:p>
        </w:tc>
        <w:tc>
          <w:tcPr>
            <w:tcW w:w="420" w:type="dxa"/>
            <w:vAlign w:val="bottom"/>
            <w:tcBorders>
              <w:top w:val="single" w:sz="8" w:color="0000EE"/>
            </w:tcBorders>
            <w:gridSpan w:val="5"/>
          </w:tcPr>
          <w:p>
            <w:pPr>
              <w:spacing w:after="0"/>
              <w:rPr>
                <w:sz w:val="17"/>
                <w:szCs w:val="17"/>
                <w:color w:val="auto"/>
              </w:rPr>
            </w:pPr>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gridSpan w:val="3"/>
          </w:tcPr>
          <w:p>
            <w:pPr>
              <w:spacing w:after="0"/>
              <w:rPr>
                <w:sz w:val="17"/>
                <w:szCs w:val="17"/>
                <w:color w:val="auto"/>
              </w:rPr>
            </w:pPr>
          </w:p>
        </w:tc>
        <w:tc>
          <w:tcPr>
            <w:tcW w:w="32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19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99">
              <w:r>
                <w:rPr>
                  <w:rFonts w:ascii="Arial" w:cs="Arial" w:eastAsia="Arial" w:hAnsi="Arial"/>
                  <w:sz w:val="18"/>
                  <w:szCs w:val="18"/>
                  <w:color w:val="0000EE"/>
                  <w:w w:val="92"/>
                </w:rPr>
                <w:t>Certification of Chief Financial Officer pursuant to Rule 13a-14 of the Securities Exchange Act of</w:t>
              </w:r>
            </w:hyperlink>
          </w:p>
        </w:tc>
        <w:tc>
          <w:tcPr>
            <w:tcW w:w="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7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99">
              <w:r>
                <w:rPr>
                  <w:rFonts w:ascii="Arial" w:cs="Arial" w:eastAsia="Arial" w:hAnsi="Arial"/>
                  <w:sz w:val="18"/>
                  <w:szCs w:val="18"/>
                  <w:color w:val="0000EE"/>
                  <w:w w:val="90"/>
                </w:rPr>
                <w:t>1934, as adopted pursuant to Section 302 of the Sarbanes-Oxley Act of 2002 (filed herewith)</w:t>
              </w:r>
            </w:hyperlink>
          </w:p>
        </w:tc>
        <w:tc>
          <w:tcPr>
            <w:tcW w:w="7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gridSpan w:val="3"/>
          </w:tcPr>
          <w:p>
            <w:pPr>
              <w:spacing w:after="0"/>
              <w:rPr>
                <w:sz w:val="17"/>
                <w:szCs w:val="17"/>
                <w:color w:val="auto"/>
              </w:rPr>
            </w:pPr>
          </w:p>
        </w:tc>
        <w:tc>
          <w:tcPr>
            <w:tcW w:w="320" w:type="dxa"/>
            <w:vAlign w:val="bottom"/>
            <w:tcBorders>
              <w:bottom w:val="single" w:sz="8" w:color="0000EE"/>
            </w:tcBorders>
          </w:tcPr>
          <w:p>
            <w:pPr>
              <w:jc w:val="right"/>
              <w:spacing w:after="0" w:line="196" w:lineRule="exact"/>
              <w:rPr>
                <w:rFonts w:ascii="Arial" w:cs="Arial" w:eastAsia="Arial" w:hAnsi="Arial"/>
                <w:sz w:val="18"/>
                <w:szCs w:val="18"/>
                <w:color w:val="0000EE"/>
                <w:w w:val="85"/>
              </w:rPr>
            </w:pPr>
            <w:hyperlink w:anchor="page200">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00">
              <w:r>
                <w:rPr>
                  <w:rFonts w:ascii="Arial" w:cs="Arial" w:eastAsia="Arial" w:hAnsi="Arial"/>
                  <w:sz w:val="18"/>
                  <w:szCs w:val="18"/>
                  <w:color w:val="0000EE"/>
                  <w:w w:val="91"/>
                </w:rPr>
                <w:t>Certification of Chief Executive Officer 18 U.S.C. Section 1350, as adopted pursuant to section 906 of</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00">
              <w:r>
                <w:rPr>
                  <w:rFonts w:ascii="Arial" w:cs="Arial" w:eastAsia="Arial" w:hAnsi="Arial"/>
                  <w:sz w:val="18"/>
                  <w:szCs w:val="18"/>
                  <w:color w:val="0000EE"/>
                  <w:w w:val="92"/>
                </w:rPr>
                <w:t>the Sarbanes-Oxley Act of 2002 (filed herewith)</w:t>
              </w:r>
            </w:hyperlink>
          </w:p>
        </w:tc>
        <w:tc>
          <w:tcPr>
            <w:tcW w:w="39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gridSpan w:val="3"/>
          </w:tcPr>
          <w:p>
            <w:pPr>
              <w:spacing w:after="0"/>
              <w:rPr>
                <w:sz w:val="17"/>
                <w:szCs w:val="17"/>
                <w:color w:val="auto"/>
              </w:rPr>
            </w:pPr>
          </w:p>
        </w:tc>
        <w:tc>
          <w:tcPr>
            <w:tcW w:w="320" w:type="dxa"/>
            <w:vAlign w:val="bottom"/>
          </w:tcPr>
          <w:p>
            <w:pPr>
              <w:jc w:val="right"/>
              <w:spacing w:after="0" w:line="196" w:lineRule="exact"/>
              <w:rPr>
                <w:rFonts w:ascii="Arial" w:cs="Arial" w:eastAsia="Arial" w:hAnsi="Arial"/>
                <w:sz w:val="18"/>
                <w:szCs w:val="18"/>
                <w:color w:val="0000EE"/>
                <w:w w:val="85"/>
              </w:rPr>
            </w:pPr>
            <w:hyperlink w:anchor="page201">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21"/>
          </w:tcPr>
          <w:p>
            <w:pPr>
              <w:spacing w:after="0" w:line="196" w:lineRule="exact"/>
              <w:rPr>
                <w:rFonts w:ascii="Arial" w:cs="Arial" w:eastAsia="Arial" w:hAnsi="Arial"/>
                <w:sz w:val="18"/>
                <w:szCs w:val="18"/>
                <w:color w:val="0000EE"/>
                <w:w w:val="92"/>
              </w:rPr>
            </w:pPr>
            <w:hyperlink w:anchor="page201">
              <w:r>
                <w:rPr>
                  <w:rFonts w:ascii="Arial" w:cs="Arial" w:eastAsia="Arial" w:hAnsi="Arial"/>
                  <w:sz w:val="18"/>
                  <w:szCs w:val="18"/>
                  <w:color w:val="0000EE"/>
                  <w:w w:val="92"/>
                </w:rPr>
                <w:t>Certification of Chief Financial Officer 18 U.S.C. Section 1350, as adopted pursuant to section 906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the Sarbanes-Oxley Act of 2002 (filed herewith)</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40" w:hanging="412"/>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40" w:right="659" w:hanging="412"/>
        <w:spacing w:after="0" w:line="277" w:lineRule="auto"/>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62" w:lineRule="exact"/>
        <w:rPr>
          <w:rFonts w:ascii="Arial" w:cs="Arial" w:eastAsia="Arial" w:hAnsi="Arial"/>
          <w:sz w:val="18"/>
          <w:szCs w:val="18"/>
          <w:color w:val="auto"/>
        </w:rPr>
      </w:pPr>
    </w:p>
    <w:p>
      <w:pPr>
        <w:ind w:left="440" w:right="919" w:hanging="412"/>
        <w:spacing w:after="0" w:line="277" w:lineRule="auto"/>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62" w:lineRule="exact"/>
        <w:rPr>
          <w:rFonts w:ascii="Arial" w:cs="Arial" w:eastAsia="Arial" w:hAnsi="Arial"/>
          <w:sz w:val="18"/>
          <w:szCs w:val="18"/>
          <w:color w:val="auto"/>
        </w:rPr>
      </w:pPr>
    </w:p>
    <w:p>
      <w:pPr>
        <w:ind w:left="440" w:right="919" w:hanging="412"/>
        <w:spacing w:after="0" w:line="277" w:lineRule="auto"/>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62" w:lineRule="exact"/>
        <w:rPr>
          <w:rFonts w:ascii="Arial" w:cs="Arial" w:eastAsia="Arial" w:hAnsi="Arial"/>
          <w:sz w:val="18"/>
          <w:szCs w:val="18"/>
          <w:color w:val="auto"/>
        </w:rPr>
      </w:pPr>
    </w:p>
    <w:p>
      <w:pPr>
        <w:ind w:left="440" w:right="919" w:hanging="412"/>
        <w:spacing w:after="0" w:line="277" w:lineRule="auto"/>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333-193374) filed on May 21, 2014.</w:t>
      </w:r>
    </w:p>
    <w:p>
      <w:pPr>
        <w:spacing w:after="0" w:line="62" w:lineRule="exact"/>
        <w:rPr>
          <w:rFonts w:ascii="Arial" w:cs="Arial" w:eastAsia="Arial" w:hAnsi="Arial"/>
          <w:sz w:val="18"/>
          <w:szCs w:val="18"/>
          <w:color w:val="auto"/>
        </w:rPr>
      </w:pPr>
    </w:p>
    <w:p>
      <w:pPr>
        <w:ind w:left="440" w:hanging="412"/>
        <w:spacing w:after="0"/>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October 21, 2014.</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January 8, 2015.</w:t>
      </w:r>
    </w:p>
    <w:p>
      <w:pPr>
        <w:spacing w:after="0" w:line="117" w:lineRule="exact"/>
        <w:rPr>
          <w:rFonts w:ascii="Arial" w:cs="Arial" w:eastAsia="Arial" w:hAnsi="Arial"/>
          <w:sz w:val="18"/>
          <w:szCs w:val="18"/>
          <w:color w:val="auto"/>
        </w:rPr>
      </w:pPr>
    </w:p>
    <w:p>
      <w:pPr>
        <w:ind w:left="440" w:hanging="412"/>
        <w:spacing w:after="0"/>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August 25, 2015.</w:t>
      </w:r>
    </w:p>
    <w:p>
      <w:pPr>
        <w:spacing w:after="0" w:line="117" w:lineRule="exact"/>
        <w:rPr>
          <w:rFonts w:ascii="Arial" w:cs="Arial" w:eastAsia="Arial" w:hAnsi="Arial"/>
          <w:sz w:val="18"/>
          <w:szCs w:val="18"/>
          <w:color w:val="auto"/>
        </w:rPr>
      </w:pPr>
    </w:p>
    <w:p>
      <w:pPr>
        <w:ind w:left="440" w:right="839" w:hanging="412"/>
        <w:spacing w:after="0" w:line="277" w:lineRule="auto"/>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in connection with Post-Effective Amendment No. 5 to Capitala Finance Corp.’s registration statement on Form N-2 (File No. 333-204582) filed on May 16, 2017.</w:t>
      </w:r>
    </w:p>
    <w:p>
      <w:pPr>
        <w:spacing w:after="0" w:line="62" w:lineRule="exact"/>
        <w:rPr>
          <w:rFonts w:ascii="Arial" w:cs="Arial" w:eastAsia="Arial" w:hAnsi="Arial"/>
          <w:sz w:val="18"/>
          <w:szCs w:val="18"/>
          <w:color w:val="auto"/>
        </w:rPr>
      </w:pPr>
    </w:p>
    <w:p>
      <w:pPr>
        <w:ind w:left="440" w:right="839" w:hanging="412"/>
        <w:spacing w:after="0" w:line="277" w:lineRule="auto"/>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in connection with Post-Effective Amendment No. 6 to Capitala Finance Corp.’s registration statement on Form N-2 (File No. 333-204582) filed on May 26, 2017.</w:t>
      </w:r>
    </w:p>
    <w:p>
      <w:pPr>
        <w:spacing w:after="0" w:line="62" w:lineRule="exact"/>
        <w:rPr>
          <w:rFonts w:ascii="Arial" w:cs="Arial" w:eastAsia="Arial" w:hAnsi="Arial"/>
          <w:sz w:val="18"/>
          <w:szCs w:val="18"/>
          <w:color w:val="auto"/>
        </w:rPr>
      </w:pPr>
    </w:p>
    <w:p>
      <w:pPr>
        <w:ind w:left="340" w:right="2159" w:hanging="312"/>
        <w:spacing w:after="0" w:line="375" w:lineRule="auto"/>
        <w:tabs>
          <w:tab w:leader="none" w:pos="434"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June 21, 2017. c. Consolidated Financial Statement Schedules</w:t>
      </w:r>
    </w:p>
    <w:p>
      <w:pPr>
        <w:spacing w:after="0" w:line="1" w:lineRule="exact"/>
        <w:rPr>
          <w:sz w:val="20"/>
          <w:szCs w:val="20"/>
          <w:color w:val="auto"/>
        </w:rPr>
      </w:pPr>
    </w:p>
    <w:p>
      <w:pPr>
        <w:ind w:left="60" w:right="1239" w:firstLine="270"/>
        <w:spacing w:after="0" w:line="277" w:lineRule="auto"/>
        <w:rPr>
          <w:sz w:val="20"/>
          <w:szCs w:val="20"/>
          <w:color w:val="auto"/>
        </w:rPr>
      </w:pPr>
      <w:r>
        <w:rPr>
          <w:rFonts w:ascii="Arial" w:cs="Arial" w:eastAsia="Arial" w:hAnsi="Arial"/>
          <w:sz w:val="18"/>
          <w:szCs w:val="18"/>
          <w:color w:val="auto"/>
        </w:rPr>
        <w:t>No consolidated financial statement schedules are filed herewith because (1) such schedules are not required or (2) the information has been presented in the aforementioned consolidated financial statements.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2" w:name="page163"/>
    <w:bookmarkEnd w:id="162"/>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659" w:firstLine="270"/>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wp:posOffset>
            </wp:positionV>
            <wp:extent cx="518858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4">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73"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5340" w:type="dxa"/>
            <w:vAlign w:val="bottom"/>
            <w:gridSpan w:val="2"/>
          </w:tcPr>
          <w:p>
            <w:pPr>
              <w:ind w:left="1100"/>
              <w:spacing w:after="0"/>
              <w:rPr>
                <w:sz w:val="20"/>
                <w:szCs w:val="20"/>
                <w:color w:val="auto"/>
              </w:rPr>
            </w:pPr>
            <w:r>
              <w:rPr>
                <w:rFonts w:ascii="Arial" w:cs="Arial" w:eastAsia="Arial" w:hAnsi="Arial"/>
                <w:sz w:val="18"/>
                <w:szCs w:val="18"/>
                <w:color w:val="auto"/>
              </w:rPr>
              <w:t>Capitala Finance Corp.</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Date: February 27, 2018</w:t>
            </w:r>
          </w:p>
        </w:tc>
        <w:tc>
          <w:tcPr>
            <w:tcW w:w="1460" w:type="dxa"/>
            <w:vAlign w:val="bottom"/>
          </w:tcPr>
          <w:p>
            <w:pPr>
              <w:ind w:left="11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2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16"/>
        </w:trPr>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Date: February 27, 2018</w:t>
            </w:r>
          </w:p>
        </w:tc>
        <w:tc>
          <w:tcPr>
            <w:tcW w:w="1460" w:type="dxa"/>
            <w:vAlign w:val="bottom"/>
          </w:tcPr>
          <w:p>
            <w:pPr>
              <w:ind w:left="11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2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2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Capitala Finance Corp.</w:t>
            </w:r>
          </w:p>
        </w:tc>
      </w:tr>
    </w:tbl>
    <w:p>
      <w:pPr>
        <w:spacing w:after="0" w:line="94" w:lineRule="exact"/>
        <w:rPr>
          <w:sz w:val="20"/>
          <w:szCs w:val="20"/>
          <w:color w:val="auto"/>
        </w:rPr>
      </w:pPr>
    </w:p>
    <w:p>
      <w:pPr>
        <w:ind w:left="180" w:right="109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422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60" w:type="dxa"/>
            <w:vAlign w:val="bottom"/>
          </w:tcPr>
          <w:p>
            <w:pPr>
              <w:spacing w:after="0"/>
              <w:rPr>
                <w:sz w:val="14"/>
                <w:szCs w:val="14"/>
                <w:color w:val="auto"/>
              </w:rPr>
            </w:pPr>
          </w:p>
        </w:tc>
      </w:tr>
      <w:tr>
        <w:trPr>
          <w:trHeight w:val="209"/>
        </w:trPr>
        <w:tc>
          <w:tcPr>
            <w:tcW w:w="120" w:type="dxa"/>
            <w:vAlign w:val="bottom"/>
          </w:tcPr>
          <w:p>
            <w:pPr>
              <w:spacing w:after="0"/>
              <w:rPr>
                <w:sz w:val="18"/>
                <w:szCs w:val="18"/>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B. Alala III</w:t>
            </w:r>
          </w:p>
        </w:tc>
        <w:tc>
          <w:tcPr>
            <w:tcW w:w="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6"/>
              </w:rPr>
              <w:t>Chief Executive Officer, President and Chairman of the</w:t>
            </w: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260" w:type="dxa"/>
            <w:vAlign w:val="bottom"/>
          </w:tcPr>
          <w:p>
            <w:pPr>
              <w:spacing w:after="0"/>
              <w:rPr>
                <w:sz w:val="18"/>
                <w:szCs w:val="18"/>
                <w:color w:val="auto"/>
              </w:rPr>
            </w:pPr>
          </w:p>
        </w:tc>
      </w:tr>
      <w:tr>
        <w:trPr>
          <w:trHeight w:val="182"/>
        </w:trPr>
        <w:tc>
          <w:tcPr>
            <w:tcW w:w="120" w:type="dxa"/>
            <w:vAlign w:val="bottom"/>
          </w:tcPr>
          <w:p>
            <w:pPr>
              <w:spacing w:after="0"/>
              <w:rPr>
                <w:sz w:val="15"/>
                <w:szCs w:val="15"/>
                <w:color w:val="auto"/>
              </w:rPr>
            </w:pPr>
          </w:p>
        </w:tc>
        <w:tc>
          <w:tcPr>
            <w:tcW w:w="2280" w:type="dxa"/>
            <w:vAlign w:val="bottom"/>
          </w:tcPr>
          <w:p>
            <w:pPr>
              <w:ind w:left="20"/>
              <w:spacing w:after="0" w:line="182" w:lineRule="exact"/>
              <w:rPr>
                <w:sz w:val="20"/>
                <w:szCs w:val="20"/>
                <w:color w:val="auto"/>
              </w:rPr>
            </w:pPr>
            <w:r>
              <w:rPr>
                <w:rFonts w:ascii="Arial" w:cs="Arial" w:eastAsia="Arial" w:hAnsi="Arial"/>
                <w:sz w:val="18"/>
                <w:szCs w:val="18"/>
                <w:color w:val="auto"/>
              </w:rPr>
              <w:t>Joseph B. Alala III</w:t>
            </w:r>
          </w:p>
        </w:tc>
        <w:tc>
          <w:tcPr>
            <w:tcW w:w="160" w:type="dxa"/>
            <w:vAlign w:val="bottom"/>
          </w:tcPr>
          <w:p>
            <w:pPr>
              <w:spacing w:after="0"/>
              <w:rPr>
                <w:sz w:val="15"/>
                <w:szCs w:val="15"/>
                <w:color w:val="auto"/>
              </w:rPr>
            </w:pPr>
          </w:p>
        </w:tc>
        <w:tc>
          <w:tcPr>
            <w:tcW w:w="4220" w:type="dxa"/>
            <w:vAlign w:val="bottom"/>
          </w:tcPr>
          <w:p>
            <w:pPr>
              <w:spacing w:after="0" w:line="182" w:lineRule="exact"/>
              <w:rPr>
                <w:sz w:val="20"/>
                <w:szCs w:val="20"/>
                <w:color w:val="auto"/>
              </w:rPr>
            </w:pPr>
            <w:r>
              <w:rPr>
                <w:rFonts w:ascii="Arial" w:cs="Arial" w:eastAsia="Arial" w:hAnsi="Arial"/>
                <w:sz w:val="18"/>
                <w:szCs w:val="18"/>
                <w:color w:val="auto"/>
              </w:rPr>
              <w:t>Board of Directors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Arnall</w:t>
            </w:r>
          </w:p>
        </w:tc>
        <w:tc>
          <w:tcPr>
            <w:tcW w:w="1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280" w:type="dxa"/>
            <w:vAlign w:val="bottom"/>
          </w:tcPr>
          <w:p>
            <w:pPr>
              <w:ind w:left="20"/>
              <w:spacing w:after="0" w:line="195" w:lineRule="exact"/>
              <w:rPr>
                <w:sz w:val="20"/>
                <w:szCs w:val="20"/>
                <w:color w:val="auto"/>
              </w:rPr>
            </w:pPr>
            <w:r>
              <w:rPr>
                <w:rFonts w:ascii="Arial" w:cs="Arial" w:eastAsia="Arial" w:hAnsi="Arial"/>
                <w:sz w:val="18"/>
                <w:szCs w:val="18"/>
                <w:color w:val="auto"/>
              </w:rPr>
              <w:t>Stephen A. Arnall</w:t>
            </w:r>
          </w:p>
        </w:tc>
        <w:tc>
          <w:tcPr>
            <w:tcW w:w="16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i w:val="1"/>
                <w:iCs w:val="1"/>
                <w:color w:val="auto"/>
              </w:rPr>
              <w:t>(Principal Financial and Accounting Officer)</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 Hunt Broyhill</w:t>
            </w:r>
          </w:p>
        </w:tc>
        <w:tc>
          <w:tcPr>
            <w:tcW w:w="1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280" w:type="dxa"/>
            <w:vAlign w:val="bottom"/>
          </w:tcPr>
          <w:p>
            <w:pPr>
              <w:ind w:left="20"/>
              <w:spacing w:after="0" w:line="195" w:lineRule="exact"/>
              <w:rPr>
                <w:sz w:val="20"/>
                <w:szCs w:val="20"/>
                <w:color w:val="auto"/>
              </w:rPr>
            </w:pPr>
            <w:r>
              <w:rPr>
                <w:rFonts w:ascii="Arial" w:cs="Arial" w:eastAsia="Arial" w:hAnsi="Arial"/>
                <w:sz w:val="18"/>
                <w:szCs w:val="18"/>
                <w:color w:val="auto"/>
              </w:rPr>
              <w:t>M. Hunt Broyhill</w:t>
            </w:r>
          </w:p>
        </w:tc>
        <w:tc>
          <w:tcPr>
            <w:tcW w:w="1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Charles Moyer</w:t>
            </w:r>
          </w:p>
        </w:tc>
        <w:tc>
          <w:tcPr>
            <w:tcW w:w="1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280" w:type="dxa"/>
            <w:vAlign w:val="bottom"/>
          </w:tcPr>
          <w:p>
            <w:pPr>
              <w:ind w:left="20"/>
              <w:spacing w:after="0" w:line="195" w:lineRule="exact"/>
              <w:rPr>
                <w:sz w:val="20"/>
                <w:szCs w:val="20"/>
                <w:color w:val="auto"/>
              </w:rPr>
            </w:pPr>
            <w:r>
              <w:rPr>
                <w:rFonts w:ascii="Arial" w:cs="Arial" w:eastAsia="Arial" w:hAnsi="Arial"/>
                <w:sz w:val="18"/>
                <w:szCs w:val="18"/>
                <w:color w:val="auto"/>
              </w:rPr>
              <w:t>R. Charles Moyer</w:t>
            </w:r>
          </w:p>
        </w:tc>
        <w:tc>
          <w:tcPr>
            <w:tcW w:w="1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Larry W. Carroll</w:t>
            </w:r>
          </w:p>
        </w:tc>
        <w:tc>
          <w:tcPr>
            <w:tcW w:w="1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280" w:type="dxa"/>
            <w:vAlign w:val="bottom"/>
          </w:tcPr>
          <w:p>
            <w:pPr>
              <w:ind w:left="20"/>
              <w:spacing w:after="0" w:line="195" w:lineRule="exact"/>
              <w:rPr>
                <w:sz w:val="20"/>
                <w:szCs w:val="20"/>
                <w:color w:val="auto"/>
              </w:rPr>
            </w:pPr>
            <w:r>
              <w:rPr>
                <w:rFonts w:ascii="Arial" w:cs="Arial" w:eastAsia="Arial" w:hAnsi="Arial"/>
                <w:sz w:val="18"/>
                <w:szCs w:val="18"/>
                <w:color w:val="auto"/>
              </w:rPr>
              <w:t>Larry W. Carroll</w:t>
            </w:r>
          </w:p>
        </w:tc>
        <w:tc>
          <w:tcPr>
            <w:tcW w:w="1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 Paul Chapman</w:t>
            </w:r>
          </w:p>
        </w:tc>
        <w:tc>
          <w:tcPr>
            <w:tcW w:w="1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February 27, 2018</w:t>
            </w:r>
          </w:p>
        </w:tc>
        <w:tc>
          <w:tcPr>
            <w:tcW w:w="1260" w:type="dxa"/>
            <w:vAlign w:val="bottom"/>
          </w:tcPr>
          <w:p>
            <w:pPr>
              <w:spacing w:after="0"/>
              <w:rPr>
                <w:sz w:val="20"/>
                <w:szCs w:val="20"/>
                <w:color w:val="auto"/>
              </w:rPr>
            </w:pPr>
          </w:p>
        </w:tc>
      </w:tr>
      <w:tr>
        <w:trPr>
          <w:trHeight w:val="224"/>
        </w:trPr>
        <w:tc>
          <w:tcPr>
            <w:tcW w:w="12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H. Paul Chapman</w:t>
            </w:r>
          </w:p>
        </w:tc>
        <w:tc>
          <w:tcPr>
            <w:tcW w:w="1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755"/>
        </w:trPr>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380" w:type="dxa"/>
            <w:vAlign w:val="bottom"/>
            <w:gridSpan w:val="2"/>
          </w:tcPr>
          <w:p>
            <w:pPr>
              <w:jc w:val="right"/>
              <w:ind w:right="1772"/>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14.2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APITALA</w:t>
      </w:r>
      <w:r>
        <w:rPr>
          <w:rFonts w:ascii="Arial" w:cs="Arial" w:eastAsia="Arial" w:hAnsi="Arial"/>
          <w:sz w:val="22"/>
          <w:szCs w:val="22"/>
          <w:color w:val="auto"/>
        </w:rPr>
        <w:t xml:space="preserve"> F</w:t>
      </w:r>
      <w:r>
        <w:rPr>
          <w:rFonts w:ascii="Arial" w:cs="Arial" w:eastAsia="Arial" w:hAnsi="Arial"/>
          <w:sz w:val="14"/>
          <w:szCs w:val="14"/>
          <w:color w:val="auto"/>
        </w:rPr>
        <w:t>INANCE</w:t>
      </w:r>
      <w:r>
        <w:rPr>
          <w:rFonts w:ascii="Arial" w:cs="Arial" w:eastAsia="Arial" w:hAnsi="Arial"/>
          <w:sz w:val="22"/>
          <w:szCs w:val="22"/>
          <w:color w:val="auto"/>
        </w:rPr>
        <w:t xml:space="preserve"> C</w:t>
      </w:r>
      <w:r>
        <w:rPr>
          <w:rFonts w:ascii="Arial" w:cs="Arial" w:eastAsia="Arial" w:hAnsi="Arial"/>
          <w:sz w:val="14"/>
          <w:szCs w:val="14"/>
          <w:color w:val="auto"/>
        </w:rPr>
        <w:t>ORP</w:t>
      </w:r>
      <w:r>
        <w:rPr>
          <w:rFonts w:ascii="Arial" w:cs="Arial" w:eastAsia="Arial" w:hAnsi="Arial"/>
          <w:sz w:val="22"/>
          <w:szCs w:val="22"/>
          <w:color w:val="auto"/>
        </w:rPr>
        <w:t>.</w:t>
      </w:r>
    </w:p>
    <w:p>
      <w:pPr>
        <w:jc w:val="center"/>
        <w:spacing w:after="0" w:line="238" w:lineRule="auto"/>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APITALA</w:t>
      </w:r>
      <w:r>
        <w:rPr>
          <w:rFonts w:ascii="Arial" w:cs="Arial" w:eastAsia="Arial" w:hAnsi="Arial"/>
          <w:sz w:val="22"/>
          <w:szCs w:val="22"/>
          <w:color w:val="auto"/>
        </w:rPr>
        <w:t xml:space="preserve"> I</w:t>
      </w:r>
      <w:r>
        <w:rPr>
          <w:rFonts w:ascii="Arial" w:cs="Arial" w:eastAsia="Arial" w:hAnsi="Arial"/>
          <w:sz w:val="14"/>
          <w:szCs w:val="14"/>
          <w:color w:val="auto"/>
        </w:rPr>
        <w:t>NVESTMENT</w:t>
      </w:r>
      <w:r>
        <w:rPr>
          <w:rFonts w:ascii="Arial" w:cs="Arial" w:eastAsia="Arial" w:hAnsi="Arial"/>
          <w:sz w:val="22"/>
          <w:szCs w:val="22"/>
          <w:color w:val="auto"/>
        </w:rPr>
        <w:t xml:space="preserve"> A</w:t>
      </w:r>
      <w:r>
        <w:rPr>
          <w:rFonts w:ascii="Arial" w:cs="Arial" w:eastAsia="Arial" w:hAnsi="Arial"/>
          <w:sz w:val="14"/>
          <w:szCs w:val="14"/>
          <w:color w:val="auto"/>
        </w:rPr>
        <w:t>DVISORS</w:t>
      </w:r>
      <w:r>
        <w:rPr>
          <w:rFonts w:ascii="Arial" w:cs="Arial" w:eastAsia="Arial" w:hAnsi="Arial"/>
          <w:sz w:val="22"/>
          <w:szCs w:val="22"/>
          <w:color w:val="auto"/>
        </w:rPr>
        <w:t>, LLC</w:t>
      </w: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APITALA</w:t>
      </w:r>
      <w:r>
        <w:rPr>
          <w:rFonts w:ascii="Arial" w:cs="Arial" w:eastAsia="Arial" w:hAnsi="Arial"/>
          <w:sz w:val="22"/>
          <w:szCs w:val="22"/>
          <w:color w:val="auto"/>
        </w:rPr>
        <w:t xml:space="preserve"> P</w:t>
      </w:r>
      <w:r>
        <w:rPr>
          <w:rFonts w:ascii="Arial" w:cs="Arial" w:eastAsia="Arial" w:hAnsi="Arial"/>
          <w:sz w:val="14"/>
          <w:szCs w:val="14"/>
          <w:color w:val="auto"/>
        </w:rPr>
        <w:t>RIVATE</w:t>
      </w:r>
      <w:r>
        <w:rPr>
          <w:rFonts w:ascii="Arial" w:cs="Arial" w:eastAsia="Arial" w:hAnsi="Arial"/>
          <w:sz w:val="22"/>
          <w:szCs w:val="22"/>
          <w:color w:val="auto"/>
        </w:rPr>
        <w:t xml:space="preserve"> A</w:t>
      </w:r>
      <w:r>
        <w:rPr>
          <w:rFonts w:ascii="Arial" w:cs="Arial" w:eastAsia="Arial" w:hAnsi="Arial"/>
          <w:sz w:val="14"/>
          <w:szCs w:val="14"/>
          <w:color w:val="auto"/>
        </w:rPr>
        <w:t>DVISORS</w:t>
      </w:r>
      <w:r>
        <w:rPr>
          <w:rFonts w:ascii="Arial" w:cs="Arial" w:eastAsia="Arial" w:hAnsi="Arial"/>
          <w:sz w:val="22"/>
          <w:szCs w:val="22"/>
          <w:color w:val="auto"/>
        </w:rPr>
        <w:t>,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CODE OF ETHICS</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Code of Ethics applies to: (i) Capitala Investment Advisors, LLC (“</w:t>
      </w:r>
      <w:r>
        <w:rPr>
          <w:rFonts w:ascii="Arial" w:cs="Arial" w:eastAsia="Arial" w:hAnsi="Arial"/>
          <w:sz w:val="17"/>
          <w:szCs w:val="17"/>
          <w:b w:val="1"/>
          <w:bCs w:val="1"/>
          <w:i w:val="1"/>
          <w:iCs w:val="1"/>
          <w:color w:val="auto"/>
        </w:rPr>
        <w:t>CIA</w:t>
      </w:r>
      <w:r>
        <w:rPr>
          <w:rFonts w:ascii="Arial" w:cs="Arial" w:eastAsia="Arial" w:hAnsi="Arial"/>
          <w:sz w:val="17"/>
          <w:szCs w:val="17"/>
          <w:color w:val="auto"/>
        </w:rPr>
        <w:t>” or “</w:t>
      </w:r>
      <w:r>
        <w:rPr>
          <w:rFonts w:ascii="Arial" w:cs="Arial" w:eastAsia="Arial" w:hAnsi="Arial"/>
          <w:sz w:val="17"/>
          <w:szCs w:val="17"/>
          <w:b w:val="1"/>
          <w:bCs w:val="1"/>
          <w:i w:val="1"/>
          <w:iCs w:val="1"/>
          <w:color w:val="auto"/>
        </w:rPr>
        <w:t>Capitala</w:t>
      </w:r>
      <w:r>
        <w:rPr>
          <w:rFonts w:ascii="Arial" w:cs="Arial" w:eastAsia="Arial" w:hAnsi="Arial"/>
          <w:sz w:val="17"/>
          <w:szCs w:val="17"/>
          <w:color w:val="auto"/>
        </w:rPr>
        <w:t>”), which serves as the investment adviser to Capitala Finance Corp. (the “</w:t>
      </w:r>
      <w:r>
        <w:rPr>
          <w:rFonts w:ascii="Arial" w:cs="Arial" w:eastAsia="Arial" w:hAnsi="Arial"/>
          <w:sz w:val="17"/>
          <w:szCs w:val="17"/>
          <w:b w:val="1"/>
          <w:bCs w:val="1"/>
          <w:i w:val="1"/>
          <w:iCs w:val="1"/>
          <w:color w:val="auto"/>
        </w:rPr>
        <w:t>BDC</w:t>
      </w:r>
      <w:r>
        <w:rPr>
          <w:rFonts w:ascii="Arial" w:cs="Arial" w:eastAsia="Arial" w:hAnsi="Arial"/>
          <w:sz w:val="17"/>
          <w:szCs w:val="17"/>
          <w:color w:val="auto"/>
        </w:rPr>
        <w:t>”) and CapitalSouth Partners SBIC Fund IV, L.P. (“</w:t>
      </w:r>
      <w:r>
        <w:rPr>
          <w:rFonts w:ascii="Arial" w:cs="Arial" w:eastAsia="Arial" w:hAnsi="Arial"/>
          <w:sz w:val="17"/>
          <w:szCs w:val="17"/>
          <w:b w:val="1"/>
          <w:bCs w:val="1"/>
          <w:i w:val="1"/>
          <w:iCs w:val="1"/>
          <w:color w:val="auto"/>
        </w:rPr>
        <w:t>Fund IV</w:t>
      </w:r>
      <w:r>
        <w:rPr>
          <w:rFonts w:ascii="Arial" w:cs="Arial" w:eastAsia="Arial" w:hAnsi="Arial"/>
          <w:sz w:val="17"/>
          <w:szCs w:val="17"/>
          <w:color w:val="auto"/>
        </w:rPr>
        <w:t>”), (ii) Capitala Private Advisors, LLC, a wholly-owned subsidiary of CIA (“</w:t>
      </w:r>
      <w:r>
        <w:rPr>
          <w:rFonts w:ascii="Arial" w:cs="Arial" w:eastAsia="Arial" w:hAnsi="Arial"/>
          <w:sz w:val="17"/>
          <w:szCs w:val="17"/>
          <w:b w:val="1"/>
          <w:bCs w:val="1"/>
          <w:i w:val="1"/>
          <w:iCs w:val="1"/>
          <w:color w:val="auto"/>
        </w:rPr>
        <w:t>CPA</w:t>
      </w:r>
      <w:r>
        <w:rPr>
          <w:rFonts w:ascii="Arial" w:cs="Arial" w:eastAsia="Arial" w:hAnsi="Arial"/>
          <w:sz w:val="17"/>
          <w:szCs w:val="17"/>
          <w:color w:val="auto"/>
        </w:rPr>
        <w:t>”, and together with CIA, the “</w:t>
      </w:r>
      <w:r>
        <w:rPr>
          <w:rFonts w:ascii="Arial" w:cs="Arial" w:eastAsia="Arial" w:hAnsi="Arial"/>
          <w:sz w:val="17"/>
          <w:szCs w:val="17"/>
          <w:b w:val="1"/>
          <w:bCs w:val="1"/>
          <w:i w:val="1"/>
          <w:iCs w:val="1"/>
          <w:color w:val="auto"/>
        </w:rPr>
        <w:t>Firm</w:t>
      </w:r>
      <w:r>
        <w:rPr>
          <w:rFonts w:ascii="Arial" w:cs="Arial" w:eastAsia="Arial" w:hAnsi="Arial"/>
          <w:sz w:val="17"/>
          <w:szCs w:val="17"/>
          <w:color w:val="auto"/>
        </w:rPr>
        <w:t>”), which serves as investment adviser to Capitala Private Credit Fund V, L.P. (“</w:t>
      </w:r>
      <w:r>
        <w:rPr>
          <w:rFonts w:ascii="Arial" w:cs="Arial" w:eastAsia="Arial" w:hAnsi="Arial"/>
          <w:sz w:val="17"/>
          <w:szCs w:val="17"/>
          <w:b w:val="1"/>
          <w:bCs w:val="1"/>
          <w:i w:val="1"/>
          <w:iCs w:val="1"/>
          <w:color w:val="auto"/>
        </w:rPr>
        <w:t>Fund V</w:t>
      </w:r>
      <w:r>
        <w:rPr>
          <w:rFonts w:ascii="Arial" w:cs="Arial" w:eastAsia="Arial" w:hAnsi="Arial"/>
          <w:sz w:val="17"/>
          <w:szCs w:val="17"/>
          <w:color w:val="auto"/>
        </w:rPr>
        <w:t>”), and the (iii) the BDC. Additionally, the Firm may, from time to time, also serve as investment adviser to other client accounts such as non-registered pooled investment vehicles and separately managed accounts, including those not yet formed (collectively with Fund IV and Fund V, excluding the BDC, the “</w:t>
      </w:r>
      <w:r>
        <w:rPr>
          <w:rFonts w:ascii="Arial" w:cs="Arial" w:eastAsia="Arial" w:hAnsi="Arial"/>
          <w:sz w:val="17"/>
          <w:szCs w:val="17"/>
          <w:b w:val="1"/>
          <w:bCs w:val="1"/>
          <w:i w:val="1"/>
          <w:iCs w:val="1"/>
          <w:color w:val="auto"/>
        </w:rPr>
        <w:t>Private Funds</w:t>
      </w:r>
      <w:r>
        <w:rPr>
          <w:rFonts w:ascii="Arial" w:cs="Arial" w:eastAsia="Arial" w:hAnsi="Arial"/>
          <w:sz w:val="17"/>
          <w:szCs w:val="17"/>
          <w:color w:val="auto"/>
        </w:rPr>
        <w:t>” or “</w:t>
      </w:r>
      <w:r>
        <w:rPr>
          <w:rFonts w:ascii="Arial" w:cs="Arial" w:eastAsia="Arial" w:hAnsi="Arial"/>
          <w:sz w:val="17"/>
          <w:szCs w:val="17"/>
          <w:b w:val="1"/>
          <w:bCs w:val="1"/>
          <w:i w:val="1"/>
          <w:iCs w:val="1"/>
          <w:color w:val="auto"/>
        </w:rPr>
        <w:t>Non-BDC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Clients</w:t>
      </w:r>
      <w:r>
        <w:rPr>
          <w:rFonts w:ascii="Arial" w:cs="Arial" w:eastAsia="Arial" w:hAnsi="Arial"/>
          <w:sz w:val="17"/>
          <w:szCs w:val="17"/>
          <w:color w:val="auto"/>
        </w:rPr>
        <w:t>”). References to “</w:t>
      </w:r>
      <w:r>
        <w:rPr>
          <w:rFonts w:ascii="Arial" w:cs="Arial" w:eastAsia="Arial" w:hAnsi="Arial"/>
          <w:sz w:val="17"/>
          <w:szCs w:val="17"/>
          <w:b w:val="1"/>
          <w:bCs w:val="1"/>
          <w:i w:val="1"/>
          <w:iCs w:val="1"/>
          <w:color w:val="auto"/>
        </w:rPr>
        <w:t>Clients</w:t>
      </w:r>
      <w:r>
        <w:rPr>
          <w:rFonts w:ascii="Arial" w:cs="Arial" w:eastAsia="Arial" w:hAnsi="Arial"/>
          <w:sz w:val="17"/>
          <w:szCs w:val="17"/>
          <w:color w:val="auto"/>
        </w:rPr>
        <w:t>” and</w:t>
      </w:r>
      <w:r>
        <w:rPr>
          <w:rFonts w:ascii="Arial" w:cs="Arial" w:eastAsia="Arial" w:hAnsi="Arial"/>
          <w:sz w:val="17"/>
          <w:szCs w:val="17"/>
          <w:b w:val="1"/>
          <w:bCs w:val="1"/>
          <w:i w:val="1"/>
          <w:iCs w:val="1"/>
          <w:color w:val="auto"/>
        </w:rPr>
        <w:t xml:space="preserve"> “Funds” </w:t>
      </w:r>
      <w:r>
        <w:rPr>
          <w:rFonts w:ascii="Arial" w:cs="Arial" w:eastAsia="Arial" w:hAnsi="Arial"/>
          <w:sz w:val="17"/>
          <w:szCs w:val="17"/>
          <w:color w:val="auto"/>
        </w:rPr>
        <w:t>in this Code of Ethics include the BDC and Non-BDC Clients.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Firm and the BDC have and will continue to uphold a high level of business ethics and personal integrity in all types of transactions and interactions. Accordingly, the Firm and the BDC have adopted this Code of Ethics pursuant to Rule 204A-1 under the Investment Advisers Act of 1940, as amended (the “</w:t>
      </w:r>
      <w:r>
        <w:rPr>
          <w:rFonts w:ascii="Arial" w:cs="Arial" w:eastAsia="Arial" w:hAnsi="Arial"/>
          <w:sz w:val="16"/>
          <w:szCs w:val="16"/>
          <w:b w:val="1"/>
          <w:bCs w:val="1"/>
          <w:i w:val="1"/>
          <w:iCs w:val="1"/>
          <w:color w:val="auto"/>
        </w:rPr>
        <w:t>Advisers Act</w:t>
      </w:r>
      <w:r>
        <w:rPr>
          <w:rFonts w:ascii="Arial" w:cs="Arial" w:eastAsia="Arial" w:hAnsi="Arial"/>
          <w:sz w:val="16"/>
          <w:szCs w:val="16"/>
          <w:color w:val="auto"/>
        </w:rPr>
        <w:t>”) and Rule 17j-1 under the Investment Company Act of 1940, as amended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This Code of Ethics is intended to (i) set forth standards of ethical and legal behavior required of the Employees (as defined below); (ii) emphasize the Firm’s commitment to ethics and</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compliance with the law, including Federal Securities Laws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the Small Business Investment Act of 1958, as amended (the “</w:t>
      </w:r>
      <w:r>
        <w:rPr>
          <w:rFonts w:ascii="Arial" w:cs="Arial" w:eastAsia="Arial" w:hAnsi="Arial"/>
          <w:sz w:val="18"/>
          <w:szCs w:val="18"/>
          <w:b w:val="1"/>
          <w:bCs w:val="1"/>
          <w:i w:val="1"/>
          <w:iCs w:val="1"/>
          <w:color w:val="auto"/>
        </w:rPr>
        <w:t>SBIC Act</w:t>
      </w:r>
      <w:r>
        <w:rPr>
          <w:rFonts w:ascii="Arial" w:cs="Arial" w:eastAsia="Arial" w:hAnsi="Arial"/>
          <w:sz w:val="18"/>
          <w:szCs w:val="18"/>
          <w:color w:val="auto"/>
        </w:rPr>
        <w:t>”); (iii) provide reporting mechanisms for known or suspected ethical or legal violations; and (iv) assist in preventing and detecting wrongdoing.</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it is the policy of the Firm and of the BDC that no Employee shall, in connection with the purchase or sale, directly or indirectly, by such person of any security held or to be acquired by a Client account managed by the Firm:</w:t>
      </w:r>
    </w:p>
    <w:p>
      <w:pPr>
        <w:spacing w:after="0" w:line="170" w:lineRule="exact"/>
        <w:rPr>
          <w:sz w:val="20"/>
          <w:szCs w:val="20"/>
          <w:color w:val="auto"/>
        </w:rPr>
      </w:pPr>
    </w:p>
    <w:p>
      <w:pPr>
        <w:ind w:left="1240" w:hanging="260"/>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BDC;</w:t>
      </w:r>
    </w:p>
    <w:p>
      <w:pPr>
        <w:spacing w:after="0" w:line="225" w:lineRule="exact"/>
        <w:rPr>
          <w:rFonts w:ascii="Arial" w:cs="Arial" w:eastAsia="Arial" w:hAnsi="Arial"/>
          <w:sz w:val="18"/>
          <w:szCs w:val="18"/>
          <w:color w:val="auto"/>
        </w:rPr>
      </w:pPr>
    </w:p>
    <w:p>
      <w:pPr>
        <w:ind w:left="980" w:right="20"/>
        <w:spacing w:after="0" w:line="277" w:lineRule="auto"/>
        <w:tabs>
          <w:tab w:leader="none" w:pos="12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Make to the BDC any untrue statement of a material fact or omit to state to the BDC a material fact necessary in order to make the statement made, in light of the circumstances under which it is made, not misleading;</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Engage in any act, practice, or course of business which operates or would operate as a fraud or deceit upon the BDC; or</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Engage in any manipulative practice with respect to the BDC.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Code of Ethics also specifically addresses insider trading and the reporting by Employees of certain personal securities holdings and transactions. Given the potential liability to which the Firm and its directors and officers may be subject to under the federal securities laws, it is critical that all Employees thoroughly familiarize themselves with the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9" w:lineRule="exact"/>
        <w:rPr>
          <w:sz w:val="20"/>
          <w:szCs w:val="20"/>
          <w:color w:val="auto"/>
        </w:rPr>
      </w:pPr>
    </w:p>
    <w:p>
      <w:pPr>
        <w:jc w:val="both"/>
        <w:ind w:firstLine="8"/>
        <w:spacing w:after="0" w:line="226" w:lineRule="auto"/>
        <w:tabs>
          <w:tab w:leader="none" w:pos="117" w:val="left"/>
        </w:tabs>
        <w:numPr>
          <w:ilvl w:val="0"/>
          <w:numId w:val="76"/>
        </w:numPr>
        <w:rPr>
          <w:rFonts w:ascii="Arial" w:cs="Arial" w:eastAsia="Arial" w:hAnsi="Arial"/>
          <w:sz w:val="29"/>
          <w:szCs w:val="29"/>
          <w:color w:val="auto"/>
          <w:vertAlign w:val="superscript"/>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Federal Securities Laws</w:t>
      </w:r>
      <w:r>
        <w:rPr>
          <w:rFonts w:ascii="Arial" w:cs="Arial" w:eastAsia="Arial" w:hAnsi="Arial"/>
          <w:sz w:val="18"/>
          <w:szCs w:val="18"/>
          <w:color w:val="auto"/>
        </w:rPr>
        <w:t>” includes for purposes of this Code of Ethics: the Securities Act of 1933 (the “</w:t>
      </w:r>
      <w:r>
        <w:rPr>
          <w:rFonts w:ascii="Arial" w:cs="Arial" w:eastAsia="Arial" w:hAnsi="Arial"/>
          <w:sz w:val="18"/>
          <w:szCs w:val="18"/>
          <w:b w:val="1"/>
          <w:bCs w:val="1"/>
          <w:i w:val="1"/>
          <w:iCs w:val="1"/>
          <w:color w:val="auto"/>
        </w:rPr>
        <w:t>1933 Ac</w:t>
      </w:r>
      <w:r>
        <w:rPr>
          <w:rFonts w:ascii="Arial" w:cs="Arial" w:eastAsia="Arial" w:hAnsi="Arial"/>
          <w:sz w:val="18"/>
          <w:szCs w:val="18"/>
          <w:i w:val="1"/>
          <w:iCs w:val="1"/>
          <w:color w:val="auto"/>
        </w:rPr>
        <w:t>t</w:t>
      </w:r>
      <w:r>
        <w:rPr>
          <w:rFonts w:ascii="Arial" w:cs="Arial" w:eastAsia="Arial" w:hAnsi="Arial"/>
          <w:sz w:val="18"/>
          <w:szCs w:val="18"/>
          <w:color w:val="auto"/>
        </w:rPr>
        <w:t>”), the Securities Exchange Act of 1934 (the “</w:t>
      </w:r>
      <w:r>
        <w:rPr>
          <w:rFonts w:ascii="Arial" w:cs="Arial" w:eastAsia="Arial" w:hAnsi="Arial"/>
          <w:sz w:val="18"/>
          <w:szCs w:val="18"/>
          <w:b w:val="1"/>
          <w:bCs w:val="1"/>
          <w:i w:val="1"/>
          <w:iCs w:val="1"/>
          <w:color w:val="auto"/>
        </w:rPr>
        <w:t>1934 Act</w:t>
      </w:r>
      <w:r>
        <w:rPr>
          <w:rFonts w:ascii="Arial" w:cs="Arial" w:eastAsia="Arial" w:hAnsi="Arial"/>
          <w:sz w:val="18"/>
          <w:szCs w:val="18"/>
          <w:color w:val="auto"/>
        </w:rPr>
        <w:t>”), the Sarbanes-Oxley Act of 2002 (“</w:t>
      </w:r>
      <w:r>
        <w:rPr>
          <w:rFonts w:ascii="Arial" w:cs="Arial" w:eastAsia="Arial" w:hAnsi="Arial"/>
          <w:sz w:val="18"/>
          <w:szCs w:val="18"/>
          <w:b w:val="1"/>
          <w:bCs w:val="1"/>
          <w:i w:val="1"/>
          <w:iCs w:val="1"/>
          <w:color w:val="auto"/>
        </w:rPr>
        <w:t>Sarbanes-Oxley</w:t>
      </w:r>
      <w:r>
        <w:rPr>
          <w:rFonts w:ascii="Arial" w:cs="Arial" w:eastAsia="Arial" w:hAnsi="Arial"/>
          <w:sz w:val="18"/>
          <w:szCs w:val="18"/>
          <w:color w:val="auto"/>
        </w:rPr>
        <w:t>”), the Investment Company Act, the Advisers Act, Title V of the Gramm-Leach-Bliley Act (relating to privacy regulation), any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rules adopted thereunder, the Bank Secrecy Act of 1970 as it applies to the operations of both the BDC and the Firm (anti-money laundering regulation), and any rules adopted thereunder by the SEC or the Department of Treasury.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64" w:name="page165"/>
    <w:bookmarkEnd w:id="164"/>
    <w:p>
      <w:pPr>
        <w:jc w:val="both"/>
        <w:spacing w:after="0" w:line="264" w:lineRule="auto"/>
        <w:rPr>
          <w:sz w:val="20"/>
          <w:szCs w:val="20"/>
          <w:color w:val="auto"/>
        </w:rPr>
      </w:pPr>
      <w:r>
        <w:rPr>
          <w:rFonts w:ascii="Arial" w:cs="Arial" w:eastAsia="Arial" w:hAnsi="Arial"/>
          <w:sz w:val="18"/>
          <w:szCs w:val="18"/>
          <w:color w:val="auto"/>
        </w:rPr>
        <w:t>For purposes of this Code of Ethics, the term “Employee” shall mean the Firm’s (i) Access Persons, as defined in Investment Advisers Act Rule 204A-1, (ii) Access Persons, as defined in Investment Company Act 17j-1, (iii) supervised persons, as defined in Advisers Act Section 202(a)(25), and (iv) all other employees of the Firm not otherwise covered by (i)-(iii) herein.</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the foregoing, the term “Employee” shall not include any director of the BDC who is not an “interested person” of the BDC within the meaning of Section 2(a)(19</w:t>
      </w:r>
      <w:r>
        <w:rPr>
          <w:rFonts w:ascii="Arial" w:cs="Arial" w:eastAsia="Arial" w:hAnsi="Arial"/>
          <w:sz w:val="18"/>
          <w:szCs w:val="18"/>
          <w:b w:val="1"/>
          <w:bCs w:val="1"/>
          <w:color w:val="auto"/>
        </w:rPr>
        <w:t>)</w:t>
      </w:r>
      <w:r>
        <w:rPr>
          <w:rFonts w:ascii="Arial" w:cs="Arial" w:eastAsia="Arial" w:hAnsi="Arial"/>
          <w:sz w:val="18"/>
          <w:szCs w:val="18"/>
          <w:color w:val="auto"/>
        </w:rPr>
        <w:t xml:space="preserve"> of the Investment Company Act, for purposes of </w:t>
      </w:r>
      <w:r>
        <w:rPr>
          <w:rFonts w:ascii="Arial" w:cs="Arial" w:eastAsia="Arial" w:hAnsi="Arial"/>
          <w:sz w:val="18"/>
          <w:szCs w:val="18"/>
          <w:b w:val="1"/>
          <w:bCs w:val="1"/>
          <w:color w:val="auto"/>
        </w:rPr>
        <w:t>Sections 2.6</w:t>
      </w:r>
      <w:r>
        <w:rPr>
          <w:rFonts w:ascii="Arial" w:cs="Arial" w:eastAsia="Arial" w:hAnsi="Arial"/>
          <w:sz w:val="18"/>
          <w:szCs w:val="18"/>
          <w:color w:val="auto"/>
        </w:rPr>
        <w:t xml:space="preserve"> and </w:t>
      </w:r>
      <w:r>
        <w:rPr>
          <w:rFonts w:ascii="Arial" w:cs="Arial" w:eastAsia="Arial" w:hAnsi="Arial"/>
          <w:sz w:val="18"/>
          <w:szCs w:val="18"/>
          <w:b w:val="1"/>
          <w:bCs w:val="1"/>
          <w:color w:val="auto"/>
        </w:rPr>
        <w:t>2.7</w:t>
      </w:r>
      <w:r>
        <w:rPr>
          <w:rFonts w:ascii="Arial" w:cs="Arial" w:eastAsia="Arial" w:hAnsi="Arial"/>
          <w:sz w:val="18"/>
          <w:szCs w:val="18"/>
          <w:color w:val="auto"/>
        </w:rPr>
        <w:t xml:space="preserve"> of this Code of Ethics, unless such person otherwise is a supervised person of the Firm. Furthermore,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of this Code of Ethics shall not apply to each director of a BDC who is not an “interested person” of the BDC within the meaning of Section 2(a)(19) of the Investment Company Act, and who would be required to make a personal securities transaction report solely by reason of being a BDC director, except that such director shall be required to make a quarterly transaction report pursuant to </w:t>
      </w:r>
      <w:r>
        <w:rPr>
          <w:rFonts w:ascii="Arial" w:cs="Arial" w:eastAsia="Arial" w:hAnsi="Arial"/>
          <w:sz w:val="18"/>
          <w:szCs w:val="18"/>
          <w:b w:val="1"/>
          <w:bCs w:val="1"/>
          <w:color w:val="auto"/>
        </w:rPr>
        <w:t>Section 2.4.1</w:t>
      </w:r>
      <w:r>
        <w:rPr>
          <w:rFonts w:ascii="Arial" w:cs="Arial" w:eastAsia="Arial" w:hAnsi="Arial"/>
          <w:sz w:val="18"/>
          <w:szCs w:val="18"/>
          <w:color w:val="auto"/>
        </w:rPr>
        <w:t xml:space="preserve"> if the director knew or, in the ordinary course of fulfilling his or her official duties as a BDC director should have known that during the 15-day period immediately before or after the director's transaction in a Reportable Security, the BDC purchased or sold the Reportable Security, or the BDC or the Firm considered purchasing or selling the Reportable Security.</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Standards of Business Conduct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Firm is committed to adhering to the highest ethical and professional standards and to acting with integrity and in the best interests of its Clients. As such, the Firm’s and the BDC’s Joint Compliance Manual and this Code of Ethics, in particular, are based on the principle that the Employees of the Firm will:</w:t>
      </w:r>
    </w:p>
    <w:p>
      <w:pPr>
        <w:spacing w:after="0" w:line="181"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place the interests of the Firm’s Clients before personal interests;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conduct their affairs consistently with the standards and requirements set forth herein and in such a manner as to avoid any actual or potential conflict of interest or any abuse of an employee’s position of trust and responsibility;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adhere to the fundamental standard that the Firm’s personnel should not take advantage of their positions of trust and responsibility to their personal benefit.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standards of business conduct are not exclusive, but are illustrative of the standards to which the Firm strives to attain.</w:t>
      </w:r>
    </w:p>
    <w:p>
      <w:pPr>
        <w:spacing w:after="0" w:line="225" w:lineRule="exact"/>
        <w:rPr>
          <w:sz w:val="20"/>
          <w:szCs w:val="20"/>
          <w:color w:val="auto"/>
        </w:rPr>
      </w:pPr>
    </w:p>
    <w:p>
      <w:pPr>
        <w:jc w:val="both"/>
        <w:ind w:left="1960" w:hanging="655"/>
        <w:spacing w:after="0" w:line="257" w:lineRule="auto"/>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Access Person shall engage, directly or indirectly, in any business transaction or arrangement for personal profit that is inconsistent with the best interests of the Company or its shareholders or clients, as applicable; nor shall he or she make use of any confidential information gained by reason of his or her employment by or affiliation with the Company or affiliates thereof in order to derive a personal profit for himself or herself or for any Beneficial Interest, in violation of the fiduciary duty owed to the Company or its shareholders or clients, as applicable.</w:t>
      </w:r>
    </w:p>
    <w:p>
      <w:pPr>
        <w:spacing w:after="0" w:line="188" w:lineRule="exact"/>
        <w:rPr>
          <w:rFonts w:ascii="Arial" w:cs="Arial" w:eastAsia="Arial" w:hAnsi="Arial"/>
          <w:sz w:val="18"/>
          <w:szCs w:val="18"/>
          <w:color w:val="auto"/>
        </w:rPr>
      </w:pPr>
    </w:p>
    <w:p>
      <w:pPr>
        <w:jc w:val="both"/>
        <w:ind w:left="1960" w:right="20" w:hanging="655"/>
        <w:spacing w:after="0" w:line="264" w:lineRule="auto"/>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Access Person recommending or authorizing the purchase or sale of a Covered Security by the Company or its advisory clients shall, at the time of such recommendation or authorization, disclose any Beneficial Interest in, or Beneficial Ownership of, such Covered Security or the issuer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5" w:name="page166"/>
    <w:bookmarkEnd w:id="165"/>
    <w:p>
      <w:pPr>
        <w:jc w:val="both"/>
        <w:ind w:left="1960" w:hanging="655"/>
        <w:spacing w:after="0" w:line="279" w:lineRule="auto"/>
        <w:tabs>
          <w:tab w:leader="none" w:pos="19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 Access Person shall dispense any information concerning securities holdings or securities transactions of the Company or its advisory clients to anyone outside the Company, without obtaining prior written approval from the Designated Officer, or such person or persons as these individuals may designate to act on their behalf. Notwithstanding the preceding sentence, such Access Person may dispense such information without obtaining prior written approval:</w:t>
      </w:r>
    </w:p>
    <w:p>
      <w:pPr>
        <w:spacing w:after="0" w:line="171" w:lineRule="exact"/>
        <w:rPr>
          <w:rFonts w:ascii="Arial" w:cs="Arial" w:eastAsia="Arial" w:hAnsi="Arial"/>
          <w:sz w:val="17"/>
          <w:szCs w:val="17"/>
          <w:color w:val="auto"/>
        </w:rPr>
      </w:pPr>
    </w:p>
    <w:p>
      <w:pPr>
        <w:ind w:left="2600" w:hanging="647"/>
        <w:spacing w:after="0"/>
        <w:tabs>
          <w:tab w:leader="none" w:pos="26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when there is a public report containing the same information;</w:t>
      </w:r>
    </w:p>
    <w:p>
      <w:pPr>
        <w:spacing w:after="0" w:line="225"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when such information is dispensed in accordance with compliance procedures established to prevent conflicts of interest between the Company and its affiliates;</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when such information is reported to directors of the Company; or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 the ordinary course of his or her duties on behalf of the Company.</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personal securities transactions should be conducted consistent with this Code and in such a manner as to avoid actual or potential conflicts of interest, the appearance of a conflict of interest, or any abuse of an individual’s position of trust and responsibility within the Company.</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Fair Dealing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Employees shall behave honestly and ethically at all times and with all people. They shall act in good faith, with due care, and shall engage only in fair and open competition, by treating ethically colleagues, competitors and third-parties. Stealing proprietary information, possessing trade secret information that was obtained without the owner’s consent, or inducing such disclosures by past or present employees of other companies is prohibited. No Employee should take unfair advantage of anyone through manipulation, concealment, abuse of privileged information, misrepresentation of material facts, or other unfair practices.</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Conflicts of Interest</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6"/>
          <w:szCs w:val="16"/>
          <w:color w:val="auto"/>
        </w:rPr>
        <w:t>Generally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conflict of interest exists when a person’s private interests interferes in any way with the interests of the Firm. A conflict can arise when an Employee takes actions or has interests that may make it difficult to perform his or her work for the Firm objectively and effectively. Conflicts of interest may also arise when an Employee, or a member of his or her family, receives improper personal benefits as a result of his or her position at the Firm. Loans to, or guarantees of obligations of, Employees and their family members may create conflicts of interest. It is almost always a conflict of interest for an Employee to work simultaneously for the Firm and for a competitor, a Portfolio Company or one of the Firm’s sources of financing.</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Employees shall disclose any material transactions or relationships that reasonably could be expected to give rise to a conflict to the Chief Compliance Offier (“</w:t>
      </w:r>
      <w:r>
        <w:rPr>
          <w:rFonts w:ascii="Arial" w:cs="Arial" w:eastAsia="Arial" w:hAnsi="Arial"/>
          <w:sz w:val="17"/>
          <w:szCs w:val="17"/>
          <w:b w:val="1"/>
          <w:bCs w:val="1"/>
          <w:i w:val="1"/>
          <w:iCs w:val="1"/>
          <w:color w:val="auto"/>
        </w:rPr>
        <w:t>CCO</w:t>
      </w:r>
      <w:r>
        <w:rPr>
          <w:rFonts w:ascii="Arial" w:cs="Arial" w:eastAsia="Arial" w:hAnsi="Arial"/>
          <w:sz w:val="17"/>
          <w:szCs w:val="17"/>
          <w:color w:val="auto"/>
        </w:rPr>
        <w:t>”) promptly upon becoming aware of such conflict. Such relationships include, among others serving on the board of a charity or non-profit organization or being a member of an investment committee. No action may be taken with respect to such transaction or party unless and until such action has been approved by the CCO. Additionally, the CCO must approve activities that involve teaching assignments, lectures or business-related speaking engagements, consulting engagements, publication of articles or radio or television appearances.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Conflicts of interest may not always be clear-cut, so if you have a question, you should immediately consult with the CCO.</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6"/>
          <w:szCs w:val="16"/>
          <w:color w:val="auto"/>
        </w:rPr>
        <w:t>Personal Conflicts of Interest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Employee should strive to avoid all situations that present or could reasonably be expected to present a conflict between his or her personal interests and those of the Firm (including the Clients). Conflicts of interest may arise when:</w:t>
      </w:r>
    </w:p>
    <w:p>
      <w:pPr>
        <w:spacing w:after="0" w:line="170" w:lineRule="exact"/>
        <w:rPr>
          <w:sz w:val="20"/>
          <w:szCs w:val="20"/>
          <w:color w:val="auto"/>
        </w:rPr>
      </w:pPr>
    </w:p>
    <w:p>
      <w:pPr>
        <w:ind w:left="980" w:hanging="324"/>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Employee’s position or responsibilities with the Firm give that person the opportunity to obtain financial gain beyond his or her normal compensation;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Employee’s personal or family loyalties or interests are inconsistent with, or appear to be inconsistent with, the best interests of the Firm and its investors or clients;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Employee takes actions or has interests, either within or outside the scope of such person’s employment or service with the Firm, that make it difficult to perform his or her responsibilities and duties to the Firm and the Clients and their investors objectively and effectively; or</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Employee has an opportunity and an incentive to favor the interests of one investor or Client over another.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non-exhaustive list of situations where a conflict of interest may arise and which are therefore prohibited unless specifically approved by the CCO and the Chief Executive Officer (“</w:t>
      </w:r>
      <w:r>
        <w:rPr>
          <w:rFonts w:ascii="Arial" w:cs="Arial" w:eastAsia="Arial" w:hAnsi="Arial"/>
          <w:sz w:val="18"/>
          <w:szCs w:val="18"/>
          <w:b w:val="1"/>
          <w:bCs w:val="1"/>
          <w:i w:val="1"/>
          <w:iCs w:val="1"/>
          <w:color w:val="auto"/>
        </w:rPr>
        <w:t>CEO</w:t>
      </w:r>
      <w:r>
        <w:rPr>
          <w:rFonts w:ascii="Arial" w:cs="Arial" w:eastAsia="Arial" w:hAnsi="Arial"/>
          <w:sz w:val="18"/>
          <w:szCs w:val="18"/>
          <w:color w:val="auto"/>
        </w:rPr>
        <w:t>”):</w:t>
      </w:r>
    </w:p>
    <w:p>
      <w:pPr>
        <w:spacing w:after="0" w:line="170" w:lineRule="exact"/>
        <w:rPr>
          <w:sz w:val="20"/>
          <w:szCs w:val="20"/>
          <w:color w:val="auto"/>
        </w:rPr>
      </w:pPr>
    </w:p>
    <w:p>
      <w:pPr>
        <w:ind w:left="98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Working for any competitor of the Firm or providing business services to any third party that are substantially similar to the services provided by the Employee to the Firm and the Clients;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Serving as a director, trustee, officer or employee of, or consultant for, or in any other similar capacity with, any client of the Firm, any investor in a Client, or any Portfolio Company, regardless of whether such service is compensated, unless such service is within the scope of employment or service with the Firm;</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Acting as a broker, finder or other intermediary for the benefit of a third party in transactions involving the Firm, any Client or its investors, or any Portfolio Company, unless such service is within the scope of employment or service with the Firm;</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Using confidential or proprietary information about the Firm or any of its investors, the Clients, or any Portfolio Company, or any other business partner for the personal gain of a third party, the Employee’s personal gain, or the gain of a member of such Employee’s relatives or affiliates;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Having, or a member of the Employee’s family having, an interest in a transaction in which the Firm, one of the Clients or one of its investors is involved;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7" w:name="page168"/>
    <w:bookmarkEnd w:id="167"/>
    <w:p>
      <w:pPr>
        <w:jc w:val="both"/>
        <w:ind w:left="980" w:hanging="324"/>
        <w:spacing w:after="0" w:line="264"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Holding, or a member of the Employee’s family holding, any ownership interest in any entity that is a competitor of the Firm, or in any Client or any of its investors, or in any Portfolio Company, except that an Employee and his or her family members may hold common shares in any publicly traded entity.</w:t>
      </w:r>
    </w:p>
    <w:p>
      <w:pPr>
        <w:spacing w:after="0" w:line="181"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6"/>
          <w:szCs w:val="16"/>
          <w:color w:val="auto"/>
        </w:rPr>
        <w:t>Conflicts Among Client Interests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conflicts of interest directly involving Employees set forth above, actual or potential conflicts of interest also may arise in the following situations, among others, in connection with the formation and management of the Clients:</w:t>
      </w:r>
    </w:p>
    <w:p>
      <w:pPr>
        <w:spacing w:after="0" w:line="170" w:lineRule="exact"/>
        <w:rPr>
          <w:sz w:val="20"/>
          <w:szCs w:val="20"/>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 allocating investments, time and resources among Clients;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 providing services to the Clients or to Portfolio Companies for which the Firm will be compensated when such fees are not offset against management fees;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 offering or allocating co-investment opportunities to investors in the Client;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 selecting investors to sit on the advisory committee of a Client;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 valuing assets held by Clients and calculating carried interest payable by a Client.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conflicts arise between Clients, the Firm will seek to mitigate the conflict, and in doing so, it may consider many factors, including the interests of each Client with respect to the immediate issue and/or with respect to the longer term course of dealing among the Clients. Except as may be specified in any relevant Client Agreements, the Firm’s determinations as to which factors are relevant to the resolution of all conflict of interest, and the resolution of such conflicts, will be made in the Firm’s discretion.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policies are designed to assuage conflicts of interest among Clients:</w:t>
      </w:r>
    </w:p>
    <w:p>
      <w:pPr>
        <w:spacing w:after="0" w:line="225" w:lineRule="exact"/>
        <w:rPr>
          <w:sz w:val="20"/>
          <w:szCs w:val="20"/>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Client will not make any investment, or take any material action with respect to any investment, unless the Firm believes that such investment or action is an appropriate investment or action considered solely from the viewpoint of such entity.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Capitala and the other entities comprising the Firm will abide by the provisions of the relevant Client Agreements, which include set procedures, restrictions or other provisions addressing many important conflicts of interest.</w:t>
      </w:r>
    </w:p>
    <w:p>
      <w:pPr>
        <w:spacing w:after="0" w:line="170" w:lineRule="exact"/>
        <w:rPr>
          <w:rFonts w:ascii="Arial" w:cs="Arial" w:eastAsia="Arial" w:hAnsi="Arial"/>
          <w:sz w:val="18"/>
          <w:szCs w:val="18"/>
          <w:color w:val="auto"/>
        </w:rPr>
      </w:pPr>
    </w:p>
    <w:p>
      <w:pPr>
        <w:jc w:val="both"/>
        <w:ind w:left="980" w:hanging="324"/>
        <w:spacing w:after="0" w:line="297" w:lineRule="auto"/>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As required by the relevant Client Agreements, but also in additional situations where the Firm in its discretion determines it would be useful, the Firm will consult with the advisory committee for the relevant entity on conflicts of interest. The members of the Client advisory committees are not affiliated with the Firm other than by being investors or representatives of investors in the Clients and play an important role in resolving conflicts of interest by approving or disapproving decisions that involve certain conflicts of interest referred to it by the General Partner in accordance with the relevant Client Agreements or as to which the General Partner may consult with the advisory committee on its own volition.</w:t>
      </w:r>
    </w:p>
    <w:p>
      <w:pPr>
        <w:spacing w:after="0" w:line="158" w:lineRule="exact"/>
        <w:rPr>
          <w:rFonts w:ascii="Arial" w:cs="Arial" w:eastAsia="Arial" w:hAnsi="Arial"/>
          <w:sz w:val="16"/>
          <w:szCs w:val="16"/>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When the Firm deems it appropriate in its sole discretion, unaffiliated third-parties may be used to help resolve conflicts.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Firm may determine that a third party unaffiliated with the Firm making an investment on the same or similar terms as a Client demonstrates the fairness of the transaction to such Client.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ind w:left="1960"/>
        <w:spacing w:after="0"/>
        <w:tabs>
          <w:tab w:leader="none" w:pos="2580" w:val="left"/>
        </w:tabs>
        <w:rPr>
          <w:sz w:val="20"/>
          <w:szCs w:val="20"/>
          <w:color w:val="auto"/>
        </w:rPr>
      </w:pPr>
      <w:r>
        <w:rPr>
          <w:rFonts w:ascii="Arial" w:cs="Arial" w:eastAsia="Arial" w:hAnsi="Arial"/>
          <w:sz w:val="18"/>
          <w:szCs w:val="18"/>
          <w:color w:val="auto"/>
        </w:rPr>
        <w:t>1.2.2.4</w:t>
      </w:r>
      <w:r>
        <w:rPr>
          <w:sz w:val="20"/>
          <w:szCs w:val="20"/>
          <w:color w:val="auto"/>
        </w:rPr>
        <w:tab/>
      </w:r>
      <w:r>
        <w:rPr>
          <w:rFonts w:ascii="Arial" w:cs="Arial" w:eastAsia="Arial" w:hAnsi="Arial"/>
          <w:sz w:val="16"/>
          <w:szCs w:val="16"/>
          <w:color w:val="auto"/>
        </w:rPr>
        <w:t>Allocating Investment Opportunities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Firm and its related entities engage in a broad range of activities, including investment activities for their own account and for the account of various investment funds and the provision of investment advisory and other services to funds and operating companies. In connection with its investment activities, the Firm may encounter situations in which it must determine how to allocate investment opportunities among various funds and other persons, including the primary Clients the Firm manages, other Clients that have been formed to invest side-by-side with one or more of the Clients in particular transactions entered into by such Clients, and investors and other third parties acting as “co-sponsors” or co-investors with the Firm with respect to a particular transaction for strategic or other reasons.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allocating investment opportunities, the Firm may be faced with a variety of potential conflicts of interest. For example, in allocating an investment opportunity among Clients with different fee, expense and compensation structures, the Firm may have an incentive to allocate investment opportunities to the Clients or other vehicles from which the Firm or its related persons may derive, directly or indirectly, a higher fee, compensation or other benefit.</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Subject to its fiduciary duties and applicable law, as well as any relevant restrictions or other limitations contained in the relevant Client Agreements, the Firm will determine how to allocate investment opportunities using its best judgment, considering such factors as it deems relevant.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Firm will typically cause Clients to co-invest in transactions according to the Firm’s Allocation Policy. Unless nothing is negotiated other than price, the Clients may not invest alongside the BDC without complying with the conditions of the exemptive relief granted by the SEC to the BDC, which permits certain co-investments between the BDC and the Clients advised by the Firm.</w:t>
      </w:r>
    </w:p>
    <w:p>
      <w:pPr>
        <w:spacing w:after="0" w:line="181"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1.2.2.5</w:t>
      </w:r>
      <w:r>
        <w:rPr>
          <w:sz w:val="20"/>
          <w:szCs w:val="20"/>
          <w:color w:val="auto"/>
        </w:rPr>
        <w:tab/>
      </w:r>
      <w:r>
        <w:rPr>
          <w:rFonts w:ascii="Arial" w:cs="Arial" w:eastAsia="Arial" w:hAnsi="Arial"/>
          <w:sz w:val="16"/>
          <w:szCs w:val="16"/>
          <w:color w:val="auto"/>
        </w:rPr>
        <w:t>Conflicts Under the SBIC Act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subject to receiving prior written exemptions from the Small Business Administration (“</w:t>
      </w:r>
      <w:r>
        <w:rPr>
          <w:rFonts w:ascii="Arial" w:cs="Arial" w:eastAsia="Arial" w:hAnsi="Arial"/>
          <w:sz w:val="18"/>
          <w:szCs w:val="18"/>
          <w:b w:val="1"/>
          <w:bCs w:val="1"/>
          <w:i w:val="1"/>
          <w:iCs w:val="1"/>
          <w:color w:val="auto"/>
        </w:rPr>
        <w:t>SBA</w:t>
      </w:r>
      <w:r>
        <w:rPr>
          <w:rFonts w:ascii="Arial" w:cs="Arial" w:eastAsia="Arial" w:hAnsi="Arial"/>
          <w:sz w:val="18"/>
          <w:szCs w:val="18"/>
          <w:color w:val="auto"/>
        </w:rPr>
        <w:t>”), the Firm may not engage in a plethora of financing transactions which may constitute conflicts of interest. See Section 107.730 of the SBIC Act – Financings which constitute conflicts of interest, the terms of which are incorporated herein. Moreover, under the SBIC Act, without prior authorization or written consent by the SBA, the Firm may not engage in self-dealing that prejudices (i) a Small Business (as defined under the SBIC Act), (ii) an SBIC, (iii) the partners of an SBIC, or (iv) the SBA. The Firm is prohibited under the SBIC Act from, among other things:</w:t>
      </w:r>
    </w:p>
    <w:p>
      <w:pPr>
        <w:spacing w:after="0" w:line="188" w:lineRule="exact"/>
        <w:rPr>
          <w:sz w:val="20"/>
          <w:szCs w:val="20"/>
          <w:color w:val="auto"/>
        </w:rPr>
      </w:pPr>
    </w:p>
    <w:p>
      <w:pPr>
        <w:jc w:val="both"/>
        <w:ind w:left="980" w:hanging="324"/>
        <w:spacing w:after="0" w:line="264"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Providing financing to any “Associate” of any SBIC of the Firm, with “Associate” being a very broadly defined term which includes the investment adviser to an SBIC, as well as Control Persons of the SBIC and certain Close and Secondary Relatives of certain Control Persons (as such terms are defined in the SBIC Act); or</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Providing financings to an “Associate” of another SBIC if any Associate of any SBIC of the Firm has received or will receive any direct or indirect financings or commitment from that SBIC or another SBIC in connection therewith.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Section 107.730 of the SBIC Act for other financings which may constitute conflicts of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general, financings with Associates require the SBA’s prior written approval.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9" w:name="page170"/>
    <w:bookmarkEnd w:id="169"/>
    <w:p>
      <w:pPr>
        <w:ind w:left="1300"/>
        <w:spacing w:after="0"/>
        <w:tabs>
          <w:tab w:leader="none" w:pos="19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Corporate Opportunities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Employees are prohibited from taking for themselves or for third parties opportunities that are discovered through the use of corporate property, information or position without the consent of the CCO and the CEO. No Employee may use company property, information or position for improper personal gain, and no employee may compete with the Firm directly or indirectly. Employees owe a duty to the Firm to advance its legitimate business interests whenever possible.</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Outside Business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conflict of interest may arise when outside business activities require the time and attention of an Employee that could be applied to the Firm and its business. Thus, an Employee may not engage in an outside business activity, other than the performance of services to the Firm, for material compensation of any kind, direct or indirect, unless (a) the CCO (in consultation with the CEO) expressly authorizes such activity after full disclosure of such proposed activity by the Employee or (b) solely in the case of interns, part-time employees and others who for similar reasons are expected to engage in outside business activities, such outside activity is fully disclosed and clearly known to the CCO prior to the Employee joining the Firm and the CCO is informed of any material additions or changes to such outside activity. The CCO and the CEO may subject any such outside business activity to such restrictions or limitations as they deem appropriate.</w:t>
      </w:r>
    </w:p>
    <w:p>
      <w:pPr>
        <w:spacing w:after="0" w:line="18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u w:val="single" w:color="auto"/>
          <w:color w:val="auto"/>
        </w:rPr>
        <w:t>Confidentiality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the confidentiality of Clients’ business information, confidential personal and business information that is provided to the Firm by other third parties with whom the Firm does business (including investors in the Clients), and the Firm’s own proprietary information is fundamental to the success of the Firm. It is the responsibility of every Employee to protect confidential information and to limit disclosure to those persons who have a business need to know that information.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Employees should consider all information they come in contact with in the course of their employment to be confidential unless the information is known to be public and the Employee knows that the source of the information does not expect it to be treated confidentially.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Examples of information that is confidential include:</w:t>
      </w:r>
    </w:p>
    <w:p>
      <w:pPr>
        <w:spacing w:after="0" w:line="225" w:lineRule="exact"/>
        <w:rPr>
          <w:sz w:val="20"/>
          <w:szCs w:val="20"/>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personal, financial, business or other information provided to the Firm by any investor or prospective investor in any Client;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information about Portfolio Companies not generally known to the public, and information about the Clients’ investments in Portfolio Companies;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due diligence information obtained by the Firm;</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the extent not already described above, information relating to other third parties with whom the Firm does business, such as financial counterparties, administrators, placement or referral agents, and information about the services provided, relationship with such parties, and their business, financial or other information;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information contained in proprietary databases;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0" w:name="page171"/>
    <w:bookmarkEnd w:id="170"/>
    <w:p>
      <w:pPr>
        <w:ind w:left="980" w:hanging="324"/>
        <w:spacing w:after="0" w:line="277"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Firm’s own business, financial and technological information, and information about the Firm’s products or services, to the extent not clearly made public by authorized officers of the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Some practical steps Employees should consider in carrying out their confidentiality obligations include:</w:t>
      </w:r>
    </w:p>
    <w:p>
      <w:pPr>
        <w:spacing w:after="0" w:line="225" w:lineRule="exact"/>
        <w:rPr>
          <w:sz w:val="20"/>
          <w:szCs w:val="20"/>
          <w:color w:val="auto"/>
        </w:rPr>
      </w:pPr>
    </w:p>
    <w:p>
      <w:pPr>
        <w:ind w:left="980" w:hanging="324"/>
        <w:spacing w:after="0"/>
        <w:tabs>
          <w:tab w:leader="none" w:pos="9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maintaining work spaces so that unauthorized persons are not likely to intentionally or unintentionally have access to confidential information;</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being aware of the potential for conversations to be overheard, whether in the office or in public places, and holding conversations with this in mind;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 Employee is not certain whether a person requesting information is authorized to request it or have it provided to them, consulting with the CCO or another supervisory person;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where appropriate, marking information as “confidential” or “for internal use only” before providing it to another person;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 reading, working on computers or discussing the Firm’s business in public places if it is possible that third parties could read the documents or overhear the conversation.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obligation to preserve confidential information continues even after employment ends.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Section 1.5 of this Code of Ethics specifically addresses the confidentiality of “inside information” and should be read together with this Section 1.2.5.</w:t>
      </w:r>
    </w:p>
    <w:p>
      <w:pPr>
        <w:spacing w:after="0" w:line="23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u w:val="single" w:color="auto"/>
          <w:color w:val="auto"/>
        </w:rPr>
        <w:t>Protection and Proper Use of Firm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Employees should endeavor to protect the Firm’s assets and ensure their efficient use. Theft, carelessness, and waste have a direct impact on the Firm’s profitability. Any suspected incident of fraud or theft should be immediately reported for investigation. The Firm’s equipment should not be used for non-Firm business, though incidental personal use is permitted.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obligation of Employees to protect the Firm’s assets includes its proprietary information. Proprietary information includes intellectual property, business, marketing and service plans, investment proposals and strategies, databases, records, salary information and unpublished financial data and reports. Unauthorized use or distribution of this information would violate Firm policy. It could also be illegal and result in civil or criminal penalties.</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u w:val="single" w:color="auto"/>
          <w:color w:val="auto"/>
        </w:rPr>
        <w:t>Timely and Truthful Public Disclosure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reports and documents filed with or submitted to the SEC and other regulators by the Firm, and in other public communications made by the Firm, the Employees involved in the preparation of such reports and documents (including those who are involved in the preparation of financial or other reports and the information included in such reports and documents) shall make disclosures that are full, fair, accurate, timely and understandable. Where applicable, Employees shall provide thorough and accurate financial and accounting data for inclusion in such disclosures. They shall not knowingly conceal or falsify information, misrepresent material facts or omit material facts necessary to avoid misleading the Firm’s independent public auditors, investors or the SBA. Employees must cooperate with the CCO when the CCO is compiling information for SEC filings, required internal recordkeeping and reports, internal investigations, and other compliance matters.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1" w:name="page172"/>
    <w:bookmarkEnd w:id="171"/>
    <w:p>
      <w:pPr>
        <w:ind w:left="1300"/>
        <w:spacing w:after="0"/>
        <w:tabs>
          <w:tab w:leader="none" w:pos="19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u w:val="single" w:color="auto"/>
          <w:color w:val="auto"/>
        </w:rPr>
        <w:t>Accounting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Employees (and not just the Firm’s accounting staff) are responsible for reporting complete and accurate information about the business, earnings and financial condition of the Firm and its Clients, as applicable. The financial statements of the Firm and each Client, as applicable, must fairly and completely reflect its operations and financial condition.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Employee is responsible for ensuring that all transactions in which he or she is involved are reported completely, accurately and in sufficient detail. This information is of critical importance for preparing such financial statements and reports to its members and Client investors. Every Employee should always cooperate fully with the Firm’s finance team and its independent auditors.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Firm financial records must be prepared and maintained in accordance with all applicable laws and regulations. Each Employee involved in preparing financial statements will follow generally accepted accounting principles and other applicable accounting standards and rules, including those of the SBA, each as applicable.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Firm’s records belong to the Firm. Employees may not remove any such records or copies thereof from Firm property unless they have a legitimate business reason for doing so. Any documents or records that are removed for a legitimate business purpose must be returned as soon as reasonably possible.</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 Employee may engage in, allow, or conceal any irregularity in the Firm’s bookkeeping or accounting. Each Employee must promptly bring to the attention of the CCO and for the BDC, the BDC’s Audit Committee, any information he or she may have concerning (i) significant deficiencies in the design or operation or internal control over financial reporting that could adversely affect the Firm’s ability to record, process, summarize and report financial data, (ii) any fraud, whether or not material, that involves management or other Employees who have a significant role in the Firm’s financial reporting, disclosures or internal control over financial reporting, and (iii) any other actual or suspected irregularity or concealment thereof.</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Compliance With Laws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Obeying the law is one of the foundations on which the Firm’s ethical standards are built. In conducting the business of the Firm, Employees must comply with applicable governmental laws, rules and regulations at all levels of government in the United States and in any non-U.S. jurisdiction in which the Firm does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Specifically, Employees may not take any of the following actions in connection with any securities transaction to be undertaken by the Firm for itself or on behalf of any Client or any other party, all of which are prohibited by law:</w:t>
      </w:r>
    </w:p>
    <w:p>
      <w:pPr>
        <w:spacing w:after="0" w:line="170" w:lineRule="exact"/>
        <w:rPr>
          <w:sz w:val="20"/>
          <w:szCs w:val="20"/>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person or entity making the purchase or sale;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Make any untrue statement of a material fact or omit to state a material fact necessary in order to make the statement, in light of the circumstances under which it was made, not misleading;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2" w:name="page173"/>
    <w:bookmarkEnd w:id="172"/>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Engage in an act, practice, or course of conduct that operates or would operate as a fraud or deceit;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Engage in any manipulative practice with respect to any person or entity that is a party to the transaction or with respect to any security or other interest held or to be acquired by the Firm or a Client (including price manipulation); or</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Consummate a purchase or sale of a security or other interest while in possession of material non-public information regarding such security or interest, or communicate such information to any person, in violation of any applicable securities law or other applicable laws and regulations.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not all Employees are expected to know the details of all laws, it is important for each Employee to know enough about the applicable local, state and national laws implicated by their business activities to know when to seek advice from the CCO or other appropriate personnel, including the Firm’s legal counsel. The Code of Ethics does not attempt to identify or explain all laws to which the Firm and its operations are subject, but brief summaries of certain laws applicable to the Firm’s business are as follows:</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Investment Advisers Act of 1940</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Investment Advisers Act requires the registration of and imposes various other substantive regulatory requirements on investment advisers, which are generally defined as persons in the business of providing advice to others with respect to investments in securities. Capitala is an investment adviser because it provides such advice to the Clients, which are its Clients under the Investment Advisers Act. Accordingly, Capitala has registered with the SEC as an investment adviser under the Investment Advisers Act. This Code of Ethics is designed to satisfy certain requirements under, and otherwise help ensure compliance with, the Investment Advisers Act and other federal securities laws.</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Investment Company Act of 1940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Investment Company Act requires the registration of and imposes various other substantive regulatory requirements on investment companies, which are generally defined as issuers primarily engaged in the business of investing in securities. The Firm, with the assistance of its legal counsel, ensures that all of the Private Funds managed by the Firm are exempt from registration under the Investment Company Act by ensuring that the Clients can avail themselves of certain exceptions from the definition of “investment company” set forth in Section 3(c) of the Investment Company Act. BDCs, for which the Firm serves as the investment adviser, are registered under the Investment Company Act.</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u w:val="single" w:color="auto"/>
          <w:color w:val="auto"/>
        </w:rPr>
        <w:t>Securities Act of 1933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Securities Act requires that any offer or sale of securities using the means and instrumentalities of interstate commerce be registered with the SEC pursuant to the Securities Act, unless an exemption from registration exists. Its primary purpose is to ensure that buyers of securities receive complete and accurate information before they invest. The Firm, with the assistance of its legal counsel, ensures that all offerings of interests in Private Funds are exempt from registration under the Securities Act, typically pursuant to Regulation D thereunder.</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Securities Exchange Act of 1934</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Exchange Act provides for, among other things, the registration and regulation of securities exchanges, the registration of securities listed on such exchanges, financial and other reporting requirements for companies whose securities are so registered, and the registration and regulation of national securities associations and of brokers and dealers in securities. The Private Funds do not have securities registered on any exchange. The BDCs managed by the Firm are expected to have securities traded on the NASDAQ Stock Market, the New York Stock Exchange or similar national securities exchange. The Firm conducts its business so as to avoid any requirement that it register as a broker or dealer.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3" w:name="page174"/>
    <w:bookmarkEnd w:id="173"/>
    <w:p>
      <w:pPr>
        <w:ind w:left="1300"/>
        <w:spacing w:after="0"/>
        <w:tabs>
          <w:tab w:leader="none" w:pos="19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u w:val="single" w:color="auto"/>
          <w:color w:val="auto"/>
        </w:rPr>
        <w:t>State Securities Laws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various states where the Firm conducts business have laws concerning the offer and sale of securities that are applicable to the Firm’s business within the respective states. Federal securities laws preempt these state securities laws in many, but not all, respects.</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Anti-Money Laundering Regulations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Congress has enacted a number of statutes to combat money laundering including the Bank Secrecy Act, which provides for the Department of Treasury to monitor domestic and international money flows; the Money Laundering Control Act; the Money Laundering Suppression Act; and the USA PATRIOT Act. Several agencies of the Department of Treasury assist in preventing and detecting money laundering, most notably the Financial Crimes Enforcement Network (“</w:t>
      </w:r>
      <w:r>
        <w:rPr>
          <w:rFonts w:ascii="Arial" w:cs="Arial" w:eastAsia="Arial" w:hAnsi="Arial"/>
          <w:sz w:val="18"/>
          <w:szCs w:val="18"/>
          <w:b w:val="1"/>
          <w:bCs w:val="1"/>
          <w:i w:val="1"/>
          <w:iCs w:val="1"/>
          <w:color w:val="auto"/>
        </w:rPr>
        <w:t>FinCEN</w:t>
      </w:r>
      <w:r>
        <w:rPr>
          <w:rFonts w:ascii="Arial" w:cs="Arial" w:eastAsia="Arial" w:hAnsi="Arial"/>
          <w:sz w:val="18"/>
          <w:szCs w:val="18"/>
          <w:color w:val="auto"/>
        </w:rPr>
        <w:t>”) and the Treasury’s Office of Foreign Assets Control (“</w:t>
      </w:r>
      <w:r>
        <w:rPr>
          <w:rFonts w:ascii="Arial" w:cs="Arial" w:eastAsia="Arial" w:hAnsi="Arial"/>
          <w:sz w:val="18"/>
          <w:szCs w:val="18"/>
          <w:b w:val="1"/>
          <w:bCs w:val="1"/>
          <w:i w:val="1"/>
          <w:iCs w:val="1"/>
          <w:color w:val="auto"/>
        </w:rPr>
        <w:t>OFAC</w:t>
      </w:r>
      <w:r>
        <w:rPr>
          <w:rFonts w:ascii="Arial" w:cs="Arial" w:eastAsia="Arial" w:hAnsi="Arial"/>
          <w:sz w:val="18"/>
          <w:szCs w:val="18"/>
          <w:color w:val="auto"/>
        </w:rPr>
        <w:t>”). A number of foreign countries also have money laundering laws and regulation. See Section 6 of the Firm’s Joint Compliance Manual for additional information.</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Personal Trading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Firm employees must be familiar with and abide by these personal trading policies and procedures. In addition, Rule 204A-1 under the Investment Advisers Act requires an investment adviser’s Access Persons (i) to submit reports of their personal securities transactions and holdings periodically to the investment advisor for review, and (ii) to obtain pre-approval from the adviser for certain types of securities transactions. Rule 17j-1 of the Investment Company Act imposes similar securities reporting requirements.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These personal trading policies and procedures shall apply to (and references to an “Employee” in these personal trading policies and procedures shall be deemed to include, as applicable) all Employees (whether or not they are Access Persons, as defined in the Investment Advisers Act), their spouses/partners (unless separated) and any other family members residing in the same household with them</w:t>
      </w:r>
      <w:r>
        <w:rPr>
          <w:rFonts w:ascii="Arial" w:cs="Arial" w:eastAsia="Arial" w:hAnsi="Arial"/>
          <w:sz w:val="17"/>
          <w:szCs w:val="17"/>
          <w:color w:val="auto"/>
        </w:rPr>
        <w:t>. The only exception to the foregoing is if the CCO affirmatively determines (and documents its determination) that an Employee is not an Access Person and does not need to be subjected to these personal trading policies and procedures, it being expected that the CCO would rarely, if ever, make such a determination.</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Securities Holdings and Transaction Reports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Each Employee must provide to the CCO a current securities holdings report (“</w:t>
      </w:r>
      <w:r>
        <w:rPr>
          <w:rFonts w:ascii="Arial" w:cs="Arial" w:eastAsia="Arial" w:hAnsi="Arial"/>
          <w:sz w:val="18"/>
          <w:szCs w:val="18"/>
          <w:u w:val="single" w:color="auto"/>
          <w:color w:val="auto"/>
        </w:rPr>
        <w:t>Holdings Report</w:t>
      </w:r>
      <w:r>
        <w:rPr>
          <w:rFonts w:ascii="Arial" w:cs="Arial" w:eastAsia="Arial" w:hAnsi="Arial"/>
          <w:sz w:val="18"/>
          <w:szCs w:val="18"/>
          <w:color w:val="auto"/>
        </w:rPr>
        <w:t xml:space="preserve">”) in the form attached hereto as </w:t>
      </w:r>
      <w:r>
        <w:rPr>
          <w:rFonts w:ascii="Arial" w:cs="Arial" w:eastAsia="Arial" w:hAnsi="Arial"/>
          <w:sz w:val="18"/>
          <w:szCs w:val="18"/>
          <w:b w:val="1"/>
          <w:bCs w:val="1"/>
          <w:color w:val="auto"/>
        </w:rPr>
        <w:t>Appendix E-1</w:t>
      </w:r>
      <w:r>
        <w:rPr>
          <w:rFonts w:ascii="Arial" w:cs="Arial" w:eastAsia="Arial" w:hAnsi="Arial"/>
          <w:sz w:val="18"/>
          <w:szCs w:val="18"/>
          <w:color w:val="auto"/>
        </w:rPr>
        <w:t>:</w:t>
      </w:r>
    </w:p>
    <w:p>
      <w:pPr>
        <w:spacing w:after="0" w:line="229" w:lineRule="exact"/>
        <w:rPr>
          <w:sz w:val="20"/>
          <w:szCs w:val="20"/>
          <w:color w:val="auto"/>
        </w:rPr>
      </w:pPr>
    </w:p>
    <w:p>
      <w:pPr>
        <w:ind w:left="980" w:hanging="324"/>
        <w:spacing w:after="0" w:line="277" w:lineRule="auto"/>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existing Employees, within ten days after the effectiveness of this Code of Ethics (unless previously provided with respect to the most recently ended calendar year);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new Employees, no later than ten days after initial employment with the Firm;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4" w:name="page175"/>
    <w:bookmarkEnd w:id="174"/>
    <w:p>
      <w:pPr>
        <w:ind w:right="3880" w:firstLine="656"/>
        <w:spacing w:after="0" w:line="501" w:lineRule="auto"/>
        <w:tabs>
          <w:tab w:leader="none" w:pos="9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case of all Employees, annually not later than 45 days after the end of the fiscal year. Each Holdings Report must set forth:</w:t>
      </w:r>
    </w:p>
    <w:p>
      <w:pPr>
        <w:ind w:left="980" w:hanging="324"/>
        <w:spacing w:after="0" w:line="342" w:lineRule="auto"/>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for each Reportable Security (as defined below) in which the Employee has any direct or indirect beneficial ownership, (i) the title and type of security, (ii) the exchange ticker symbol or CUSIP number (if applicable), and (iii) the number of shares and principal amount of such security;</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each account in which any securities (</w:t>
      </w:r>
      <w:r>
        <w:rPr>
          <w:rFonts w:ascii="Arial" w:cs="Arial" w:eastAsia="Arial" w:hAnsi="Arial"/>
          <w:sz w:val="18"/>
          <w:szCs w:val="18"/>
          <w:u w:val="single" w:color="auto"/>
          <w:color w:val="auto"/>
        </w:rPr>
        <w:t>including securities that are not Reportable Securities</w:t>
      </w:r>
      <w:r>
        <w:rPr>
          <w:rFonts w:ascii="Arial" w:cs="Arial" w:eastAsia="Arial" w:hAnsi="Arial"/>
          <w:sz w:val="18"/>
          <w:szCs w:val="18"/>
          <w:color w:val="auto"/>
        </w:rPr>
        <w:t>) are held for the Employee’s direct or indirect benefit, the name of any broker, dealer or bank with which the employee maintains such account;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date the Employee submits the 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Information in a Holdings Report must be current as of a date no more than 45 days prior to the date the report is submitted. If the Employee (including the Employee’s family members, as applicable) has no holdings to report, then he/she must nevertheless submit a Holdings Report in the form attached hereto as </w:t>
      </w:r>
      <w:r>
        <w:rPr>
          <w:rFonts w:ascii="Arial" w:cs="Arial" w:eastAsia="Arial" w:hAnsi="Arial"/>
          <w:sz w:val="18"/>
          <w:szCs w:val="18"/>
          <w:b w:val="1"/>
          <w:bCs w:val="1"/>
          <w:color w:val="auto"/>
        </w:rPr>
        <w:t xml:space="preserve">Appendix E-1 </w:t>
      </w:r>
      <w:r>
        <w:rPr>
          <w:rFonts w:ascii="Arial" w:cs="Arial" w:eastAsia="Arial" w:hAnsi="Arial"/>
          <w:sz w:val="18"/>
          <w:szCs w:val="18"/>
          <w:color w:val="auto"/>
        </w:rPr>
        <w:t>indicating that they have no reportable holdings.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An Employee may satisfy the requirement that he or she provide certain of the information on a Holdings Report by providing one or more brokerage statements, provided that such brokerage statements set forth all the information that is required to be set forth in the Employee’s Holdings Report. Employees exercising this option must nevertheless submit a Holdings Report each year as provided above. See the form of Holdings Report attached hereto as </w:t>
      </w:r>
      <w:r>
        <w:rPr>
          <w:rFonts w:ascii="Arial" w:cs="Arial" w:eastAsia="Arial" w:hAnsi="Arial"/>
          <w:sz w:val="18"/>
          <w:szCs w:val="18"/>
          <w:b w:val="1"/>
          <w:bCs w:val="1"/>
          <w:color w:val="auto"/>
        </w:rPr>
        <w:t xml:space="preserve">Appendix E-1 </w:t>
      </w:r>
      <w:r>
        <w:rPr>
          <w:rFonts w:ascii="Arial" w:cs="Arial" w:eastAsia="Arial" w:hAnsi="Arial"/>
          <w:sz w:val="18"/>
          <w:szCs w:val="18"/>
          <w:color w:val="auto"/>
        </w:rPr>
        <w:t>for more detail.</w:t>
      </w:r>
    </w:p>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Each Employee must provide to the CCO a quarterly transaction report (“</w:t>
      </w:r>
      <w:r>
        <w:rPr>
          <w:rFonts w:ascii="Arial" w:cs="Arial" w:eastAsia="Arial" w:hAnsi="Arial"/>
          <w:sz w:val="16"/>
          <w:szCs w:val="16"/>
          <w:u w:val="single" w:color="auto"/>
          <w:color w:val="auto"/>
        </w:rPr>
        <w:t>Transaction Report</w:t>
      </w:r>
      <w:r>
        <w:rPr>
          <w:rFonts w:ascii="Arial" w:cs="Arial" w:eastAsia="Arial" w:hAnsi="Arial"/>
          <w:sz w:val="16"/>
          <w:szCs w:val="16"/>
          <w:color w:val="auto"/>
        </w:rPr>
        <w:t xml:space="preserve">”) in the form attached hereto as </w:t>
      </w:r>
      <w:r>
        <w:rPr>
          <w:rFonts w:ascii="Arial" w:cs="Arial" w:eastAsia="Arial" w:hAnsi="Arial"/>
          <w:sz w:val="16"/>
          <w:szCs w:val="16"/>
          <w:b w:val="1"/>
          <w:bCs w:val="1"/>
          <w:color w:val="auto"/>
        </w:rPr>
        <w:t>Appendix E-2</w:t>
      </w:r>
      <w:r>
        <w:rPr>
          <w:rFonts w:ascii="Arial" w:cs="Arial" w:eastAsia="Arial" w:hAnsi="Arial"/>
          <w:sz w:val="16"/>
          <w:szCs w:val="16"/>
          <w:color w:val="auto"/>
        </w:rPr>
        <w:t xml:space="preserve"> within thirty days after the end of each calendar quarter. Each Transaction Report must set forth the following information about each transaction during such calendar quarter involving any Reportable Security in which the Employee had, or as a result of the transaction acquired, any direct or indirect beneficial ownership:</w:t>
      </w:r>
    </w:p>
    <w:p>
      <w:pPr>
        <w:spacing w:after="0" w:line="146" w:lineRule="exact"/>
        <w:rPr>
          <w:sz w:val="20"/>
          <w:szCs w:val="20"/>
          <w:color w:val="auto"/>
        </w:rPr>
      </w:pPr>
    </w:p>
    <w:p>
      <w:pPr>
        <w:ind w:left="980" w:hanging="324"/>
        <w:spacing w:after="0" w:line="277"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date of the transaction, the title and ticker symbol or CUSIP number, interest rate and maturity date, number of shares and the principal amount of each reportable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nature of the transaction (i.e., purchase, sale or any other type of acquisition or disposition);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price of the security at which the transaction was effected;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name of the broker, dealer or bank with or through which the transaction was effected;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date the Employee submits the report.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If the Employee (including the Employee’s family members, as applicable) has no transactions to report, then he/she must nevertheless submit a Transaction Report in the form attached hereto as </w:t>
      </w:r>
      <w:r>
        <w:rPr>
          <w:rFonts w:ascii="Arial" w:cs="Arial" w:eastAsia="Arial" w:hAnsi="Arial"/>
          <w:sz w:val="18"/>
          <w:szCs w:val="18"/>
          <w:b w:val="1"/>
          <w:bCs w:val="1"/>
          <w:color w:val="auto"/>
        </w:rPr>
        <w:t>Appendix E-2</w:t>
      </w:r>
      <w:r>
        <w:rPr>
          <w:rFonts w:ascii="Arial" w:cs="Arial" w:eastAsia="Arial" w:hAnsi="Arial"/>
          <w:sz w:val="18"/>
          <w:szCs w:val="18"/>
          <w:color w:val="auto"/>
        </w:rPr>
        <w:t xml:space="preserve"> indicating that they have no reportable transactions.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5" w:name="page176"/>
    <w:bookmarkEnd w:id="175"/>
    <w:p>
      <w:pPr>
        <w:jc w:val="both"/>
        <w:spacing w:after="0" w:line="259" w:lineRule="auto"/>
        <w:rPr>
          <w:sz w:val="20"/>
          <w:szCs w:val="20"/>
          <w:color w:val="auto"/>
        </w:rPr>
      </w:pPr>
      <w:r>
        <w:rPr>
          <w:rFonts w:ascii="Arial" w:cs="Arial" w:eastAsia="Arial" w:hAnsi="Arial"/>
          <w:sz w:val="18"/>
          <w:szCs w:val="18"/>
          <w:color w:val="auto"/>
        </w:rPr>
        <w:t xml:space="preserve">An Employee may satisfy the requirement that he or she provide certain of the information on a Transaction Report by providing one or more brokerage statements or by providing trade confirmations, provided that such brokerage statements or trade confirmations set forth all the information that is required to be set forth in the Employee’s Transaction Report. Employees exercising this option must nevertheless submit a Transaction Report each quarter as provided above. See the form of Transaction Report attached hereto as </w:t>
      </w:r>
      <w:r>
        <w:rPr>
          <w:rFonts w:ascii="Arial" w:cs="Arial" w:eastAsia="Arial" w:hAnsi="Arial"/>
          <w:sz w:val="18"/>
          <w:szCs w:val="18"/>
          <w:b w:val="1"/>
          <w:bCs w:val="1"/>
          <w:color w:val="auto"/>
        </w:rPr>
        <w:t>Appendix E-2</w:t>
      </w:r>
      <w:r>
        <w:rPr>
          <w:rFonts w:ascii="Arial" w:cs="Arial" w:eastAsia="Arial" w:hAnsi="Arial"/>
          <w:sz w:val="18"/>
          <w:szCs w:val="18"/>
          <w:color w:val="auto"/>
        </w:rPr>
        <w:t xml:space="preserve"> for more detail.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CCO shall review all Holdings and Transaction Reports to ensure compliance with these personal trading policies and procedures.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Firm requests that all Employees have the brokers or other custodians of their securities accounts provide periodic statements and transaction confirmations directly to the CCO. Attached as </w:t>
      </w:r>
      <w:r>
        <w:rPr>
          <w:rFonts w:ascii="Arial" w:cs="Arial" w:eastAsia="Arial" w:hAnsi="Arial"/>
          <w:sz w:val="16"/>
          <w:szCs w:val="16"/>
          <w:b w:val="1"/>
          <w:bCs w:val="1"/>
          <w:color w:val="auto"/>
        </w:rPr>
        <w:t>Appendix E-3</w:t>
      </w:r>
      <w:r>
        <w:rPr>
          <w:rFonts w:ascii="Arial" w:cs="Arial" w:eastAsia="Arial" w:hAnsi="Arial"/>
          <w:sz w:val="16"/>
          <w:szCs w:val="16"/>
          <w:color w:val="auto"/>
        </w:rPr>
        <w:t xml:space="preserve"> is a form of letter to the Firm in which an Employee confirms that it has instructed the broker or other custodian of an account to do so. While not required, the Firm encourages Employees to provide such instructions to their brokers or other custodians and, after doing so with respect to an account, to provide the Firm a letter regarding such account in the form attached as </w:t>
      </w:r>
      <w:r>
        <w:rPr>
          <w:rFonts w:ascii="Arial" w:cs="Arial" w:eastAsia="Arial" w:hAnsi="Arial"/>
          <w:sz w:val="16"/>
          <w:szCs w:val="16"/>
          <w:b w:val="1"/>
          <w:bCs w:val="1"/>
          <w:color w:val="auto"/>
        </w:rPr>
        <w:t>Appendix E-3</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 less frequently than annually, the BDC’s CCO must furnish to its Board, and the Board must consider, a written report that:</w:t>
      </w:r>
    </w:p>
    <w:p>
      <w:pPr>
        <w:spacing w:after="0" w:line="225" w:lineRule="exact"/>
        <w:rPr>
          <w:sz w:val="20"/>
          <w:szCs w:val="20"/>
          <w:color w:val="auto"/>
        </w:rPr>
      </w:pPr>
    </w:p>
    <w:p>
      <w:pPr>
        <w:ind w:left="660" w:hanging="328"/>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describes any issues arising under the Code of Ethics or procedures since the last report to the Board, including but not limited to, information about material violations of the Code of Ethics or procedures and sanctions imposed in response to the material violations;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certifies that the BDC has adopted procedures reasonably necessary to prevent Employees from violating the Code of Ethics.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Security</w:t>
      </w:r>
      <w:r>
        <w:rPr>
          <w:rFonts w:ascii="Arial" w:cs="Arial" w:eastAsia="Arial" w:hAnsi="Arial"/>
          <w:sz w:val="18"/>
          <w:szCs w:val="18"/>
          <w:color w:val="auto"/>
        </w:rPr>
        <w:t xml:space="preserve">” means any and all securities,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for the following exempted securities and transactions:</w:t>
      </w:r>
    </w:p>
    <w:p>
      <w:pPr>
        <w:spacing w:after="0" w:line="225"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 obligations of the government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bankers’ acceptances, bank certificates of deposit, commercial paper and high quality short-term debt instruments, including repurchase agreements;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issued by money market funds;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issued by open-end funds to which none of the Firm or any of its affiliates provide investment advice;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issued by unit investment trusts that are invested exclusively in one or more open-end funds, none of which are funds to which the Firm or any of its affiliates provides investment advice;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Transaction Reports only, securities held in investment accounts over which an employee has no direct or indirect influence or control or pursuant to an automatic investment plan.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6" w:name="page177"/>
    <w:bookmarkEnd w:id="176"/>
    <w:p>
      <w:pPr>
        <w:ind w:left="1300"/>
        <w:spacing w:after="0"/>
        <w:tabs>
          <w:tab w:leader="none" w:pos="19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Pre-Approval of Certain Transactions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Rule 204A-1 under the Investment Advisers Act and Rule 17j-1 under the Investment Company Act requires that Access Persons of an investment adviser obtain pre-approval of the adviser before participating in an initial public offering or a limited securities offering. In furtherance of the foregoing, and in furtherance of the Firm’s policies regarding insider trading, it is the policy of the Firm that all Employees obtain the prior approval from the CCO before:</w:t>
      </w:r>
    </w:p>
    <w:p>
      <w:pPr>
        <w:spacing w:after="0" w:line="147" w:lineRule="exact"/>
        <w:rPr>
          <w:sz w:val="20"/>
          <w:szCs w:val="20"/>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purchasing or selling the securities of any company set forth on the Restricted List (as defined below);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acquiring any securities in an initial public offering;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purchasing securities in a Limited Offering (as defined below, and generally including any private placement).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Offering</w:t>
      </w:r>
      <w:r>
        <w:rPr>
          <w:rFonts w:ascii="Arial" w:cs="Arial" w:eastAsia="Arial" w:hAnsi="Arial"/>
          <w:sz w:val="18"/>
          <w:szCs w:val="18"/>
          <w:color w:val="auto"/>
        </w:rPr>
        <w:t>” means any offering that is exempt from registration under Section 4(2) or 4(6) of the Securities Act or Regulation D thereunder and includes, but is not limited to, offerings of interests in hedge, venture capital and other types of funds, start-up and other privately held companies, and real estate investment partnerships.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Prior approval shall be sought by submitting to the CCO an approval request setting forth the details of the proposed transaction, in the form attached hereto as </w:t>
      </w:r>
      <w:r>
        <w:rPr>
          <w:rFonts w:ascii="Arial" w:cs="Arial" w:eastAsia="Arial" w:hAnsi="Arial"/>
          <w:sz w:val="18"/>
          <w:szCs w:val="18"/>
          <w:b w:val="1"/>
          <w:bCs w:val="1"/>
          <w:color w:val="auto"/>
        </w:rPr>
        <w:t>Appendix E-4</w:t>
      </w:r>
      <w:r>
        <w:rPr>
          <w:rFonts w:ascii="Arial" w:cs="Arial" w:eastAsia="Arial" w:hAnsi="Arial"/>
          <w:sz w:val="18"/>
          <w:szCs w:val="18"/>
          <w:color w:val="auto"/>
        </w:rPr>
        <w:t xml:space="preserve"> or in such other form as to which the CCO may prescribe or agree. Employees shall provide such additional detail as may be requested by the CCO or else not participate in the proposed transaction. Purchases will be approved by the CCO only when the CCO believes such purchases and sales are not in conflict with the holdings and best interests of the Firm or any Client of the Firm. In considering such pre-clearance, the CCO or his or her designee will consider whether the opportunity is being offered to the Employee by virtue of his or her position with the Firm. Employees who have acquired securities in a Limited Offering are required to disclose such investment to the Firm when they participate in any Client’s subsequent consideration of an investment in the issuer.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Employee should purchase a security held or being considered for investment by a Client.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7" w:name="page178"/>
    <w:bookmarkEnd w:id="177"/>
    <w:p>
      <w:pPr>
        <w:ind w:left="1300"/>
        <w:spacing w:after="0"/>
        <w:tabs>
          <w:tab w:leader="none" w:pos="19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u w:val="single" w:color="auto"/>
          <w:color w:val="auto"/>
        </w:rPr>
        <w:t>Prohibited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General Prohibition</w:t>
      </w:r>
      <w:r>
        <w:rPr>
          <w:rFonts w:ascii="Arial" w:cs="Arial" w:eastAsia="Arial" w:hAnsi="Arial"/>
          <w:sz w:val="18"/>
          <w:szCs w:val="18"/>
          <w:color w:val="auto"/>
        </w:rPr>
        <w:t>. No Access Person shall purchase or sell, directly or indirectly, any Covered Security in which he or she has, or by reason of such transaction acquires, any direct or indirect Beneficial Ownership and which such Access Person knows or should have known at the time of such purchase or sale is being considered for purchase or sale by the Company or its advisory clients, or is held in the portfolio of the Company unless such Access Person shall have obtained prior written approval for such purpose from the Designated Officer.</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Access Person who becomes aware that the Company is considering the purchase or sale of, or the recommendation to an advisory client of the purchase or sale of, any Covered Security by any person must immediately notify the Designated Officer of any interest that such Access Person may have in any outstanding Covered Securities of the issuer thereof. An Access Person shall similarly notify the Designated Officer of any other interest or connection that such Access Person might have in or with such issuer. Once an Access Person becomes aware that the Company is considering or recommending the purchase or sale of a Covered Security or that the Company or an advisory client holds a Covered Security in its portfolio, such Access Person may not engage, without prior approval of the Designated Officer, in any transaction in any Covered Securities of that issuer. The foregoing notifications or permission may be provided verbally, but should be confirmed in writing as soon and with as much detail as possible.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Initial Public Offerings and Limited Offerings</w:t>
      </w:r>
      <w:r>
        <w:rPr>
          <w:rFonts w:ascii="Arial" w:cs="Arial" w:eastAsia="Arial" w:hAnsi="Arial"/>
          <w:sz w:val="18"/>
          <w:szCs w:val="18"/>
          <w:color w:val="auto"/>
        </w:rPr>
        <w:t>. Investment Personnel of the Company must obtain approval from the Company before directly or indirectly acquiring Beneficial Ownership in any securities in an Initial Public Offering or in a Limited Offering.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No Investment Personnel shall execute a securities transaction in any security that the Company or an advisory client owns or is considering or recommending for purchase or sale.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Company Acquisition of Shares in Companies that Investment Personnel Hold Through Limited Offerings</w:t>
      </w:r>
      <w:r>
        <w:rPr>
          <w:rFonts w:ascii="Arial" w:cs="Arial" w:eastAsia="Arial" w:hAnsi="Arial"/>
          <w:sz w:val="18"/>
          <w:szCs w:val="18"/>
          <w:color w:val="auto"/>
        </w:rPr>
        <w:t>. Investment Personnel who have been authorized to acquire securities in a Limited Offering must disclose that investment to the Designated Officer when they are involved in the Company’s subsequent consideration of an investment in the issuer, and the Company’s decision to purchase such securities must be independently reviewed by Investment Personnel with no personal interest in that issuer.</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u w:val="single" w:color="auto"/>
          <w:color w:val="auto"/>
        </w:rPr>
        <w:t>Gifts</w:t>
      </w:r>
      <w:r>
        <w:rPr>
          <w:rFonts w:ascii="Arial" w:cs="Arial" w:eastAsia="Arial" w:hAnsi="Arial"/>
          <w:sz w:val="16"/>
          <w:szCs w:val="16"/>
          <w:color w:val="auto"/>
        </w:rPr>
        <w:t xml:space="preserve">. Generally, no Access Person may accept, directly or indirectly, any gift, favor, or service of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value (</w:t>
      </w:r>
      <w:r>
        <w:rPr>
          <w:rFonts w:ascii="Arial" w:cs="Arial" w:eastAsia="Arial" w:hAnsi="Arial"/>
          <w:sz w:val="16"/>
          <w:szCs w:val="16"/>
          <w:i w:val="1"/>
          <w:iCs w:val="1"/>
          <w:color w:val="auto"/>
        </w:rPr>
        <w:t>e.g.</w:t>
      </w:r>
      <w:r>
        <w:rPr>
          <w:rFonts w:ascii="Arial" w:cs="Arial" w:eastAsia="Arial" w:hAnsi="Arial"/>
          <w:sz w:val="16"/>
          <w:szCs w:val="16"/>
          <w:color w:val="auto"/>
        </w:rPr>
        <w:t>, $500) from any person with whom he or she transacts business on behalf of the Company or any advisory client. Please refer to our Code of Business Conduct and Ethics.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Service as Director</w:t>
      </w:r>
      <w:r>
        <w:rPr>
          <w:rFonts w:ascii="Arial" w:cs="Arial" w:eastAsia="Arial" w:hAnsi="Arial"/>
          <w:sz w:val="18"/>
          <w:szCs w:val="18"/>
          <w:color w:val="auto"/>
        </w:rPr>
        <w:t>. No Access Person shall serve on the board of directors of a portfolio company of the Company without prior written authorization of the Designated Officer based upon a determination that the board service would be consistent with the interests of the Company and its shareholders and any advisory clients.</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u w:val="single" w:color="auto"/>
          <w:color w:val="auto"/>
        </w:rPr>
        <w:t>Restricted List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Firm will maintain a list (the “</w:t>
      </w:r>
      <w:r>
        <w:rPr>
          <w:rFonts w:ascii="Arial" w:cs="Arial" w:eastAsia="Arial" w:hAnsi="Arial"/>
          <w:sz w:val="18"/>
          <w:szCs w:val="18"/>
          <w:u w:val="single" w:color="auto"/>
          <w:color w:val="auto"/>
        </w:rPr>
        <w:t>Restricted List</w:t>
      </w:r>
      <w:r>
        <w:rPr>
          <w:rFonts w:ascii="Arial" w:cs="Arial" w:eastAsia="Arial" w:hAnsi="Arial"/>
          <w:sz w:val="18"/>
          <w:szCs w:val="18"/>
          <w:color w:val="auto"/>
        </w:rPr>
        <w:t xml:space="preserve">”) identifying companies about which the Firm has material non-public information or as to which the Firm otherwise desires that employees (and in some cases, the Client) not engage in, or obtain prior approval for, securities transactions. Employees shall obtain prior approval as specified above, using the form attached hereto as </w:t>
      </w:r>
      <w:r>
        <w:rPr>
          <w:rFonts w:ascii="Arial" w:cs="Arial" w:eastAsia="Arial" w:hAnsi="Arial"/>
          <w:sz w:val="18"/>
          <w:szCs w:val="18"/>
          <w:b w:val="1"/>
          <w:bCs w:val="1"/>
          <w:color w:val="auto"/>
        </w:rPr>
        <w:t>Appendix E-4</w:t>
      </w:r>
      <w:r>
        <w:rPr>
          <w:rFonts w:ascii="Arial" w:cs="Arial" w:eastAsia="Arial" w:hAnsi="Arial"/>
          <w:sz w:val="18"/>
          <w:szCs w:val="18"/>
          <w:color w:val="auto"/>
        </w:rPr>
        <w:t>, prior to engaging in any transaction involving the securities of any company set forth on the Restricted List.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8" w:name="page179"/>
    <w:bookmarkEnd w:id="178"/>
    <w:p>
      <w:pPr>
        <w:jc w:val="both"/>
        <w:spacing w:after="0" w:line="272" w:lineRule="auto"/>
        <w:rPr>
          <w:sz w:val="20"/>
          <w:szCs w:val="20"/>
          <w:color w:val="auto"/>
        </w:rPr>
      </w:pPr>
      <w:r>
        <w:rPr>
          <w:rFonts w:ascii="Arial" w:cs="Arial" w:eastAsia="Arial" w:hAnsi="Arial"/>
          <w:sz w:val="17"/>
          <w:szCs w:val="17"/>
          <w:color w:val="auto"/>
        </w:rPr>
        <w:t>Maintenance of the Restricted List shall primarily be the responsibility of the CCO, but all employees share responsibility for ensuring that the Restricted List includes companies about which the Firm has material non-public information and companies falling within such other categories as the CCO may determine need to be set forth on the Restricted List. Such categories may include, for example, companies with which the Firm has entered into confidentiality agreements protecting the other companies’ confidential information, prospective portfolio companies under active consideration for investment by the Firm for a Client, and companies considering enter material transactions with Portfolio Companies. Employees who receive, intend to receive, or reasonably expect to receive material, non-public information about a company are required to promptly report this fact to the CCO so that the company can be added to the Restricted List unless they know such company already to be on the Restricted List.</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Companies included on the Restricted List must not be discussed with persons outside the Firm without the prior consent of the CCO. When a company is placed on the Restricted List, no employee may trade in the securities or other instruments of the company absent authorization from the CCO (which except in rare cases will be denied) until that company is removed from the Restricted List. In addition, no employee of the Firm may recommend trading in such company, or otherwise disclose material nonpublic information, to </w:t>
      </w:r>
      <w:r>
        <w:rPr>
          <w:rFonts w:ascii="Arial" w:cs="Arial" w:eastAsia="Arial" w:hAnsi="Arial"/>
          <w:sz w:val="17"/>
          <w:szCs w:val="17"/>
          <w:u w:val="single" w:color="auto"/>
          <w:color w:val="auto"/>
        </w:rPr>
        <w:t>anyone</w:t>
      </w:r>
      <w:r>
        <w:rPr>
          <w:rFonts w:ascii="Arial" w:cs="Arial" w:eastAsia="Arial" w:hAnsi="Arial"/>
          <w:sz w:val="17"/>
          <w:szCs w:val="17"/>
          <w:color w:val="auto"/>
        </w:rPr>
        <w:t xml:space="preserve">. The Restricted List is a </w:t>
      </w:r>
      <w:r>
        <w:rPr>
          <w:rFonts w:ascii="Arial" w:cs="Arial" w:eastAsia="Arial" w:hAnsi="Arial"/>
          <w:sz w:val="17"/>
          <w:szCs w:val="17"/>
          <w:u w:val="single" w:color="auto"/>
          <w:color w:val="auto"/>
        </w:rPr>
        <w:t>highly confidential</w:t>
      </w:r>
      <w:r>
        <w:rPr>
          <w:rFonts w:ascii="Arial" w:cs="Arial" w:eastAsia="Arial" w:hAnsi="Arial"/>
          <w:sz w:val="17"/>
          <w:szCs w:val="17"/>
          <w:color w:val="auto"/>
        </w:rPr>
        <w:t xml:space="preserve"> list of companies that is maintained in the possession of the CCO, and its contents must not be communicated directly or indirectly to anyone outside the Firm.</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Restricted List will be periodically reviewed by the CCO, with such Employee assistance as the CCO deems necessary, to ensure the appropriateness of companies on the list and whether or not any companies need to be added or deleted.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Insider Trading</w:t>
      </w:r>
    </w:p>
    <w:p>
      <w:pPr>
        <w:spacing w:after="0" w:line="22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u w:val="single" w:color="auto"/>
          <w:color w:val="auto"/>
        </w:rPr>
        <w:t>Legal Background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Employees of the Firm, in the conduct of their investment responsibilities, may occasionally obtain material non-public information about securities or financial instruments or the issuers thereof. Such information may not be acted upon by an employee for his or her benefit or for the benefit of the Firm or others. The Firm strictly prohibits an employee from buying, selling, recommending or otherwise transacting in or leading or causing others to transact in any security where such employee possesses or is deemed to possess material non-public information relevant to such security. Prohibited actions include, but are not limited to, actual trading, tipping, front running and scalping. The Firm’s Insider Trading Policy and Procedures are attached to its Joint Compliance Manual as </w:t>
      </w:r>
      <w:r>
        <w:rPr>
          <w:rFonts w:ascii="Arial" w:cs="Arial" w:eastAsia="Arial" w:hAnsi="Arial"/>
          <w:sz w:val="18"/>
          <w:szCs w:val="18"/>
          <w:b w:val="1"/>
          <w:bCs w:val="1"/>
          <w:color w:val="auto"/>
        </w:rPr>
        <w:t>Appendix T</w:t>
      </w:r>
      <w:r>
        <w:rPr>
          <w:rFonts w:ascii="Arial" w:cs="Arial" w:eastAsia="Arial" w:hAnsi="Arial"/>
          <w:sz w:val="18"/>
          <w:szCs w:val="18"/>
          <w:color w:val="auto"/>
        </w:rPr>
        <w:t>.</w:t>
      </w:r>
    </w:p>
    <w:p>
      <w:pPr>
        <w:spacing w:after="0" w:line="19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u w:val="single" w:color="auto"/>
          <w:color w:val="auto"/>
        </w:rPr>
        <w:t>Firm Procedures for Preventing the Misuse of Material, Nonpublic Information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Firm’s policy requires stringent avoidance of the misuse of inside information. Accordingly, the following procedures, which are designed to prevent such misuse, are to be followed by all Employees:</w:t>
      </w:r>
    </w:p>
    <w:p>
      <w:pPr>
        <w:spacing w:after="0" w:line="170" w:lineRule="exact"/>
        <w:rPr>
          <w:sz w:val="20"/>
          <w:szCs w:val="20"/>
          <w:color w:val="auto"/>
        </w:rPr>
      </w:pPr>
    </w:p>
    <w:p>
      <w:pPr>
        <w:ind w:left="980" w:hanging="324"/>
        <w:spacing w:after="0" w:line="277"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Those in possession of material, nonpublic information must preserve the confidentiality of such information and abstain from trading until the inside information is disclosed and made public.</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Given the potentially severe consequences to the Firm and its personnel of a wrong decision, any Employee who is uncertain as to whether any information he or she possesses is material “inside” information must contact the CCO for advice rather than relying on his or her own judgment or interpretation.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9" w:name="page180"/>
    <w:bookmarkEnd w:id="179"/>
    <w:p>
      <w:pPr>
        <w:ind w:left="980" w:hanging="324"/>
        <w:spacing w:after="0" w:line="277"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CCO must make a determination that material “inside” information has become public, and only then will trading in the affected securities be authorized.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Employee, while in possession of material inside information relevant to a security of a company, shall purchase or sell, or recommend or direct the purchase or sale of any securities issued by that company.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Employee shall use material inside information to purchase or sell securities for his or her own account, or for any account in which he or she has a beneficial interest.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CCO or his designee will periodically review Employee trades for evidence of insider trading and will investigate suspected inside trades.</w:t>
      </w:r>
    </w:p>
    <w:p>
      <w:pPr>
        <w:spacing w:after="0" w:line="248"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Inside information shall only be discussed within the Firm and then only on a need-to-know basis. No employee of the Firm shall disclose inside information concerning any company to any person outside the Firm, except in the ordinary course of his or her duties for the Firm or its affiliates or otherwise with the authorization of the CCO.</w:t>
      </w:r>
    </w:p>
    <w:p>
      <w:pPr>
        <w:spacing w:after="0" w:line="181" w:lineRule="exact"/>
        <w:rPr>
          <w:rFonts w:ascii="Arial" w:cs="Arial" w:eastAsia="Arial" w:hAnsi="Arial"/>
          <w:sz w:val="18"/>
          <w:szCs w:val="18"/>
          <w:color w:val="auto"/>
        </w:rPr>
      </w:pPr>
    </w:p>
    <w:p>
      <w:pPr>
        <w:jc w:val="both"/>
        <w:ind w:left="980" w:hanging="324"/>
        <w:spacing w:after="0" w:line="312" w:lineRule="auto"/>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an Employee obtains information that the Employee believes may be material, nonpublic information, the Employee must immediately notify the CCO of the information. If the CCO determines that the information constitutes material, nonpublic information that might expose the Firm or any of its affiliates to liability for “insider trading,” the company to which the information relates will be placed on the Restricted List.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inside information is later disclosed to the general public, any employee in possession of inside information must allow sufficient time (as determined by the CCO) to elapse for the investing public to assimilate and evaluate the information before taking any action for his or her personal account on the basis of the disclosed facts. These prohibitions apply not only to the securities of the issuers to which the inside information is directly related but also to any other securities (for example, securities of companies in the same industry) that may reasonably be expected to be affected by the public disclosure of the inside information.</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color w:val="auto"/>
        </w:rPr>
        <w:t>Gifts and Entertainment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business entertainment and gifts in a commercial setting is to create goodwill and sound working relationships to better serve the Firm and its Clients and investors, not for personal gain or to gain an unfair business advantage. In providing or accepting gifts or entertainment, Employees of the Firm must abide by the following principles:</w:t>
      </w:r>
    </w:p>
    <w:p>
      <w:pPr>
        <w:spacing w:after="0" w:line="181" w:lineRule="exact"/>
        <w:rPr>
          <w:sz w:val="20"/>
          <w:szCs w:val="20"/>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Employees should not provide or accept any gift or participate in any entertainment activity that would reflect poorly on the Firm.</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Gifts and entertainment must comply with all applicable laws, including laws regarding interactions with representatives of governmental entities.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0" w:name="page181"/>
    <w:bookmarkEnd w:id="180"/>
    <w:p>
      <w:pPr>
        <w:ind w:left="980" w:hanging="324"/>
        <w:spacing w:after="0" w:line="277"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Gifts and entertainment should be reasonable and not overly frequent, lavish or extravagant in nature, as compared to similar activities within the industry.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Gifts and entertainment should be for a valid business purpose, provide an opportunity for a meaningful business conversation, or be considered usual or customary for the industry and circumstances at hand.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gift or entertainment should ever be offered or accepted by an Employee or any family member of an Employee unless it is consistent with customary business practices and cannot be construed as a bribe or payoff.</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offer or acceptance of cash gifts by any Employee is prohibited. Employees should discuss with the CCO any gifts or proposed gifts that they think may be inappropriate.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Gifts and entertainment provided by employees in connection with the business of the Firm with a value in excess of $500.00 must, if reasonably practical, be approved in advance by the CCO, and must in any event be reported in writing to the CCO after the fact. Gifts and entertainment accepted by employees in connection with the business of the Firm with a value in excess of $500.00 must be reported in writing to the CCO. Employees should use common sense in estimating the value of gifts and entertainment they receive and in determining whether and when gifts should be aggregated for purposes of the foregoing, erring on the side of aggregation. For example, the entire cost of attending a sporting event (tickets, parking, concessions, etc.) would typically be considered a single item. All gifts shall be reflected in a gift log, containing a basic description of the gift, a good faith estimate of the value of the gift and a description of its disposition (i.e. given, accepted, rejected, returned to sender, etc.). Attached as </w:t>
      </w:r>
      <w:r>
        <w:rPr>
          <w:rFonts w:ascii="Arial" w:cs="Arial" w:eastAsia="Arial" w:hAnsi="Arial"/>
          <w:sz w:val="17"/>
          <w:szCs w:val="17"/>
          <w:b w:val="1"/>
          <w:bCs w:val="1"/>
          <w:color w:val="auto"/>
        </w:rPr>
        <w:t>Appendix E-5</w:t>
      </w:r>
      <w:r>
        <w:rPr>
          <w:rFonts w:ascii="Arial" w:cs="Arial" w:eastAsia="Arial" w:hAnsi="Arial"/>
          <w:sz w:val="17"/>
          <w:szCs w:val="17"/>
          <w:color w:val="auto"/>
        </w:rPr>
        <w:t xml:space="preserve"> to this Code of Ethics is a form for requesting approval for, and for reporting, gifts and entertainment with a value in excess of $500.00.</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b w:val="1"/>
          <w:bCs w:val="1"/>
          <w:color w:val="auto"/>
        </w:rPr>
        <w:t>General Provisions</w:t>
      </w:r>
    </w:p>
    <w:p>
      <w:pPr>
        <w:spacing w:after="0" w:line="22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Violations of this Code of Ethics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Employees shall promptly report any known or suspected violations of this Code of Ethics, or any known or suspected illegal or unethical behavior, to the CCO. All reports will be treated confidentially to the extent permitted by law and investigated promptly. No retaliatory action of any kind will be permitted against anyone making such a report in good faith, and the CCO will strictly enforce this prohibition.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of failure by any employee to comply with the provisions of this Code of Ethics or applicable Securities Laws, the Firm may impose disciplinary action as deemed appropriate by the CCO in consultation with the CEO. If the CCO determines that this Code of Ethics has been violated, including by failure to report a violation or the withholding of information related to a violation, the offending Employee may be disciplined for non-compliance with penalties up to and including removal from office or dismissal. Such penalties may include written notices to the individual involved and suspension with or without pay or benefits. Violations of this Code of Ethics may also constitute violations of law and may result in criminal penalties and civil liabilities for the offending Employee and the Firm. All Employees must cooperate in internal investigations of misconduct.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1" w:name="page182"/>
    <w:bookmarkEnd w:id="181"/>
    <w:p>
      <w:pPr>
        <w:ind w:left="1300"/>
        <w:spacing w:after="0"/>
        <w:tabs>
          <w:tab w:leader="none" w:pos="19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Educating Employees about the Code of Ethics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CCO shall:</w:t>
      </w:r>
    </w:p>
    <w:p>
      <w:pPr>
        <w:spacing w:after="0" w:line="225" w:lineRule="exact"/>
        <w:rPr>
          <w:sz w:val="20"/>
          <w:szCs w:val="20"/>
          <w:color w:val="auto"/>
        </w:rPr>
      </w:pPr>
    </w:p>
    <w:p>
      <w:pPr>
        <w:ind w:left="980" w:hanging="324"/>
        <w:spacing w:after="0" w:line="277"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Provide each Employee a copy of this Code of Ethics, including any amendments hereto, and inform them of their duties and obligations thereunder.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Supervise, along with the CCO, the implementation of this Code of Ethics;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Administer and maintain annual Code of Ethics acknowledgements as specified below.</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u w:val="single" w:color="auto"/>
          <w:color w:val="auto"/>
        </w:rPr>
        <w:t>Acknowledgement of Receipt of this Code of Ethics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Each employee of the Firm will be required, initially upon his or her employment or the applicability of this Code of Ethics and annually thereafter, and promptly upon any amendment to this Code of Ethics, to acknowledge receipt of this Code of Ethics and to certify that he or she has read and understands and agrees to comply, and has complied, with this Code of Ethics. Such acknowledgements may be contained within other acknowledgements pertaining to this Code of Ethics, it being intended that the Initial and Annual Forms of Certification of Receipt and Compliance attached to the Firm’s Joint Compliance Manual as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and covering other areas of the Firm’s Joint Compliance Manual of which this Code of Ethics is a part will serve this purpose. Such certifications shall be delivered to the CCO or his or her designee. If an Employee is unable to make any representation or other statement contained in any such certification, the Employee shall report to the CCO in writing the reasons why and the CCO will document such reasons and determine the appropriate course of action, which may include remedying the situation, agreeing to an alternate appropriate form of certification, or such other course of action as may be determined by the CCO.</w:t>
      </w:r>
    </w:p>
    <w:p>
      <w:pPr>
        <w:spacing w:after="0" w:line="18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u w:val="single" w:color="auto"/>
          <w:color w:val="auto"/>
        </w:rPr>
        <w:t>Recordkeeping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Rule 204-2(a)(12) and (13) of the Investment Advisers Act requires advisors to keep copies of certain records relating to its Code of Ethics. In accordance therewith, the CCO shall maintain or cause to be maintained in an easily accessible place, the following records:</w:t>
      </w:r>
    </w:p>
    <w:p>
      <w:pPr>
        <w:spacing w:after="0" w:line="170" w:lineRule="exact"/>
        <w:rPr>
          <w:sz w:val="20"/>
          <w:szCs w:val="20"/>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copy of all Codes of Ethics and relevant Firm policies and procedures in effect within the 5 years preceding the then-current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record of any violation of the Code of Ethics and of any action taken as a result of such violation;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list of all persons who are, or within the 5 years preceding the then-current date have been, required to make reports pursuant to this Code of Ethics, or who were responsible for reviewing these reports;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copy of all written acknowledgements certifying receipt of this Code of Ethics for all employees who currently are, or within the 5 years preceding the then-current date were, employees;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record of all personal trading by Employees of the Firm, consisting a copy of all Holdings and Transactions Reports submitted within the 5 years preceding the then-current date and any decisions approving the acquisition of securities in initial public offerings or Limited Offerings and any other securities transactions requiring approval hereunder;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2" w:name="page183"/>
    <w:bookmarkEnd w:id="182"/>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Record of approval in connection with any pre-clearance process under this Code of Ethics.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less frequently than annually, the Corporation must furnish to the Board, and the Board must consider, a corporation written report that (a) describes any issues arising under the Code or procedures since the last report to the Board, including but not limited to, information about material violations of the Code or procedures and sanctions imposed in response to the material violations; and (b) certifies that the Corporation has adopted procedures reasonably necessary to prevent Access Persons from violating the Code.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u w:val="single" w:color="auto"/>
          <w:color w:val="auto"/>
        </w:rPr>
        <w:t>Disclaimer of Beneficial Ownership</w:t>
      </w:r>
      <w:r>
        <w:rPr>
          <w:rFonts w:ascii="Arial" w:cs="Arial" w:eastAsia="Arial" w:hAnsi="Arial"/>
          <w:sz w:val="18"/>
          <w:szCs w:val="18"/>
          <w:color w:val="auto"/>
        </w:rPr>
        <w:t xml:space="preserve">. Any report required under this </w:t>
      </w:r>
      <w:r>
        <w:rPr>
          <w:rFonts w:ascii="Arial" w:cs="Arial" w:eastAsia="Arial" w:hAnsi="Arial"/>
          <w:sz w:val="18"/>
          <w:szCs w:val="18"/>
          <w:b w:val="1"/>
          <w:bCs w:val="1"/>
          <w:color w:val="auto"/>
        </w:rPr>
        <w:t>Section 1.7</w:t>
      </w:r>
      <w:r>
        <w:rPr>
          <w:rFonts w:ascii="Arial" w:cs="Arial" w:eastAsia="Arial" w:hAnsi="Arial"/>
          <w:sz w:val="18"/>
          <w:szCs w:val="18"/>
          <w:color w:val="auto"/>
        </w:rPr>
        <w:t xml:space="preserve"> may contain a statement that the report shall not be construed as an admission by the person submitting such duplicate confirmation or account statement or making such report that he or she has any direct or indirect beneficial ownership in the Covered Security to which the report relates.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reports required to be submitted under this Section IV shall be delivered to the Designated Officer. The Designated Officer shall review such reports to determine whether any transactions recorded therein constitute a violation of the Code. Before making any determination that a violation has been committed by any Access Person, such Access Person shall be given an opportunity to supply additional explanatory material. The Designated Officer of the Corporation shall maintain copies of its Access Persons’ reports as required by Rule 17j-1(f) of the 1940 Act.</w:t>
      </w:r>
    </w:p>
    <w:p>
      <w:pPr>
        <w:spacing w:after="0" w:line="17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u w:val="single" w:color="auto"/>
          <w:color w:val="auto"/>
        </w:rPr>
        <w:t>Obligation to Report a Violation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Every Access Person who becomes aware of a violation of this Code by any person must report it to the Designated Officer, who shall report it to appropriate management personnel. The management personnel will take such disciplinary action that they consider appropriate under the circumstances. In the case of officers or other employees of the Company, such action may include removal from office. If the management personnel consider disciplinary action against any person, they will cause notice thereof to be given to that person and provide to that person the opportunity to be heard. The Board will be notified, in a timely manner, of remedial action taken with respect to violations of the Code.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color w:val="auto"/>
        </w:rPr>
        <w:t>APPENDIX E-1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Securities Holdings Report</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80" w:type="dxa"/>
            <w:vAlign w:val="bottom"/>
            <w:gridSpan w:val="3"/>
          </w:tcPr>
          <w:p>
            <w:pPr>
              <w:jc w:val="center"/>
              <w:ind w:right="4860"/>
              <w:spacing w:after="0"/>
              <w:rPr>
                <w:sz w:val="20"/>
                <w:szCs w:val="20"/>
                <w:color w:val="auto"/>
              </w:rPr>
            </w:pPr>
            <w:r>
              <w:rPr>
                <w:rFonts w:ascii="Arial" w:cs="Arial" w:eastAsia="Arial" w:hAnsi="Arial"/>
                <w:sz w:val="18"/>
                <w:szCs w:val="18"/>
                <w:b w:val="1"/>
                <w:bCs w:val="1"/>
                <w:color w:val="auto"/>
                <w:w w:val="99"/>
              </w:rPr>
              <w:t>CAPITALA GROUP</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20" w:type="dxa"/>
            <w:vAlign w:val="bottom"/>
            <w:gridSpan w:val="4"/>
          </w:tcPr>
          <w:p>
            <w:pPr>
              <w:jc w:val="center"/>
              <w:ind w:right="4220"/>
              <w:spacing w:after="0"/>
              <w:rPr>
                <w:sz w:val="20"/>
                <w:szCs w:val="20"/>
                <w:color w:val="auto"/>
              </w:rPr>
            </w:pPr>
            <w:r>
              <w:rPr>
                <w:rFonts w:ascii="Arial" w:cs="Arial" w:eastAsia="Arial" w:hAnsi="Arial"/>
                <w:sz w:val="18"/>
                <w:szCs w:val="18"/>
                <w:b w:val="1"/>
                <w:bCs w:val="1"/>
                <w:color w:val="auto"/>
              </w:rPr>
              <w:t>SECURITIES HOLDINGS REPORT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340" w:type="dxa"/>
            <w:vAlign w:val="bottom"/>
          </w:tcPr>
          <w:p>
            <w:pPr>
              <w:jc w:val="right"/>
              <w:ind w:right="210"/>
              <w:spacing w:after="0"/>
              <w:rPr>
                <w:sz w:val="20"/>
                <w:szCs w:val="20"/>
                <w:color w:val="auto"/>
              </w:rPr>
            </w:pPr>
            <w:r>
              <w:rPr>
                <w:rFonts w:ascii="Arial" w:cs="Arial" w:eastAsia="Arial" w:hAnsi="Arial"/>
                <w:sz w:val="18"/>
                <w:szCs w:val="18"/>
                <w:color w:val="auto"/>
                <w:w w:val="94"/>
              </w:rPr>
              <w:t>________________________________</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60" w:type="dxa"/>
            <w:vAlign w:val="bottom"/>
            <w:gridSpan w:val="2"/>
          </w:tcPr>
          <w:p>
            <w:pPr>
              <w:ind w:left="560"/>
              <w:spacing w:after="0"/>
              <w:rPr>
                <w:sz w:val="20"/>
                <w:szCs w:val="20"/>
                <w:color w:val="auto"/>
              </w:rPr>
            </w:pPr>
            <w:r>
              <w:rPr>
                <w:rFonts w:ascii="Arial" w:cs="Arial" w:eastAsia="Arial" w:hAnsi="Arial"/>
                <w:sz w:val="18"/>
                <w:szCs w:val="18"/>
                <w:color w:val="auto"/>
              </w:rPr>
              <w:t>Date of Submission: __________________</w:t>
            </w:r>
          </w:p>
        </w:tc>
        <w:tc>
          <w:tcPr>
            <w:tcW w:w="0" w:type="dxa"/>
            <w:vAlign w:val="bottom"/>
          </w:tcPr>
          <w:p>
            <w:pPr>
              <w:spacing w:after="0"/>
              <w:rPr>
                <w:sz w:val="1"/>
                <w:szCs w:val="1"/>
                <w:color w:val="auto"/>
              </w:rPr>
            </w:pPr>
          </w:p>
        </w:tc>
      </w:tr>
      <w:tr>
        <w:trPr>
          <w:trHeight w:val="441"/>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340" w:type="dxa"/>
            <w:vAlign w:val="bottom"/>
          </w:tcPr>
          <w:p>
            <w:pPr>
              <w:jc w:val="right"/>
              <w:ind w:right="210"/>
              <w:spacing w:after="0"/>
              <w:rPr>
                <w:sz w:val="20"/>
                <w:szCs w:val="20"/>
                <w:color w:val="auto"/>
              </w:rPr>
            </w:pPr>
            <w:r>
              <w:rPr>
                <w:rFonts w:ascii="Arial" w:cs="Arial" w:eastAsia="Arial" w:hAnsi="Arial"/>
                <w:sz w:val="18"/>
                <w:szCs w:val="18"/>
                <w:color w:val="auto"/>
                <w:w w:val="94"/>
              </w:rPr>
              <w:t>________________________________</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60" w:type="dxa"/>
            <w:vAlign w:val="bottom"/>
            <w:gridSpan w:val="2"/>
          </w:tcPr>
          <w:p>
            <w:pPr>
              <w:ind w:left="560"/>
              <w:spacing w:after="0"/>
              <w:rPr>
                <w:sz w:val="20"/>
                <w:szCs w:val="20"/>
                <w:color w:val="auto"/>
              </w:rPr>
            </w:pPr>
            <w:r>
              <w:rPr>
                <w:rFonts w:ascii="Arial" w:cs="Arial" w:eastAsia="Arial" w:hAnsi="Arial"/>
                <w:sz w:val="18"/>
                <w:szCs w:val="18"/>
                <w:b w:val="1"/>
                <w:bCs w:val="1"/>
                <w:color w:val="auto"/>
                <w:w w:val="89"/>
              </w:rPr>
              <w:t>Information must be current as of no more than 45 days</w:t>
            </w:r>
          </w:p>
        </w:tc>
        <w:tc>
          <w:tcPr>
            <w:tcW w:w="0" w:type="dxa"/>
            <w:vAlign w:val="bottom"/>
          </w:tcPr>
          <w:p>
            <w:pPr>
              <w:spacing w:after="0"/>
              <w:rPr>
                <w:sz w:val="1"/>
                <w:szCs w:val="1"/>
                <w:color w:val="auto"/>
              </w:rPr>
            </w:pPr>
          </w:p>
        </w:tc>
      </w:tr>
      <w:tr>
        <w:trPr>
          <w:trHeight w:val="234"/>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w w:val="99"/>
              </w:rPr>
              <w:t>Reporting Period:  _________________________</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60" w:type="dxa"/>
            <w:vAlign w:val="bottom"/>
            <w:gridSpan w:val="2"/>
          </w:tcPr>
          <w:p>
            <w:pPr>
              <w:ind w:left="560"/>
              <w:spacing w:after="0"/>
              <w:rPr>
                <w:sz w:val="20"/>
                <w:szCs w:val="20"/>
                <w:color w:val="auto"/>
              </w:rPr>
            </w:pPr>
            <w:r>
              <w:rPr>
                <w:rFonts w:ascii="Arial" w:cs="Arial" w:eastAsia="Arial" w:hAnsi="Arial"/>
                <w:sz w:val="18"/>
                <w:szCs w:val="18"/>
                <w:b w:val="1"/>
                <w:bCs w:val="1"/>
                <w:color w:val="auto"/>
              </w:rPr>
              <w:t>prior to date of submission.</w:t>
            </w: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04"/>
        </w:numPr>
        <w:rPr>
          <w:rFonts w:ascii="MS PGothic" w:cs="MS PGothic" w:eastAsia="MS PGothic" w:hAnsi="MS PGothic"/>
          <w:sz w:val="18"/>
          <w:szCs w:val="18"/>
          <w:color w:val="auto"/>
        </w:rPr>
      </w:pPr>
      <w:r>
        <w:rPr>
          <w:rFonts w:ascii="Arial" w:cs="Arial" w:eastAsia="Arial" w:hAnsi="Arial"/>
          <w:sz w:val="18"/>
          <w:szCs w:val="18"/>
          <w:color w:val="auto"/>
        </w:rPr>
        <w:t>Initial Holdings Report</w:t>
      </w:r>
    </w:p>
    <w:p>
      <w:pPr>
        <w:spacing w:after="0" w:line="25" w:lineRule="exact"/>
        <w:rPr>
          <w:rFonts w:ascii="MS PGothic" w:cs="MS PGothic" w:eastAsia="MS PGothic" w:hAnsi="MS PGothic"/>
          <w:sz w:val="18"/>
          <w:szCs w:val="18"/>
          <w:color w:val="auto"/>
        </w:rPr>
      </w:pPr>
    </w:p>
    <w:p>
      <w:pPr>
        <w:ind w:right="6360" w:firstLine="8"/>
        <w:spacing w:after="0" w:line="259" w:lineRule="auto"/>
        <w:tabs>
          <w:tab w:leader="none" w:pos="648" w:val="left"/>
        </w:tabs>
        <w:numPr>
          <w:ilvl w:val="0"/>
          <w:numId w:val="104"/>
        </w:numPr>
        <w:rPr>
          <w:rFonts w:ascii="MS PGothic" w:cs="MS PGothic" w:eastAsia="MS PGothic" w:hAnsi="MS PGothic"/>
          <w:sz w:val="18"/>
          <w:szCs w:val="18"/>
          <w:color w:val="auto"/>
        </w:rPr>
      </w:pPr>
      <w:r>
        <w:rPr>
          <w:rFonts w:ascii="Arial" w:cs="Arial" w:eastAsia="Arial" w:hAnsi="Arial"/>
          <w:sz w:val="18"/>
          <w:szCs w:val="18"/>
          <w:color w:val="auto"/>
        </w:rPr>
        <w:t>Annual Holdings Report (must be submitted by February 14) (check one)</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List here all securities accounts maintained by you, your spouse/partner, and any other individuals residing in your household,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regardless of what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type of securities are held in the account</w:t>
      </w:r>
      <w:r>
        <w:rPr>
          <w:rFonts w:ascii="Arial" w:cs="Arial" w:eastAsia="Arial" w:hAnsi="Arial"/>
          <w:sz w:val="18"/>
          <w:szCs w:val="18"/>
          <w:color w:val="auto"/>
        </w:rPr>
        <w:t>. Attach additional pages if necessary.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Account Statements</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 to</w:t>
            </w:r>
          </w:p>
        </w:tc>
      </w:tr>
      <w:tr>
        <w:trPr>
          <w:trHeight w:val="216"/>
        </w:trPr>
        <w:tc>
          <w:tcPr>
            <w:tcW w:w="3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Name of Broker, Dealer, Bank or</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Your Relationship With</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Capitala/Phoenix (Yes or</w:t>
            </w:r>
          </w:p>
        </w:tc>
      </w:tr>
      <w:tr>
        <w:trPr>
          <w:trHeight w:val="234"/>
        </w:trPr>
        <w:tc>
          <w:tcPr>
            <w:tcW w:w="3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other Custodian</w:t>
            </w:r>
          </w:p>
        </w:tc>
        <w:tc>
          <w:tcPr>
            <w:tcW w:w="2060" w:type="dxa"/>
            <w:vAlign w:val="bottom"/>
            <w:gridSpan w:val="2"/>
          </w:tcPr>
          <w:p>
            <w:pPr>
              <w:ind w:left="460"/>
              <w:spacing w:after="0"/>
              <w:rPr>
                <w:sz w:val="20"/>
                <w:szCs w:val="20"/>
                <w:color w:val="auto"/>
              </w:rPr>
            </w:pPr>
            <w:r>
              <w:rPr>
                <w:rFonts w:ascii="Arial" w:cs="Arial" w:eastAsia="Arial" w:hAnsi="Arial"/>
                <w:sz w:val="18"/>
                <w:szCs w:val="18"/>
                <w:b w:val="1"/>
                <w:bCs w:val="1"/>
                <w:color w:val="auto"/>
              </w:rPr>
              <w:t>Legal Owner</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Legal Owner</w:t>
            </w:r>
          </w:p>
        </w:tc>
        <w:tc>
          <w:tcPr>
            <w:tcW w:w="2040" w:type="dxa"/>
            <w:vAlign w:val="bottom"/>
            <w:gridSpan w:val="2"/>
          </w:tcPr>
          <w:p>
            <w:pPr>
              <w:ind w:left="320"/>
              <w:spacing w:after="0"/>
              <w:rPr>
                <w:sz w:val="20"/>
                <w:szCs w:val="20"/>
                <w:color w:val="auto"/>
              </w:rPr>
            </w:pPr>
            <w:r>
              <w:rPr>
                <w:rFonts w:ascii="Arial" w:cs="Arial" w:eastAsia="Arial" w:hAnsi="Arial"/>
                <w:sz w:val="18"/>
                <w:szCs w:val="18"/>
                <w:b w:val="1"/>
                <w:bCs w:val="1"/>
                <w:color w:val="auto"/>
              </w:rPr>
              <w:t>Account Number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3"/>
              </w:rPr>
              <w:t>No)</w:t>
            </w:r>
          </w:p>
        </w:tc>
      </w:tr>
      <w:tr>
        <w:trPr>
          <w:trHeight w:val="210"/>
        </w:trPr>
        <w:tc>
          <w:tcPr>
            <w:tcW w:w="3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Reportable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following information for all Reportable Securities* beneficially owned by you, your spouse/partner,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residing in your household (including those in the accounts named above). Attach additional pages if necessary. With respect to any Reportable Security held in a brokerage or similar account, in lieu of listing that security below and providing the following information, you may attach as an exhibit to this report your current statement from the relevant brokerage firm or other account custodian, provided that it includes all of the information listed below and is current as of a date no more than 45 days prior to the date of this report.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Name of Issuer and</w:t>
            </w: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Amount Invested (e.g.,</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Type of Security</w:t>
            </w: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Legal Owner and Your</w:t>
            </w:r>
          </w:p>
        </w:tc>
        <w:tc>
          <w:tcPr>
            <w:tcW w:w="184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Interest Rate and</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Name of Broker, Dealer,</w:t>
            </w:r>
          </w:p>
        </w:tc>
        <w:tc>
          <w:tcPr>
            <w:tcW w:w="0" w:type="dxa"/>
            <w:vAlign w:val="bottom"/>
          </w:tcPr>
          <w:p>
            <w:pPr>
              <w:spacing w:after="0"/>
              <w:rPr>
                <w:sz w:val="1"/>
                <w:szCs w:val="1"/>
                <w:color w:val="auto"/>
              </w:rPr>
            </w:pPr>
          </w:p>
        </w:tc>
      </w:tr>
      <w:tr>
        <w:trPr>
          <w:trHeight w:val="149"/>
        </w:trPr>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(including Ticker</w:t>
            </w:r>
          </w:p>
        </w:tc>
        <w:tc>
          <w:tcPr>
            <w:tcW w:w="1840" w:type="dxa"/>
            <w:vAlign w:val="bottom"/>
            <w:gridSpan w:val="2"/>
            <w:vMerge w:val="continue"/>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Principal Amount) and</w:t>
            </w:r>
          </w:p>
        </w:tc>
        <w:tc>
          <w:tcPr>
            <w:tcW w:w="180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Current Value of the</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Symbol or CUSIP</w:t>
            </w:r>
          </w:p>
        </w:tc>
        <w:tc>
          <w:tcPr>
            <w:tcW w:w="1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Relationship With Legal</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Maturity Date (if</w:t>
            </w:r>
          </w:p>
        </w:tc>
        <w:tc>
          <w:tcPr>
            <w:tcW w:w="182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Bank or other Custodian</w:t>
            </w:r>
          </w:p>
        </w:tc>
        <w:tc>
          <w:tcPr>
            <w:tcW w:w="0" w:type="dxa"/>
            <w:vAlign w:val="bottom"/>
          </w:tcPr>
          <w:p>
            <w:pPr>
              <w:spacing w:after="0"/>
              <w:rPr>
                <w:sz w:val="1"/>
                <w:szCs w:val="1"/>
                <w:color w:val="auto"/>
              </w:rPr>
            </w:pPr>
          </w:p>
        </w:tc>
      </w:tr>
      <w:tr>
        <w:trPr>
          <w:trHeight w:val="171"/>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if applicable)</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Owner</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Owned (if applicable)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applicable)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(if applicable)</w:t>
            </w: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71" w:lineRule="auto"/>
        <w:tabs>
          <w:tab w:leader="none" w:pos="1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“Reportable Security” means any and all securities, except for (i) direct obligations of the government of the United States; (ii) bankers’ acceptances, bank certificates of deposit, commercial paper and high quality short-term debt instruments, including repurchase agreements; (iii) shares issued by money market funds; (iv) shares issued by open-end funds to which none of the Firm or any of its affiliates provide investment advice; (v) shares issued by unit investment trusts that are invested exclusively in one or more open-end funds, none of which are funds to which the Firm or any of its affiliates provides investment advice; and (vi) securities held in investment accounts over which the holder has no direct or indirect influence or control or pursuant to an automatic investment plan. </w:t>
      </w:r>
      <w:r>
        <w:rPr>
          <w:rFonts w:ascii="Arial" w:cs="Arial" w:eastAsia="Arial" w:hAnsi="Arial"/>
          <w:sz w:val="17"/>
          <w:szCs w:val="17"/>
          <w:b w:val="1"/>
          <w:bCs w:val="1"/>
          <w:i w:val="1"/>
          <w:iCs w:val="1"/>
          <w:u w:val="single" w:color="auto"/>
          <w:color w:val="auto"/>
        </w:rPr>
        <w:t>Reportable Securities include most non-publicly traded securities, including without limitation investments in hedge and other private</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investment funds, privately held businesses, and real estate and other investment partnerships.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 interests in real estate (i.e., real estate as to which you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the deed in your name) are not securities and do not need to be listed.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certify that the foregoing report (including brokerage or similar statements provided therewith) discloses all accounts and securities holdings required to be set forth therein.</w:t>
      </w:r>
    </w:p>
    <w:p>
      <w:pPr>
        <w:spacing w:after="0" w:line="170"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_____________________________________</w:t>
      </w:r>
    </w:p>
    <w:p>
      <w:pPr>
        <w:spacing w:after="0" w:line="225" w:lineRule="exact"/>
        <w:rPr>
          <w:sz w:val="20"/>
          <w:szCs w:val="20"/>
          <w:color w:val="auto"/>
        </w:rPr>
      </w:pPr>
    </w:p>
    <w:p>
      <w:pPr>
        <w:ind w:left="344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__________________________</w:t>
      </w:r>
    </w:p>
    <w:p>
      <w:pPr>
        <w:spacing w:after="0" w:line="225" w:lineRule="exact"/>
        <w:rPr>
          <w:sz w:val="20"/>
          <w:szCs w:val="20"/>
          <w:color w:val="auto"/>
        </w:rPr>
      </w:pPr>
    </w:p>
    <w:p>
      <w:pPr>
        <w:ind w:left="3440"/>
        <w:spacing w:after="0"/>
        <w:tabs>
          <w:tab w:leader="none" w:pos="4440" w:val="left"/>
        </w:tabs>
        <w:rPr>
          <w:sz w:val="20"/>
          <w:szCs w:val="20"/>
          <w:color w:val="auto"/>
        </w:rPr>
      </w:pPr>
      <w:r>
        <w:rPr>
          <w:rFonts w:ascii="Arial" w:cs="Arial" w:eastAsia="Arial" w:hAnsi="Arial"/>
          <w:sz w:val="18"/>
          <w:szCs w:val="18"/>
          <w:color w:val="auto"/>
        </w:rPr>
        <w:t>Position:</w:t>
      </w:r>
      <w:r>
        <w:rPr>
          <w:sz w:val="20"/>
          <w:szCs w:val="20"/>
          <w:color w:val="auto"/>
        </w:rPr>
        <w:tab/>
      </w:r>
      <w:r>
        <w:rPr>
          <w:rFonts w:ascii="Arial" w:cs="Arial" w:eastAsia="Arial" w:hAnsi="Arial"/>
          <w:sz w:val="18"/>
          <w:szCs w:val="18"/>
          <w:color w:val="auto"/>
        </w:rPr>
        <w:t>__________________________</w:t>
      </w:r>
    </w:p>
    <w:p>
      <w:pPr>
        <w:spacing w:after="0" w:line="225" w:lineRule="exact"/>
        <w:rPr>
          <w:sz w:val="20"/>
          <w:szCs w:val="20"/>
          <w:color w:val="auto"/>
        </w:rPr>
      </w:pPr>
    </w:p>
    <w:p>
      <w:pPr>
        <w:ind w:left="3440"/>
        <w:spacing w:after="0"/>
        <w:tabs>
          <w:tab w:leader="none" w:pos="4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_________________, 20__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color w:val="auto"/>
        </w:rPr>
        <w:t>APPENDIX E-2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Securities Transaction Report</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0" w:type="dxa"/>
            <w:vAlign w:val="bottom"/>
            <w:gridSpan w:val="3"/>
          </w:tcPr>
          <w:p>
            <w:pPr>
              <w:jc w:val="center"/>
              <w:ind w:right="4780"/>
              <w:spacing w:after="0"/>
              <w:rPr>
                <w:sz w:val="20"/>
                <w:szCs w:val="20"/>
                <w:color w:val="auto"/>
              </w:rPr>
            </w:pPr>
            <w:r>
              <w:rPr>
                <w:rFonts w:ascii="Arial" w:cs="Arial" w:eastAsia="Arial" w:hAnsi="Arial"/>
                <w:sz w:val="18"/>
                <w:szCs w:val="18"/>
                <w:b w:val="1"/>
                <w:bCs w:val="1"/>
                <w:color w:val="auto"/>
                <w:w w:val="99"/>
              </w:rPr>
              <w:t>CAPITALA GROUP</w:t>
            </w:r>
          </w:p>
        </w:tc>
      </w:tr>
      <w:tr>
        <w:trPr>
          <w:trHeight w:val="20"/>
        </w:trPr>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20" w:type="dxa"/>
            <w:vAlign w:val="bottom"/>
            <w:gridSpan w:val="4"/>
          </w:tcPr>
          <w:p>
            <w:pPr>
              <w:jc w:val="center"/>
              <w:ind w:right="3960"/>
              <w:spacing w:after="0"/>
              <w:rPr>
                <w:sz w:val="20"/>
                <w:szCs w:val="20"/>
                <w:color w:val="auto"/>
              </w:rPr>
            </w:pPr>
            <w:r>
              <w:rPr>
                <w:rFonts w:ascii="Arial" w:cs="Arial" w:eastAsia="Arial" w:hAnsi="Arial"/>
                <w:sz w:val="18"/>
                <w:szCs w:val="18"/>
                <w:b w:val="1"/>
                <w:bCs w:val="1"/>
                <w:color w:val="auto"/>
              </w:rPr>
              <w:t>SECURITIES TRANSACTION REPORT</w:t>
            </w:r>
          </w:p>
        </w:tc>
      </w:tr>
      <w:tr>
        <w:trPr>
          <w:trHeight w:val="20"/>
        </w:trPr>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5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240" w:type="dxa"/>
            <w:vAlign w:val="bottom"/>
          </w:tcPr>
          <w:p>
            <w:pPr>
              <w:jc w:val="right"/>
              <w:ind w:right="110"/>
              <w:spacing w:after="0"/>
              <w:rPr>
                <w:sz w:val="20"/>
                <w:szCs w:val="20"/>
                <w:color w:val="auto"/>
              </w:rPr>
            </w:pPr>
            <w:r>
              <w:rPr>
                <w:rFonts w:ascii="Arial" w:cs="Arial" w:eastAsia="Arial" w:hAnsi="Arial"/>
                <w:sz w:val="18"/>
                <w:szCs w:val="18"/>
                <w:color w:val="auto"/>
                <w:w w:val="94"/>
              </w:rPr>
              <w:t>________________________________</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80" w:type="dxa"/>
            <w:vAlign w:val="bottom"/>
            <w:gridSpan w:val="2"/>
          </w:tcPr>
          <w:p>
            <w:pPr>
              <w:ind w:left="560"/>
              <w:spacing w:after="0"/>
              <w:rPr>
                <w:sz w:val="20"/>
                <w:szCs w:val="20"/>
                <w:color w:val="auto"/>
              </w:rPr>
            </w:pPr>
            <w:r>
              <w:rPr>
                <w:rFonts w:ascii="Arial" w:cs="Arial" w:eastAsia="Arial" w:hAnsi="Arial"/>
                <w:sz w:val="18"/>
                <w:szCs w:val="18"/>
                <w:color w:val="auto"/>
              </w:rPr>
              <w:t>Date of Submission: __________________</w:t>
            </w:r>
          </w:p>
        </w:tc>
      </w:tr>
      <w:tr>
        <w:trPr>
          <w:trHeight w:val="441"/>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jc w:val="right"/>
              <w:ind w:right="110"/>
              <w:spacing w:after="0"/>
              <w:rPr>
                <w:sz w:val="20"/>
                <w:szCs w:val="20"/>
                <w:color w:val="auto"/>
              </w:rPr>
            </w:pPr>
            <w:r>
              <w:rPr>
                <w:rFonts w:ascii="Arial" w:cs="Arial" w:eastAsia="Arial" w:hAnsi="Arial"/>
                <w:sz w:val="18"/>
                <w:szCs w:val="18"/>
                <w:color w:val="auto"/>
                <w:w w:val="94"/>
              </w:rPr>
              <w:t>________________________________</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80" w:type="dxa"/>
            <w:vAlign w:val="bottom"/>
            <w:gridSpan w:val="2"/>
          </w:tcPr>
          <w:p>
            <w:pPr>
              <w:ind w:left="560"/>
              <w:spacing w:after="0"/>
              <w:rPr>
                <w:sz w:val="20"/>
                <w:szCs w:val="20"/>
                <w:color w:val="auto"/>
              </w:rPr>
            </w:pPr>
            <w:r>
              <w:rPr>
                <w:rFonts w:ascii="Arial" w:cs="Arial" w:eastAsia="Arial" w:hAnsi="Arial"/>
                <w:sz w:val="18"/>
                <w:szCs w:val="18"/>
                <w:b w:val="1"/>
                <w:bCs w:val="1"/>
                <w:color w:val="auto"/>
                <w:w w:val="89"/>
              </w:rPr>
              <w:t>Must be submitted within 30 days after the end of each</w:t>
            </w:r>
          </w:p>
        </w:tc>
      </w:tr>
      <w:tr>
        <w:trPr>
          <w:trHeight w:val="234"/>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780" w:type="dxa"/>
            <w:vAlign w:val="bottom"/>
            <w:gridSpan w:val="2"/>
          </w:tcPr>
          <w:p>
            <w:pPr>
              <w:ind w:left="560"/>
              <w:spacing w:after="0"/>
              <w:rPr>
                <w:sz w:val="20"/>
                <w:szCs w:val="20"/>
                <w:color w:val="auto"/>
              </w:rPr>
            </w:pPr>
            <w:r>
              <w:rPr>
                <w:rFonts w:ascii="Arial" w:cs="Arial" w:eastAsia="Arial" w:hAnsi="Arial"/>
                <w:sz w:val="18"/>
                <w:szCs w:val="18"/>
                <w:b w:val="1"/>
                <w:bCs w:val="1"/>
                <w:color w:val="auto"/>
              </w:rPr>
              <w:t>calendar quarter.</w:t>
            </w:r>
          </w:p>
        </w:tc>
      </w:tr>
    </w:tbl>
    <w:p>
      <w:pPr>
        <w:spacing w:after="0"/>
        <w:rPr>
          <w:sz w:val="20"/>
          <w:szCs w:val="20"/>
          <w:color w:val="auto"/>
        </w:rPr>
      </w:pPr>
      <w:r>
        <w:rPr>
          <w:rFonts w:ascii="Arial" w:cs="Arial" w:eastAsia="Arial" w:hAnsi="Arial"/>
          <w:sz w:val="18"/>
          <w:szCs w:val="18"/>
          <w:color w:val="auto"/>
        </w:rPr>
        <w:t>Reporting Period: ________________________ (indicate calendar quarter)</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Transactions involving Reportable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following information for all transactions involving Reportable Securities* by you, your</w:t>
      </w:r>
      <w:r>
        <w:rPr>
          <w:rFonts w:ascii="Arial" w:cs="Arial" w:eastAsia="Arial" w:hAnsi="Arial"/>
          <w:sz w:val="18"/>
          <w:szCs w:val="18"/>
          <w:b w:val="1"/>
          <w:bCs w:val="1"/>
          <w:color w:val="auto"/>
        </w:rPr>
        <w:t xml:space="preserve"> </w:t>
      </w:r>
      <w:r>
        <w:rPr>
          <w:rFonts w:ascii="Arial" w:cs="Arial" w:eastAsia="Arial" w:hAnsi="Arial"/>
          <w:sz w:val="18"/>
          <w:szCs w:val="18"/>
          <w:color w:val="auto"/>
        </w:rPr>
        <w:t>spouse/partner, and any other individuals residing in your household during the reporting period identified above. With respect to any transaction conducted through a brokerage or similar account, in lieu of listing that transaction below and providing the following information, you may attach as exhibits to this report the relevant trade confirmation and/or account statement, provided that it includes all of the information required below. Attach additional pages if necessary.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Purchases of Reportable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Name of Issuer and Type of</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Legal Owner and Your</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Amount Invested or Sold</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Price at which</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Interest Rate and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Name of Person with or</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Security (including Ticker</w:t>
            </w:r>
          </w:p>
        </w:tc>
        <w:tc>
          <w:tcPr>
            <w:tcW w:w="156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(e.g., Principal Amount) and</w:t>
            </w:r>
          </w:p>
        </w:tc>
        <w:tc>
          <w:tcPr>
            <w:tcW w:w="146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through which</w:t>
            </w:r>
          </w:p>
        </w:tc>
        <w:tc>
          <w:tcPr>
            <w:tcW w:w="0" w:type="dxa"/>
            <w:vAlign w:val="bottom"/>
          </w:tcPr>
          <w:p>
            <w:pPr>
              <w:spacing w:after="0"/>
              <w:rPr>
                <w:sz w:val="1"/>
                <w:szCs w:val="1"/>
                <w:color w:val="auto"/>
              </w:rPr>
            </w:pPr>
          </w:p>
        </w:tc>
      </w:tr>
      <w:tr>
        <w:trPr>
          <w:trHeight w:val="149"/>
        </w:trPr>
        <w:tc>
          <w:tcPr>
            <w:tcW w:w="17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Date of Transaction</w:t>
            </w:r>
          </w:p>
        </w:tc>
        <w:tc>
          <w:tcPr>
            <w:tcW w:w="1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Symbol or CUSIP Number,</w:t>
            </w: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Relationship to</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Shares Involved</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Transaction</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Maturity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Transaction</w:t>
            </w:r>
          </w:p>
        </w:tc>
        <w:tc>
          <w:tcPr>
            <w:tcW w:w="0" w:type="dxa"/>
            <w:vAlign w:val="bottom"/>
          </w:tcPr>
          <w:p>
            <w:pPr>
              <w:spacing w:after="0"/>
              <w:rPr>
                <w:sz w:val="1"/>
                <w:szCs w:val="1"/>
                <w:color w:val="auto"/>
              </w:rPr>
            </w:pPr>
          </w:p>
        </w:tc>
      </w:tr>
      <w:tr>
        <w:trPr>
          <w:trHeight w:val="171"/>
        </w:trPr>
        <w:tc>
          <w:tcPr>
            <w:tcW w:w="1760" w:type="dxa"/>
            <w:vAlign w:val="bottom"/>
            <w:gridSpan w:val="2"/>
            <w:vMerge w:val="continue"/>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if applicable)</w:t>
            </w: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Legal Owner</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(if applicable)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was Effected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Date (if applicable)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was Effected</w:t>
            </w: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u w:val="single" w:color="auto"/>
          <w:color w:val="auto"/>
        </w:rPr>
        <w:t>Sales of Reportable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Name of Issuer and Type of</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Legal Owner and Your</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Amount Invested or Sold</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Price at which</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Interest Rate and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Name of Person with or</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Security (including Ticker</w:t>
            </w:r>
          </w:p>
        </w:tc>
        <w:tc>
          <w:tcPr>
            <w:tcW w:w="156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(e.g., Principal Amount) and</w:t>
            </w:r>
          </w:p>
        </w:tc>
        <w:tc>
          <w:tcPr>
            <w:tcW w:w="146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through which</w:t>
            </w:r>
          </w:p>
        </w:tc>
        <w:tc>
          <w:tcPr>
            <w:tcW w:w="0" w:type="dxa"/>
            <w:vAlign w:val="bottom"/>
          </w:tcPr>
          <w:p>
            <w:pPr>
              <w:spacing w:after="0"/>
              <w:rPr>
                <w:sz w:val="1"/>
                <w:szCs w:val="1"/>
                <w:color w:val="auto"/>
              </w:rPr>
            </w:pPr>
          </w:p>
        </w:tc>
      </w:tr>
      <w:tr>
        <w:trPr>
          <w:trHeight w:val="149"/>
        </w:trPr>
        <w:tc>
          <w:tcPr>
            <w:tcW w:w="17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Date of Transaction</w:t>
            </w:r>
          </w:p>
        </w:tc>
        <w:tc>
          <w:tcPr>
            <w:tcW w:w="1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Symbol or CUSIP Number,</w:t>
            </w: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Relationship to</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Shares Involved</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Transaction</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Maturity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Transaction</w:t>
            </w:r>
          </w:p>
        </w:tc>
        <w:tc>
          <w:tcPr>
            <w:tcW w:w="0" w:type="dxa"/>
            <w:vAlign w:val="bottom"/>
          </w:tcPr>
          <w:p>
            <w:pPr>
              <w:spacing w:after="0"/>
              <w:rPr>
                <w:sz w:val="1"/>
                <w:szCs w:val="1"/>
                <w:color w:val="auto"/>
              </w:rPr>
            </w:pPr>
          </w:p>
        </w:tc>
      </w:tr>
      <w:tr>
        <w:trPr>
          <w:trHeight w:val="171"/>
        </w:trPr>
        <w:tc>
          <w:tcPr>
            <w:tcW w:w="1760" w:type="dxa"/>
            <w:vAlign w:val="bottom"/>
            <w:gridSpan w:val="2"/>
            <w:vMerge w:val="continue"/>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if applicable)</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Legal Owner</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(if applicable)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was Effected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Date (if applicable)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was Effected</w:t>
            </w: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71" w:lineRule="auto"/>
        <w:tabs>
          <w:tab w:leader="none" w:pos="1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“Reportable Security” means any and all securities, except for (i) direct obligations of the government of the United States; (ii) bankers’ acceptances, bank certificates of deposit, commercial paper and high quality short-term debt instruments, including repurchase agreements; (iii) shares issued by money market funds; (iv) shares issued by open-end funds to which none of the Firm or any of its affiliates provide investment advice; (v) shares issued by unit investment trusts that are invested exclusively in one or more open-end funds, none of which are funds to which the Firm or any of its affiliates provides investment advice; and (vi) securities held in investment accounts over which the holder has no direct or indirect influence or control or pursuant to an automatic investment plan. </w:t>
      </w:r>
      <w:r>
        <w:rPr>
          <w:rFonts w:ascii="Arial" w:cs="Arial" w:eastAsia="Arial" w:hAnsi="Arial"/>
          <w:sz w:val="17"/>
          <w:szCs w:val="17"/>
          <w:b w:val="1"/>
          <w:bCs w:val="1"/>
          <w:i w:val="1"/>
          <w:iCs w:val="1"/>
          <w:u w:val="single" w:color="auto"/>
          <w:color w:val="auto"/>
        </w:rPr>
        <w:t>Reportable Securities include most non-publicly traded securities, including without limitation investments in hedge and other private</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investment funds, privately held businesses, and real estate and other investment partnerships.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 interests in real estate (i.e., real estate as to which you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the deed in your name) are not securities and do not need to be listed.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certify that the foregoing report (including brokerage or similar statements or trade confirmations provided therewith) discloses all securities transactions required to be set forth therein.</w:t>
      </w:r>
    </w:p>
    <w:p>
      <w:pPr>
        <w:spacing w:after="0" w:line="170"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_____________________________________</w:t>
      </w:r>
    </w:p>
    <w:p>
      <w:pPr>
        <w:spacing w:after="0" w:line="225" w:lineRule="exact"/>
        <w:rPr>
          <w:sz w:val="20"/>
          <w:szCs w:val="20"/>
          <w:color w:val="auto"/>
        </w:rPr>
      </w:pPr>
    </w:p>
    <w:p>
      <w:pPr>
        <w:ind w:left="344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__________________________</w:t>
      </w:r>
    </w:p>
    <w:p>
      <w:pPr>
        <w:spacing w:after="0" w:line="225" w:lineRule="exact"/>
        <w:rPr>
          <w:sz w:val="20"/>
          <w:szCs w:val="20"/>
          <w:color w:val="auto"/>
        </w:rPr>
      </w:pPr>
    </w:p>
    <w:p>
      <w:pPr>
        <w:ind w:left="3440"/>
        <w:spacing w:after="0"/>
        <w:tabs>
          <w:tab w:leader="none" w:pos="4440" w:val="left"/>
        </w:tabs>
        <w:rPr>
          <w:sz w:val="20"/>
          <w:szCs w:val="20"/>
          <w:color w:val="auto"/>
        </w:rPr>
      </w:pPr>
      <w:r>
        <w:rPr>
          <w:rFonts w:ascii="Arial" w:cs="Arial" w:eastAsia="Arial" w:hAnsi="Arial"/>
          <w:sz w:val="18"/>
          <w:szCs w:val="18"/>
          <w:color w:val="auto"/>
        </w:rPr>
        <w:t>Position:</w:t>
      </w:r>
      <w:r>
        <w:rPr>
          <w:sz w:val="20"/>
          <w:szCs w:val="20"/>
          <w:color w:val="auto"/>
        </w:rPr>
        <w:tab/>
      </w:r>
      <w:r>
        <w:rPr>
          <w:rFonts w:ascii="Arial" w:cs="Arial" w:eastAsia="Arial" w:hAnsi="Arial"/>
          <w:sz w:val="18"/>
          <w:szCs w:val="18"/>
          <w:color w:val="auto"/>
        </w:rPr>
        <w:t>__________________________</w:t>
      </w:r>
    </w:p>
    <w:p>
      <w:pPr>
        <w:spacing w:after="0" w:line="225" w:lineRule="exact"/>
        <w:rPr>
          <w:sz w:val="20"/>
          <w:szCs w:val="20"/>
          <w:color w:val="auto"/>
        </w:rPr>
      </w:pPr>
    </w:p>
    <w:p>
      <w:pPr>
        <w:ind w:left="3440"/>
        <w:spacing w:after="0"/>
        <w:tabs>
          <w:tab w:leader="none" w:pos="4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_________________, 20__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9" w:name="page190"/>
    <w:bookmarkEnd w:id="189"/>
    <w:p>
      <w:pPr>
        <w:jc w:val="center"/>
        <w:ind w:right="-20"/>
        <w:spacing w:after="0"/>
        <w:rPr>
          <w:sz w:val="20"/>
          <w:szCs w:val="20"/>
          <w:color w:val="auto"/>
        </w:rPr>
      </w:pPr>
      <w:r>
        <w:rPr>
          <w:rFonts w:ascii="Arial" w:cs="Arial" w:eastAsia="Arial" w:hAnsi="Arial"/>
          <w:sz w:val="18"/>
          <w:szCs w:val="18"/>
          <w:color w:val="auto"/>
        </w:rPr>
        <w:t>APPENDIX E-3</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Letter Regarding Brokerage Statements</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FORM OF LETTER REGARDING BROKERAGE STATEMENTS</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Capitala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4201 Congress Street, Suite 360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G. Wheelahan, Chief Compliance Officer</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Personal Securities Account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Richard: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letter is to notify you that I, my spouse/partner, or a member of my family residing with me has a beneficial interest in a securities account as follows: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w w:val="97"/>
              </w:rPr>
              <w:t>Name of owner of the account:</w:t>
            </w:r>
          </w:p>
        </w:tc>
        <w:tc>
          <w:tcPr>
            <w:tcW w:w="68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3080" w:type="dxa"/>
            <w:vAlign w:val="bottom"/>
            <w:gridSpan w:val="2"/>
          </w:tcPr>
          <w:p>
            <w:pPr>
              <w:spacing w:after="0"/>
              <w:rPr>
                <w:sz w:val="20"/>
                <w:szCs w:val="20"/>
                <w:color w:val="auto"/>
              </w:rPr>
            </w:pPr>
            <w:r>
              <w:rPr>
                <w:rFonts w:ascii="Arial" w:cs="Arial" w:eastAsia="Arial" w:hAnsi="Arial"/>
                <w:sz w:val="18"/>
                <w:szCs w:val="18"/>
                <w:color w:val="auto"/>
              </w:rPr>
              <w:t>My relation to the owner (if not me):</w:t>
            </w:r>
          </w:p>
        </w:tc>
        <w:tc>
          <w:tcPr>
            <w:tcW w:w="3480" w:type="dxa"/>
            <w:vAlign w:val="bottom"/>
          </w:tcPr>
          <w:p>
            <w:pPr>
              <w:jc w:val="right"/>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2400" w:type="dxa"/>
            <w:vAlign w:val="bottom"/>
          </w:tcPr>
          <w:p>
            <w:pPr>
              <w:spacing w:after="0"/>
              <w:rPr>
                <w:sz w:val="20"/>
                <w:szCs w:val="20"/>
                <w:color w:val="auto"/>
              </w:rPr>
            </w:pPr>
            <w:r>
              <w:rPr>
                <w:rFonts w:ascii="Arial" w:cs="Arial" w:eastAsia="Arial" w:hAnsi="Arial"/>
                <w:sz w:val="18"/>
                <w:szCs w:val="18"/>
                <w:color w:val="auto"/>
              </w:rPr>
              <w:t>Account Number:</w:t>
            </w: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______________________</w:t>
            </w:r>
          </w:p>
        </w:tc>
      </w:tr>
      <w:tr>
        <w:trPr>
          <w:trHeight w:val="432"/>
        </w:trPr>
        <w:tc>
          <w:tcPr>
            <w:tcW w:w="2400" w:type="dxa"/>
            <w:vAlign w:val="bottom"/>
          </w:tcPr>
          <w:p>
            <w:pPr>
              <w:spacing w:after="0"/>
              <w:rPr>
                <w:sz w:val="20"/>
                <w:szCs w:val="20"/>
                <w:color w:val="auto"/>
              </w:rPr>
            </w:pPr>
            <w:r>
              <w:rPr>
                <w:rFonts w:ascii="Arial" w:cs="Arial" w:eastAsia="Arial" w:hAnsi="Arial"/>
                <w:sz w:val="18"/>
                <w:szCs w:val="18"/>
                <w:color w:val="auto"/>
              </w:rPr>
              <w:t>Name of broker:</w:t>
            </w: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______________________</w:t>
            </w:r>
          </w:p>
        </w:tc>
      </w:tr>
      <w:tr>
        <w:trPr>
          <w:trHeight w:val="418"/>
        </w:trPr>
        <w:tc>
          <w:tcPr>
            <w:tcW w:w="2400" w:type="dxa"/>
            <w:vAlign w:val="bottom"/>
          </w:tcPr>
          <w:p>
            <w:pPr>
              <w:spacing w:after="0"/>
              <w:rPr>
                <w:sz w:val="20"/>
                <w:szCs w:val="20"/>
                <w:color w:val="auto"/>
              </w:rPr>
            </w:pPr>
            <w:r>
              <w:rPr>
                <w:rFonts w:ascii="Arial" w:cs="Arial" w:eastAsia="Arial" w:hAnsi="Arial"/>
                <w:sz w:val="18"/>
                <w:szCs w:val="18"/>
                <w:color w:val="auto"/>
              </w:rPr>
              <w:t>Address of broker:</w:t>
            </w: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______________________</w:t>
            </w:r>
          </w:p>
        </w:tc>
      </w:tr>
      <w:tr>
        <w:trPr>
          <w:trHeight w:val="216"/>
        </w:trPr>
        <w:tc>
          <w:tcPr>
            <w:tcW w:w="240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______________________</w:t>
            </w:r>
          </w:p>
        </w:tc>
      </w:tr>
      <w:tr>
        <w:trPr>
          <w:trHeight w:val="230"/>
        </w:trPr>
        <w:tc>
          <w:tcPr>
            <w:tcW w:w="2400" w:type="dxa"/>
            <w:vAlign w:val="bottom"/>
          </w:tcPr>
          <w:p>
            <w:pPr>
              <w:spacing w:after="0"/>
              <w:rPr>
                <w:sz w:val="20"/>
                <w:szCs w:val="20"/>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______________________</w:t>
            </w:r>
          </w:p>
        </w:tc>
      </w:tr>
      <w:tr>
        <w:trPr>
          <w:trHeight w:val="418"/>
        </w:trPr>
        <w:tc>
          <w:tcPr>
            <w:tcW w:w="2400" w:type="dxa"/>
            <w:vAlign w:val="bottom"/>
          </w:tcPr>
          <w:p>
            <w:pPr>
              <w:spacing w:after="0"/>
              <w:rPr>
                <w:sz w:val="20"/>
                <w:szCs w:val="20"/>
                <w:color w:val="auto"/>
              </w:rPr>
            </w:pPr>
            <w:r>
              <w:rPr>
                <w:rFonts w:ascii="Arial" w:cs="Arial" w:eastAsia="Arial" w:hAnsi="Arial"/>
                <w:sz w:val="18"/>
                <w:szCs w:val="18"/>
                <w:color w:val="auto"/>
              </w:rPr>
              <w:t>Broker contact:</w:t>
            </w: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______________________ (name)</w:t>
            </w:r>
          </w:p>
        </w:tc>
      </w:tr>
      <w:tr>
        <w:trPr>
          <w:trHeight w:val="230"/>
        </w:trPr>
        <w:tc>
          <w:tcPr>
            <w:tcW w:w="2400" w:type="dxa"/>
            <w:vAlign w:val="bottom"/>
          </w:tcPr>
          <w:p>
            <w:pPr>
              <w:spacing w:after="0"/>
              <w:rPr>
                <w:sz w:val="20"/>
                <w:szCs w:val="20"/>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______________________ (telephone number)</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have notified the broker that I am employed by a firm required by the Investment Advisers Act to collect certain information from me about my personal securities holdings and transactions on a quarterly and annual basis, and I have requested that duplicate copies of all account statements and transaction confirmations for this account be mailed directly to your attention. I hereby consent to your contacting the broker as indicated above with any inquiries you may have about this account.</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216979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6">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-130175</wp:posOffset>
            </wp:positionV>
            <wp:extent cx="260731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color w:val="auto"/>
        </w:rPr>
        <w:t>APPENDIX E-4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Securities Transaction Approval Request Form</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SECURITIES TRANSACTION APPROVAL REQUEST FORM</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Capitala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4201 Congress Street, Suite 360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G. Wheelahan, Chief Compliance Officer</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Personal Securities Transaction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Richard: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letter is to notify you that I, my spouse/partner, or a member of my family residing with me desires to participate in the following transaction involving securities for which prior approval is required pursuant to the Code of Ethics (the “</w:t>
      </w:r>
      <w:r>
        <w:rPr>
          <w:rFonts w:ascii="Arial" w:cs="Arial" w:eastAsia="Arial" w:hAnsi="Arial"/>
          <w:sz w:val="18"/>
          <w:szCs w:val="18"/>
          <w:u w:val="single" w:color="auto"/>
          <w:color w:val="auto"/>
        </w:rPr>
        <w:t>Code of Ethics</w:t>
      </w:r>
      <w:r>
        <w:rPr>
          <w:rFonts w:ascii="Arial" w:cs="Arial" w:eastAsia="Arial" w:hAnsi="Arial"/>
          <w:sz w:val="18"/>
          <w:szCs w:val="18"/>
          <w:color w:val="auto"/>
        </w:rPr>
        <w:t>”) of Capitala Group (the “</w:t>
      </w:r>
      <w:r>
        <w:rPr>
          <w:rFonts w:ascii="Arial" w:cs="Arial" w:eastAsia="Arial" w:hAnsi="Arial"/>
          <w:sz w:val="18"/>
          <w:szCs w:val="18"/>
          <w:u w:val="single" w:color="auto"/>
          <w:color w:val="auto"/>
        </w:rPr>
        <w:t>Group</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person to participate in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14605</wp:posOffset>
            </wp:positionV>
            <wp:extent cx="385889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0">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My relation to such person (if not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14605</wp:posOffset>
            </wp:positionV>
            <wp:extent cx="385889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1">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Description of transaction (including name of issuer, type of transaction, and any other details that may be relevant to your consideration):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288925</wp:posOffset>
            </wp:positionV>
            <wp:extent cx="66636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142875</wp:posOffset>
            </wp:positionV>
            <wp:extent cx="66636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Reason approval is required (check one):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Purchase or sale of securities of a company on the Group’s restricted securities list.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Acquisition of securities in an initial public offering.</w:t>
      </w:r>
    </w:p>
    <w:p>
      <w:pPr>
        <w:spacing w:after="0" w:line="225" w:lineRule="exact"/>
        <w:rPr>
          <w:sz w:val="20"/>
          <w:szCs w:val="20"/>
          <w:color w:val="auto"/>
        </w:rPr>
      </w:pPr>
    </w:p>
    <w:p>
      <w:pPr>
        <w:jc w:val="center"/>
        <w:ind w:right="3160"/>
        <w:spacing w:after="0"/>
        <w:rPr>
          <w:sz w:val="20"/>
          <w:szCs w:val="20"/>
          <w:color w:val="auto"/>
        </w:rPr>
      </w:pPr>
      <w:r>
        <w:rPr>
          <w:rFonts w:ascii="Arial" w:cs="Arial" w:eastAsia="Arial" w:hAnsi="Arial"/>
          <w:sz w:val="18"/>
          <w:szCs w:val="18"/>
          <w:color w:val="auto"/>
        </w:rPr>
        <w:t>Purchase of securities in a Limited Offering (as defined in the Code of Ethics).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on or about which transaction is expected to be consummated: _______________________</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hereby agree to provide you such information as you may request about the transaction described above and represent that any and all information I have provided you or may provide you about this transaction is or will be (and does not and will not omit any information necessary to make such information) truthful, accurate and not misleading.</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216979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-130175</wp:posOffset>
            </wp:positionV>
            <wp:extent cx="260731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granted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denied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G. Wheelahan, Chief Compliance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color w:val="auto"/>
        </w:rPr>
        <w:t>APPENDIX E-5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Gift/Entertainment Approval Request and Reporting Form</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GIFT/ENTERTAINMENT APPROVAL REQUEST AND REPORTING FORM</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Capitala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4201 Congress Street, Suite 360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G. Wheelahan, Chief Compliance Officer</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Gift/Entertainment Approval Request or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Richard: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letter is to notify you (and, if applicable as indicated below, request your approval) of the gift(s) and/or entertainment described below and received or given by me, as required pursuant to the Code of Ethics (the “</w:t>
      </w:r>
      <w:r>
        <w:rPr>
          <w:rFonts w:ascii="Arial" w:cs="Arial" w:eastAsia="Arial" w:hAnsi="Arial"/>
          <w:sz w:val="18"/>
          <w:szCs w:val="18"/>
          <w:u w:val="single" w:color="auto"/>
          <w:color w:val="auto"/>
        </w:rPr>
        <w:t>Code of Ethics</w:t>
      </w:r>
      <w:r>
        <w:rPr>
          <w:rFonts w:ascii="Arial" w:cs="Arial" w:eastAsia="Arial" w:hAnsi="Arial"/>
          <w:sz w:val="18"/>
          <w:szCs w:val="18"/>
          <w:color w:val="auto"/>
        </w:rPr>
        <w:t>”) of Capitala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Reason this letter is submitted (check one):</w:t>
      </w:r>
    </w:p>
    <w:p>
      <w:pPr>
        <w:spacing w:after="0" w:line="225" w:lineRule="exact"/>
        <w:rPr>
          <w:sz w:val="20"/>
          <w:szCs w:val="20"/>
          <w:color w:val="auto"/>
        </w:rPr>
      </w:pPr>
    </w:p>
    <w:p>
      <w:pPr>
        <w:ind w:left="1620" w:hanging="640"/>
        <w:spacing w:after="0"/>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Request approval to provide gifts and/or entertainment with a value in excess of $500.00.</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Report after the fact (e.g., because prior approval was not reasonably practical) the provision of gifts and/or entertainment with a value in excess of $500.00.</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Report receipt of gifts and/or entertainment with a value in excess of $500.00.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and employer of recipient of gifts/entertainment (for items 1 and 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289560</wp:posOffset>
            </wp:positionV>
            <wp:extent cx="615759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and employer of party providing gifts/entertainment (for item 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289560</wp:posOffset>
            </wp:positionV>
            <wp:extent cx="615759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9">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Description of gifts/entertainment: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14605</wp:posOffset>
            </wp:positionV>
            <wp:extent cx="473392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0">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581025</wp:posOffset>
            </wp:positionV>
            <wp:extent cx="615759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1">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297815</wp:posOffset>
            </wp:positionV>
            <wp:extent cx="615759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2">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18"/>
          <w:szCs w:val="18"/>
          <w:color w:val="auto"/>
        </w:rPr>
        <w:t>Estimated value:</w:t>
      </w:r>
      <w:r>
        <w:rPr>
          <w:sz w:val="20"/>
          <w:szCs w:val="20"/>
          <w:color w:val="auto"/>
        </w:rPr>
        <w:tab/>
      </w:r>
      <w:r>
        <w:rPr>
          <w:rFonts w:ascii="Arial" w:cs="Arial" w:eastAsia="Arial" w:hAnsi="Arial"/>
          <w:sz w:val="16"/>
          <w:szCs w:val="16"/>
          <w:color w:val="auto"/>
        </w:rPr>
        <w:t>$__________________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on or about which gifts/entertainment were or are expected to be provided: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 20__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5" w:name="page196"/>
    <w:bookmarkEnd w:id="195"/>
    <w:p>
      <w:pPr>
        <w:jc w:val="both"/>
        <w:spacing w:after="0" w:line="264" w:lineRule="auto"/>
        <w:rPr>
          <w:sz w:val="20"/>
          <w:szCs w:val="20"/>
          <w:color w:val="auto"/>
        </w:rPr>
      </w:pPr>
      <w:r>
        <w:rPr>
          <w:rFonts w:ascii="Arial" w:cs="Arial" w:eastAsia="Arial" w:hAnsi="Arial"/>
          <w:sz w:val="18"/>
          <w:szCs w:val="18"/>
          <w:color w:val="auto"/>
        </w:rPr>
        <w:t>I hereby agree to provide you such information as you may request about the gifts/entertainment described above and represent that any and all information I have provided you or may provide you about this transaction is or will be (and does not and will not omit any information necessary to make such information) truthful, accurate and not misleading.</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216979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-130175</wp:posOffset>
            </wp:positionV>
            <wp:extent cx="260731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requests for approval only: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granted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denied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G. Wheelahan, Chief Compliance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6" w:name="page197"/>
    <w:bookmarkEnd w:id="196"/>
    <w:p>
      <w:pPr>
        <w:jc w:val="right"/>
        <w:ind w:right="519"/>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List of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Fund II Limited Partnership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F-II, LLC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SBIC Fund III, L.P.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SBIC F-III, LLC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CPTA Master Blocker, Inc. (Georgia)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455930</wp:posOffset>
            </wp:positionV>
            <wp:extent cx="6114415" cy="596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97" w:name="page198"/>
    <w:bookmarkEnd w:id="197"/>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117" w:lineRule="exact"/>
        <w:rPr>
          <w:sz w:val="20"/>
          <w:szCs w:val="20"/>
          <w:color w:val="auto"/>
        </w:rPr>
      </w:pPr>
    </w:p>
    <w:p>
      <w:pPr>
        <w:ind w:left="500" w:hanging="262"/>
        <w:spacing w:after="0"/>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Capitala Finance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39" w:hanging="262"/>
        <w:spacing w:after="0" w:line="264" w:lineRule="auto"/>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879" w:hanging="262"/>
        <w:spacing w:after="0" w:line="286" w:lineRule="auto"/>
        <w:tabs>
          <w:tab w:leader="none" w:pos="5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780" w:right="539" w:hanging="272"/>
        <w:spacing w:after="0" w:line="264" w:lineRule="auto"/>
        <w:tabs>
          <w:tab w:leader="none" w:pos="7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599" w:hanging="272"/>
        <w:spacing w:after="0" w:line="264" w:lineRule="auto"/>
        <w:tabs>
          <w:tab w:leader="none" w:pos="7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73" w:lineRule="exact"/>
        <w:rPr>
          <w:rFonts w:ascii="Arial" w:cs="Arial" w:eastAsia="Arial" w:hAnsi="Arial"/>
          <w:sz w:val="18"/>
          <w:szCs w:val="18"/>
          <w:color w:val="auto"/>
        </w:rPr>
      </w:pPr>
    </w:p>
    <w:p>
      <w:pPr>
        <w:ind w:left="780" w:right="719" w:hanging="272"/>
        <w:spacing w:after="0" w:line="259" w:lineRule="auto"/>
        <w:tabs>
          <w:tab w:leader="none" w:pos="7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00" w:right="639" w:hanging="262"/>
        <w:spacing w:after="0" w:line="264" w:lineRule="auto"/>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80" w:right="519" w:hanging="272"/>
        <w:spacing w:after="0" w:line="264" w:lineRule="auto"/>
        <w:tabs>
          <w:tab w:leader="none" w:pos="7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899" w:hanging="272"/>
        <w:spacing w:after="0" w:line="277" w:lineRule="auto"/>
        <w:tabs>
          <w:tab w:leader="none" w:pos="7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8">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98" w:name="page199"/>
    <w:bookmarkEnd w:id="198"/>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117" w:lineRule="exact"/>
        <w:rPr>
          <w:sz w:val="20"/>
          <w:szCs w:val="20"/>
          <w:color w:val="auto"/>
        </w:rPr>
      </w:pPr>
    </w:p>
    <w:p>
      <w:pPr>
        <w:ind w:left="500" w:hanging="262"/>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Capitala Finance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39" w:hanging="262"/>
        <w:spacing w:after="0" w:line="264"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879" w:hanging="262"/>
        <w:spacing w:after="0" w:line="286" w:lineRule="auto"/>
        <w:tabs>
          <w:tab w:leader="none" w:pos="5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780" w:right="539" w:hanging="272"/>
        <w:spacing w:after="0" w:line="264" w:lineRule="auto"/>
        <w:tabs>
          <w:tab w:leader="none" w:pos="7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599" w:hanging="272"/>
        <w:spacing w:after="0" w:line="264" w:lineRule="auto"/>
        <w:tabs>
          <w:tab w:leader="none" w:pos="7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73" w:lineRule="exact"/>
        <w:rPr>
          <w:rFonts w:ascii="Arial" w:cs="Arial" w:eastAsia="Arial" w:hAnsi="Arial"/>
          <w:sz w:val="18"/>
          <w:szCs w:val="18"/>
          <w:color w:val="auto"/>
        </w:rPr>
      </w:pPr>
    </w:p>
    <w:p>
      <w:pPr>
        <w:ind w:left="780" w:right="719" w:hanging="272"/>
        <w:spacing w:after="0" w:line="259" w:lineRule="auto"/>
        <w:tabs>
          <w:tab w:leader="none" w:pos="7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00" w:right="639" w:hanging="262"/>
        <w:spacing w:after="0" w:line="264"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80" w:right="519" w:hanging="272"/>
        <w:spacing w:after="0" w:line="264" w:lineRule="auto"/>
        <w:tabs>
          <w:tab w:leader="none" w:pos="7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899" w:hanging="272"/>
        <w:spacing w:after="0" w:line="277" w:lineRule="auto"/>
        <w:tabs>
          <w:tab w:leader="none" w:pos="7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15240</wp:posOffset>
            </wp:positionV>
            <wp:extent cx="397891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99" w:name="page200"/>
    <w:bookmarkEnd w:id="199"/>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739" w:firstLine="270"/>
        <w:spacing w:after="0" w:line="312" w:lineRule="auto"/>
        <w:rPr>
          <w:sz w:val="20"/>
          <w:szCs w:val="20"/>
          <w:color w:val="auto"/>
        </w:rPr>
      </w:pPr>
      <w:r>
        <w:rPr>
          <w:rFonts w:ascii="Arial" w:cs="Arial" w:eastAsia="Arial" w:hAnsi="Arial"/>
          <w:sz w:val="16"/>
          <w:szCs w:val="16"/>
          <w:color w:val="auto"/>
        </w:rPr>
        <w:t>In connection with the Annual Report on Form 10-K of Capitala Finance Corp. (the “Company”) for the annual period ended December 31, 2017, as filed with the Securities Exchange Commission on the date hereof (the “Report”), I, Joseph B. Alala III, Chief Executive Officer of the Company, certify, pursuant to Section 906 of the Sarbanes-Oxley Act of 2002, that:</w:t>
      </w:r>
    </w:p>
    <w:p>
      <w:pPr>
        <w:spacing w:after="0" w:line="39" w:lineRule="exact"/>
        <w:rPr>
          <w:sz w:val="20"/>
          <w:szCs w:val="20"/>
          <w:color w:val="auto"/>
        </w:rPr>
      </w:pPr>
    </w:p>
    <w:p>
      <w:pPr>
        <w:ind w:left="500" w:right="1079" w:hanging="262"/>
        <w:spacing w:after="0" w:line="277"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15240</wp:posOffset>
            </wp:positionV>
            <wp:extent cx="397891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2">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200" w:name="page201"/>
    <w:bookmarkEnd w:id="200"/>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739" w:firstLine="270"/>
        <w:spacing w:after="0" w:line="286" w:lineRule="auto"/>
        <w:rPr>
          <w:sz w:val="20"/>
          <w:szCs w:val="20"/>
          <w:color w:val="auto"/>
        </w:rPr>
      </w:pPr>
      <w:r>
        <w:rPr>
          <w:rFonts w:ascii="Arial" w:cs="Arial" w:eastAsia="Arial" w:hAnsi="Arial"/>
          <w:sz w:val="17"/>
          <w:szCs w:val="17"/>
          <w:color w:val="auto"/>
        </w:rPr>
        <w:t>In connection with the Annual Report on Form 10-K of Capitala Finance Corp. (the “Company”) for the annual period ended December 31, 2017, as filed with the Securities Exchange Commission on the date hereof (the “Report”), I, Stephen A. Arnall, Chief Financial Officer of the Company, certify, pursuant to Section 906 of the Sarbanes-Oxley Act of 2002, that:</w:t>
      </w:r>
    </w:p>
    <w:p>
      <w:pPr>
        <w:spacing w:after="0" w:line="57" w:lineRule="exact"/>
        <w:rPr>
          <w:sz w:val="20"/>
          <w:szCs w:val="20"/>
          <w:color w:val="auto"/>
        </w:rPr>
      </w:pPr>
    </w:p>
    <w:p>
      <w:pPr>
        <w:ind w:left="500" w:right="1079" w:hanging="262"/>
        <w:spacing w:after="0" w:line="277" w:lineRule="auto"/>
        <w:tabs>
          <w:tab w:leader="none" w:pos="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4">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x"/>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1"/>
      <w:numFmt w:val="bullet"/>
      <w:start w:val="1"/>
    </w:lvl>
  </w:abstractNum>
  <w:abstractNum w:abstractNumId="10">
    <w:nsid w:val="10233C99"/>
    <w:multiLevelType w:val="hybridMultilevel"/>
    <w:lvl w:ilvl="0">
      <w:lvlJc w:val="left"/>
      <w:lvlText w:val="2"/>
      <w:numFmt w:val="bullet"/>
      <w:start w:val="1"/>
    </w:lvl>
  </w:abstractNum>
  <w:abstractNum w:abstractNumId="11">
    <w:nsid w:val="3F6AB60F"/>
    <w:multiLevelType w:val="hybridMultilevel"/>
    <w:lvl w:ilvl="0">
      <w:lvlJc w:val="left"/>
      <w:lvlText w:val="3"/>
      <w:numFmt w:val="bullet"/>
      <w:start w:val="1"/>
    </w:lvl>
  </w:abstractNum>
  <w:abstractNum w:abstractNumId="12">
    <w:nsid w:val="61574095"/>
    <w:multiLevelType w:val="hybridMultilevel"/>
    <w:lvl w:ilvl="0">
      <w:lvlJc w:val="left"/>
      <w:lvlText w:val="4"/>
      <w:numFmt w:val="bullet"/>
      <w:start w:val="1"/>
    </w:lvl>
  </w:abstractNum>
  <w:abstractNum w:abstractNumId="13">
    <w:nsid w:val="7E0C57B1"/>
    <w:multiLevelType w:val="hybridMultilevel"/>
    <w:lvl w:ilvl="0">
      <w:lvlJc w:val="left"/>
      <w:lvlText w:val="5"/>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1)"/>
      <w:numFmt w:val="decimal"/>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1)"/>
      <w:numFmt w:val="decimal"/>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lvl w:ilvl="1">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1"/>
      <w:numFmt w:val="bullet"/>
      <w:start w:val="1"/>
    </w:lvl>
  </w:abstractNum>
  <w:abstractNum w:abstractNumId="52">
    <w:nsid w:val="14330624"/>
    <w:multiLevelType w:val="hybridMultilevel"/>
    <w:lvl w:ilvl="0">
      <w:lvlJc w:val="left"/>
      <w:lvlText w:val="2"/>
      <w:numFmt w:val="bullet"/>
      <w:start w:val="1"/>
    </w:lvl>
  </w:abstractNum>
  <w:abstractNum w:abstractNumId="53">
    <w:nsid w:val="7FFFCA11"/>
    <w:multiLevelType w:val="hybridMultilevel"/>
    <w:lvl w:ilvl="0">
      <w:lvlJc w:val="left"/>
      <w:lvlText w:val="3"/>
      <w:numFmt w:val="bullet"/>
      <w:start w:val="1"/>
    </w:lvl>
  </w:abstractNum>
  <w:abstractNum w:abstractNumId="54">
    <w:nsid w:val="1A27709E"/>
    <w:multiLevelType w:val="hybridMultilevel"/>
    <w:lvl w:ilvl="0">
      <w:lvlJc w:val="left"/>
      <w:lvlText w:val="4"/>
      <w:numFmt w:val="bullet"/>
      <w:start w:val="1"/>
    </w:lvl>
  </w:abstractNum>
  <w:abstractNum w:abstractNumId="55">
    <w:nsid w:val="71EA1109"/>
    <w:multiLevelType w:val="hybridMultilevel"/>
    <w:lvl w:ilvl="0">
      <w:lvlJc w:val="left"/>
      <w:lvlText w:val="5"/>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1"/>
    </w:lvl>
  </w:abstractNum>
  <w:abstractNum w:abstractNumId="62">
    <w:nsid w:val="76272110"/>
    <w:multiLevelType w:val="hybridMultilevel"/>
    <w:lvl w:ilvl="0">
      <w:lvlJc w:val="left"/>
      <w:lvlText w:val="(%1)"/>
      <w:numFmt w:val="decimal"/>
      <w:start w:val="13"/>
    </w:lvl>
  </w:abstractNum>
  <w:abstractNum w:abstractNumId="63">
    <w:nsid w:val="4C04A8AF"/>
    <w:multiLevelType w:val="hybridMultilevel"/>
    <w:lvl w:ilvl="0">
      <w:lvlJc w:val="left"/>
      <w:lvlText w:val="(%1)"/>
      <w:numFmt w:val="decimal"/>
      <w:start w:val="1"/>
    </w:lvl>
  </w:abstractNum>
  <w:abstractNum w:abstractNumId="64">
    <w:nsid w:val="1716703B"/>
    <w:multiLevelType w:val="hybridMultilevel"/>
    <w:lvl w:ilvl="0">
      <w:lvlJc w:val="left"/>
      <w:lvlText w:val="(%1)"/>
      <w:numFmt w:val="decimal"/>
      <w:start w:val="8"/>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1)"/>
      <w:numFmt w:val="decimal"/>
      <w:start w:val="1"/>
    </w:lvl>
  </w:abstractNum>
  <w:abstractNum w:abstractNumId="67">
    <w:nsid w:val="74DE0EE3"/>
    <w:multiLevelType w:val="hybridMultilevel"/>
    <w:lvl w:ilvl="0">
      <w:lvlJc w:val="left"/>
      <w:lvlText w:val="(%1)"/>
      <w:numFmt w:val="decimal"/>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1)"/>
      <w:numFmt w:val="decimal"/>
      <w:start w:val="1"/>
    </w:lvl>
  </w:abstractNum>
  <w:abstractNum w:abstractNumId="71">
    <w:nsid w:val="4A2AC315"/>
    <w:multiLevelType w:val="hybridMultilevel"/>
    <w:lvl w:ilvl="0">
      <w:lvlJc w:val="left"/>
      <w:lvlText w:val="(%1)"/>
      <w:numFmt w:val="decimal"/>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1)"/>
      <w:numFmt w:val="decimal"/>
      <w:start w:val="1"/>
    </w:lvl>
    <w:lvl w:ilvl="1">
      <w:lvlJc w:val="left"/>
      <w:lvlText w:val="%2"/>
      <w:numFmt w:val="lowerLetter"/>
      <w:start w:val="1"/>
    </w:lvl>
  </w:abstractNum>
  <w:abstractNum w:abstractNumId="74">
    <w:nsid w:val="CC1016F"/>
    <w:multiLevelType w:val="hybridMultilevel"/>
    <w:lvl w:ilvl="0">
      <w:lvlJc w:val="left"/>
      <w:lvlText w:val="(%1)"/>
      <w:numFmt w:val="decimal"/>
      <w:start w:val="1"/>
    </w:lvl>
  </w:abstractNum>
  <w:abstractNum w:abstractNumId="75">
    <w:nsid w:val="43F18422"/>
    <w:multiLevelType w:val="hybridMultilevel"/>
    <w:lvl w:ilvl="0">
      <w:lvlJc w:val="left"/>
      <w:lvlText w:val="1"/>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1)"/>
      <w:numFmt w:val="decimal"/>
      <w:start w:val="1"/>
    </w:lvl>
  </w:abstractNum>
  <w:abstractNum w:abstractNumId="78">
    <w:nsid w:val="7F01579B"/>
    <w:multiLevelType w:val="hybridMultilevel"/>
    <w:lvl w:ilvl="0">
      <w:lvlJc w:val="left"/>
      <w:lvlText w:val="(%1)"/>
      <w:numFmt w:val="decimal"/>
      <w:start w:val="3"/>
    </w:lvl>
    <w:lvl w:ilvl="1">
      <w:lvlJc w:val="left"/>
      <w:lvlText w:val="(%2)"/>
      <w:numFmt w:val="lowerLetter"/>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
      <w:numFmt w:val="bullet"/>
      <w:start w:val="1"/>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
      <w:numFmt w:val="bullet"/>
      <w:start w:val="1"/>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
      <w:numFmt w:val="bullet"/>
      <w:start w:val="1"/>
    </w:lvl>
  </w:abstractNum>
  <w:abstractNum w:abstractNumId="94">
    <w:nsid w:val="3FA62ACA"/>
    <w:multiLevelType w:val="hybridMultilevel"/>
    <w:lvl w:ilvl="0">
      <w:lvlJc w:val="left"/>
      <w:lvlText w:val="·"/>
      <w:numFmt w:val="bullet"/>
      <w:start w:val="1"/>
    </w:lvl>
  </w:abstractNum>
  <w:abstractNum w:abstractNumId="95">
    <w:nsid w:val="14FCE74E"/>
    <w:multiLevelType w:val="hybridMultilevel"/>
    <w:lvl w:ilvl="0">
      <w:lvlJc w:val="left"/>
      <w:lvlText w:val="·"/>
      <w:numFmt w:val="bullet"/>
      <w:start w:val="1"/>
    </w:lvl>
  </w:abstractNum>
  <w:abstractNum w:abstractNumId="96">
    <w:nsid w:val="6A3DD3E8"/>
    <w:multiLevelType w:val="hybridMultilevel"/>
    <w:lvl w:ilvl="0">
      <w:lvlJc w:val="left"/>
      <w:lvlText w:val="·"/>
      <w:numFmt w:val="bullet"/>
      <w:start w:val="1"/>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
      <w:numFmt w:val="bullet"/>
      <w:start w:val="1"/>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
      <w:numFmt w:val="bullet"/>
      <w:start w:val="1"/>
    </w:lvl>
  </w:abstractNum>
  <w:abstractNum w:abstractNumId="102">
    <w:nsid w:val="1D545C4D"/>
    <w:multiLevelType w:val="hybridMultilevel"/>
    <w:lvl w:ilvl="0">
      <w:lvlJc w:val="left"/>
      <w:lvlText w:val="·"/>
      <w:numFmt w:val="bullet"/>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
      <w:numFmt w:val="bullet"/>
      <w:start w:val="1"/>
    </w:lvl>
  </w:abstractNum>
  <w:abstractNum w:abstractNumId="106">
    <w:nsid w:val="1D9F6E5F"/>
    <w:multiLevelType w:val="hybridMultilevel"/>
    <w:lvl w:ilvl="0">
      <w:lvlJc w:val="left"/>
      <w:lvlText w:val="%1."/>
      <w:numFmt w:val="decimal"/>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7" Type="http://schemas.openxmlformats.org/officeDocument/2006/relationships/image" Target="media/image469.png"/><Relationship Id="rId479" Type="http://schemas.openxmlformats.org/officeDocument/2006/relationships/image" Target="media/image470.png"/><Relationship Id="rId481" Type="http://schemas.openxmlformats.org/officeDocument/2006/relationships/image" Target="media/image471.png"/><Relationship Id="rId483" Type="http://schemas.openxmlformats.org/officeDocument/2006/relationships/image" Target="media/image472.png"/><Relationship Id="rId485" Type="http://schemas.openxmlformats.org/officeDocument/2006/relationships/image" Target="media/image473.png"/><Relationship Id="rId487" Type="http://schemas.openxmlformats.org/officeDocument/2006/relationships/image" Target="media/image474.png"/><Relationship Id="rId489" Type="http://schemas.openxmlformats.org/officeDocument/2006/relationships/image" Target="media/image475.png"/><Relationship Id="rId491" Type="http://schemas.openxmlformats.org/officeDocument/2006/relationships/image" Target="media/image476.png"/><Relationship Id="rId493" Type="http://schemas.openxmlformats.org/officeDocument/2006/relationships/image" Target="media/image477.png"/><Relationship Id="rId495" Type="http://schemas.openxmlformats.org/officeDocument/2006/relationships/image" Target="media/image478.png"/><Relationship Id="rId497" Type="http://schemas.openxmlformats.org/officeDocument/2006/relationships/image" Target="media/image479.png"/><Relationship Id="rId508" Type="http://schemas.openxmlformats.org/officeDocument/2006/relationships/image" Target="media/image480.png"/><Relationship Id="rId509" Type="http://schemas.openxmlformats.org/officeDocument/2006/relationships/image" Target="media/image481.png"/><Relationship Id="rId510" Type="http://schemas.openxmlformats.org/officeDocument/2006/relationships/image" Target="media/image482.png"/><Relationship Id="rId513" Type="http://schemas.openxmlformats.org/officeDocument/2006/relationships/image" Target="media/image483.png"/><Relationship Id="rId514" Type="http://schemas.openxmlformats.org/officeDocument/2006/relationships/image" Target="media/image484.png"/><Relationship Id="rId515" Type="http://schemas.openxmlformats.org/officeDocument/2006/relationships/image" Target="media/image485.png"/><Relationship Id="rId516" Type="http://schemas.openxmlformats.org/officeDocument/2006/relationships/image" Target="media/image486.png"/><Relationship Id="rId517" Type="http://schemas.openxmlformats.org/officeDocument/2006/relationships/image" Target="media/image487.png"/><Relationship Id="rId518" Type="http://schemas.openxmlformats.org/officeDocument/2006/relationships/image" Target="media/image488.png"/><Relationship Id="rId519" Type="http://schemas.openxmlformats.org/officeDocument/2006/relationships/image" Target="media/image489.png"/><Relationship Id="rId520" Type="http://schemas.openxmlformats.org/officeDocument/2006/relationships/image" Target="media/image490.png"/><Relationship Id="rId521" Type="http://schemas.openxmlformats.org/officeDocument/2006/relationships/image" Target="media/image491.png"/><Relationship Id="rId522" Type="http://schemas.openxmlformats.org/officeDocument/2006/relationships/image" Target="media/image492.png"/><Relationship Id="rId523" Type="http://schemas.openxmlformats.org/officeDocument/2006/relationships/image" Target="media/image493.png"/><Relationship Id="rId524" Type="http://schemas.openxmlformats.org/officeDocument/2006/relationships/image" Target="media/image494.png"/><Relationship Id="rId525" Type="http://schemas.openxmlformats.org/officeDocument/2006/relationships/image" Target="media/image495.png"/><Relationship Id="rId526" Type="http://schemas.openxmlformats.org/officeDocument/2006/relationships/image" Target="media/image496.png"/><Relationship Id="rId527" Type="http://schemas.openxmlformats.org/officeDocument/2006/relationships/image" Target="media/image497.png"/><Relationship Id="rId528" Type="http://schemas.openxmlformats.org/officeDocument/2006/relationships/image" Target="media/image498.png"/><Relationship Id="rId529" Type="http://schemas.openxmlformats.org/officeDocument/2006/relationships/image" Target="media/image499.png"/><Relationship Id="rId530" Type="http://schemas.openxmlformats.org/officeDocument/2006/relationships/image" Target="media/image500.png"/><Relationship Id="rId531" Type="http://schemas.openxmlformats.org/officeDocument/2006/relationships/image" Target="media/image501.png"/><Relationship Id="rId532" Type="http://schemas.openxmlformats.org/officeDocument/2006/relationships/image" Target="media/image502.png"/><Relationship Id="rId533" Type="http://schemas.openxmlformats.org/officeDocument/2006/relationships/image" Target="media/image503.png"/><Relationship Id="rId534" Type="http://schemas.openxmlformats.org/officeDocument/2006/relationships/image" Target="media/image504.png"/><Relationship Id="rId535" Type="http://schemas.openxmlformats.org/officeDocument/2006/relationships/image" Target="media/image505.png"/><Relationship Id="rId536" Type="http://schemas.openxmlformats.org/officeDocument/2006/relationships/image" Target="media/image506.png"/><Relationship Id="rId537" Type="http://schemas.openxmlformats.org/officeDocument/2006/relationships/image" Target="media/image507.png"/><Relationship Id="rId538" Type="http://schemas.openxmlformats.org/officeDocument/2006/relationships/image" Target="media/image508.png"/><Relationship Id="rId539" Type="http://schemas.openxmlformats.org/officeDocument/2006/relationships/image" Target="media/image509.png"/><Relationship Id="rId540" Type="http://schemas.openxmlformats.org/officeDocument/2006/relationships/image" Target="media/image510.png"/><Relationship Id="rId541" Type="http://schemas.openxmlformats.org/officeDocument/2006/relationships/image" Target="media/image511.png"/><Relationship Id="rId542" Type="http://schemas.openxmlformats.org/officeDocument/2006/relationships/image" Target="media/image512.png"/><Relationship Id="rId543" Type="http://schemas.openxmlformats.org/officeDocument/2006/relationships/image" Target="media/image513.png"/><Relationship Id="rId544" Type="http://schemas.openxmlformats.org/officeDocument/2006/relationships/image" Target="media/image514.png"/><Relationship Id="rId545" Type="http://schemas.openxmlformats.org/officeDocument/2006/relationships/image" Target="media/image515.png"/><Relationship Id="rId546" Type="http://schemas.openxmlformats.org/officeDocument/2006/relationships/image" Target="media/image516.png"/><Relationship Id="rId547" Type="http://schemas.openxmlformats.org/officeDocument/2006/relationships/image" Target="media/image517.png"/><Relationship Id="rId548" Type="http://schemas.openxmlformats.org/officeDocument/2006/relationships/image" Target="media/image518.png"/><Relationship Id="rId549" Type="http://schemas.openxmlformats.org/officeDocument/2006/relationships/image" Target="media/image519.png"/><Relationship Id="rId550" Type="http://schemas.openxmlformats.org/officeDocument/2006/relationships/image" Target="media/image520.png"/><Relationship Id="rId551" Type="http://schemas.openxmlformats.org/officeDocument/2006/relationships/image" Target="media/image521.png"/><Relationship Id="rId552" Type="http://schemas.openxmlformats.org/officeDocument/2006/relationships/image" Target="media/image522.png"/><Relationship Id="rId553" Type="http://schemas.openxmlformats.org/officeDocument/2006/relationships/image" Target="media/image523.png"/><Relationship Id="rId554" Type="http://schemas.openxmlformats.org/officeDocument/2006/relationships/image" Target="media/image524.png"/><Relationship Id="rId555" Type="http://schemas.openxmlformats.org/officeDocument/2006/relationships/image" Target="media/image525.png"/><Relationship Id="rId556" Type="http://schemas.openxmlformats.org/officeDocument/2006/relationships/image" Target="media/image526.png"/><Relationship Id="rId557" Type="http://schemas.openxmlformats.org/officeDocument/2006/relationships/image" Target="media/image527.png"/><Relationship Id="rId558" Type="http://schemas.openxmlformats.org/officeDocument/2006/relationships/image" Target="media/image528.png"/><Relationship Id="rId559" Type="http://schemas.openxmlformats.org/officeDocument/2006/relationships/image" Target="media/image529.png"/><Relationship Id="rId560" Type="http://schemas.openxmlformats.org/officeDocument/2006/relationships/image" Target="media/image530.png"/><Relationship Id="rId561" Type="http://schemas.openxmlformats.org/officeDocument/2006/relationships/image" Target="media/image531.png"/><Relationship Id="rId562" Type="http://schemas.openxmlformats.org/officeDocument/2006/relationships/image" Target="media/image532.png"/><Relationship Id="rId563" Type="http://schemas.openxmlformats.org/officeDocument/2006/relationships/image" Target="media/image533.png"/><Relationship Id="rId564" Type="http://schemas.openxmlformats.org/officeDocument/2006/relationships/image" Target="media/image534.png"/><Relationship Id="rId565" Type="http://schemas.openxmlformats.org/officeDocument/2006/relationships/image" Target="media/image535.png"/><Relationship Id="rId566" Type="http://schemas.openxmlformats.org/officeDocument/2006/relationships/image" Target="media/image536.png"/><Relationship Id="rId567" Type="http://schemas.openxmlformats.org/officeDocument/2006/relationships/image" Target="media/image537.png"/><Relationship Id="rId568" Type="http://schemas.openxmlformats.org/officeDocument/2006/relationships/image" Target="media/image538.png"/><Relationship Id="rId569" Type="http://schemas.openxmlformats.org/officeDocument/2006/relationships/image" Target="media/image539.png"/><Relationship Id="rId570" Type="http://schemas.openxmlformats.org/officeDocument/2006/relationships/image" Target="media/image540.png"/><Relationship Id="rId571" Type="http://schemas.openxmlformats.org/officeDocument/2006/relationships/image" Target="media/image541.png"/><Relationship Id="rId572" Type="http://schemas.openxmlformats.org/officeDocument/2006/relationships/image" Target="media/image542.png"/><Relationship Id="rId573" Type="http://schemas.openxmlformats.org/officeDocument/2006/relationships/image" Target="media/image543.png"/><Relationship Id="rId574" Type="http://schemas.openxmlformats.org/officeDocument/2006/relationships/image" Target="media/image544.png"/><Relationship Id="rId575" Type="http://schemas.openxmlformats.org/officeDocument/2006/relationships/image" Target="media/image545.png"/><Relationship Id="rId476" Type="http://schemas.openxmlformats.org/officeDocument/2006/relationships/hyperlink" Target="http://www.sec.gov/Archives/edgar/data/1221483/000119312513361263/d505298dex99a1.htm" TargetMode="External"/><Relationship Id="rId478" Type="http://schemas.openxmlformats.org/officeDocument/2006/relationships/hyperlink" Target="http://www.sec.gov/Archives/edgar/data/1221483/000119312513368161/d505298dex99a2.htm" TargetMode="External"/><Relationship Id="rId480" Type="http://schemas.openxmlformats.org/officeDocument/2006/relationships/hyperlink" Target="http://www.sec.gov/Archives/edgar/data/1221483/000119312513368161/d505298dex99a3.htm" TargetMode="External"/><Relationship Id="rId482" Type="http://schemas.openxmlformats.org/officeDocument/2006/relationships/hyperlink" Target="http://www.sec.gov/Archives/edgar/data/1221483/000119312513361263/d505298dex99b1.htm" TargetMode="External"/><Relationship Id="rId484" Type="http://schemas.openxmlformats.org/officeDocument/2006/relationships/hyperlink" Target="http://www.sec.gov/Archives/edgar/data/1571329/000119312513376445/d505298dex99b2.htm" TargetMode="External"/><Relationship Id="rId486" Type="http://schemas.openxmlformats.org/officeDocument/2006/relationships/hyperlink" Target="http://www.sec.gov/Archives/edgar/data/1571329/000119312513376445/d505298dex99b3.htm" TargetMode="External"/><Relationship Id="rId488" Type="http://schemas.openxmlformats.org/officeDocument/2006/relationships/hyperlink" Target="http://www.sec.gov/Archives/edgar/data/1221483/000119312513361263/d505298dex99d1.htm" TargetMode="External"/><Relationship Id="rId490" Type="http://schemas.openxmlformats.org/officeDocument/2006/relationships/hyperlink" Target="http://www.sec.gov/Archives/edgar/data/1571329/000114420414032811/v373541_ex99d2.htm" TargetMode="External"/><Relationship Id="rId492" Type="http://schemas.openxmlformats.org/officeDocument/2006/relationships/hyperlink" Target="http://www.sec.gov/Archives/edgar/data/1571329/000114420417027816/v466865_ex99d5.htm" TargetMode="External"/><Relationship Id="rId494" Type="http://schemas.openxmlformats.org/officeDocument/2006/relationships/hyperlink" Target="http://www.sec.gov/Archives/edgar/data/1571329/000114420417029707/v467748_ex99d6.htm" TargetMode="External"/><Relationship Id="rId496" Type="http://schemas.openxmlformats.org/officeDocument/2006/relationships/hyperlink" Target="http://www.sec.gov/Archives/edgar/data/1221483/000119312513361263/d505298dex99e.htm" TargetMode="External"/><Relationship Id="rId498" Type="http://schemas.openxmlformats.org/officeDocument/2006/relationships/hyperlink" Target="http://www.sec.gov/Archives/edgar/data/1221483/000119312513361263/d505298dex99g.htm" TargetMode="External"/><Relationship Id="rId499" Type="http://schemas.openxmlformats.org/officeDocument/2006/relationships/hyperlink" Target="http://www.sec.gov/Archives/edgar/data/1221483/000119312513361263/d505298dex99j.htm" TargetMode="External"/><Relationship Id="rId500" Type="http://schemas.openxmlformats.org/officeDocument/2006/relationships/hyperlink" Target="http://www.sec.gov/Archives/edgar/data/1221483/000119312513361263/d505298dex99k1.htm" TargetMode="External"/><Relationship Id="rId501" Type="http://schemas.openxmlformats.org/officeDocument/2006/relationships/hyperlink" Target="http://www.sec.gov/Archives/edgar/data/1221483/000119312513361263/d505298dex99k2.htm" TargetMode="External"/><Relationship Id="rId502" Type="http://schemas.openxmlformats.org/officeDocument/2006/relationships/hyperlink" Target="http://www.sec.gov/Archives/edgar/data/1221483/000119312513361263/d505298dex99k3.htm" TargetMode="External"/><Relationship Id="rId503" Type="http://schemas.openxmlformats.org/officeDocument/2006/relationships/hyperlink" Target="http://www.sec.gov/Archives/edgar/data/1571329/000114420414062166/v391743_ex10-1.htm" TargetMode="External"/><Relationship Id="rId504" Type="http://schemas.openxmlformats.org/officeDocument/2006/relationships/hyperlink" Target="http://www.sec.gov/Archives/edgar/data/1571329/000114420414062166/v391743_ex10-2.htm" TargetMode="External"/><Relationship Id="rId505" Type="http://schemas.openxmlformats.org/officeDocument/2006/relationships/hyperlink" Target="http://www.sec.gov/Archives/edgar/data/1571329/000114420415001280/v398302_ex10-1.htm" TargetMode="External"/><Relationship Id="rId506" Type="http://schemas.openxmlformats.org/officeDocument/2006/relationships/hyperlink" Target="http://www.sec.gov/Archives/edgar/data/1571329/000114420415051633/v418888_ex10-1.htm" TargetMode="External"/><Relationship Id="rId507" Type="http://schemas.openxmlformats.org/officeDocument/2006/relationships/hyperlink" Target="http://www.sec.gov/Archives/edgar/data/1571329/000114420417033366/v469295_ex10-1.htm" TargetMode="External"/><Relationship Id="rId511" Type="http://schemas.openxmlformats.org/officeDocument/2006/relationships/hyperlink" Target="http://www.sec.gov/Archives/edgar/data/1571329/000114420417033366/v469295_ex10-2.htm" TargetMode="External"/><Relationship Id="rId512" Type="http://schemas.openxmlformats.org/officeDocument/2006/relationships/hyperlink" Target="http://www.sec.gov/Archives/edgar/data/1221483/000119312513361263/d505298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2019-12-29T00:16:29Z</dcterms:created>
  <dcterms:modified xsi:type="dcterms:W3CDTF">2019-12-29T00:16:29Z</dcterms:modified>
</cp:coreProperties>
</file>